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2F4B7C"/>
          <w:sz w:val="44"/>
          <w:szCs w:val="44"/>
        </w:rPr>
        <w:t xml:space="preserve">AI SCOUT</w:t>
      </w:r>
    </w:p>
    <w:p>
      <w:pPr>
        <w:spacing w:after="60"/>
        <w:jc w:val="center"/>
      </w:pPr>
      <w:r>
        <w:rPr>
          <w:sz w:val="28"/>
          <w:szCs w:val="28"/>
        </w:rPr>
        <w:t xml:space="preserve">Vývojový plán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Companion k Product Spec v0.13  |  Červenec 2026  |  aktuální stav: v0.7.0</w:t>
      </w:r>
    </w:p>
    <w:p>
      <w:pPr>
        <w:pStyle w:val="Heading1"/>
        <w:spacing w:after="140" w:before="280"/>
      </w:pPr>
      <w:r>
        <w:rPr>
          <w:b/>
          <w:bCs/>
          <w:color w:val="2F4B7C"/>
          <w:sz w:val="26"/>
          <w:szCs w:val="26"/>
        </w:rPr>
        <w:t xml:space="preserve">1. Kde jsme a jak pracujeme</w:t>
      </w:r>
    </w:p>
    <w:p>
      <w:pPr>
        <w:spacing w:after="120" w:line="276"/>
      </w:pPr>
      <w:r>
        <w:rPr>
          <w:sz w:val="20"/>
          <w:szCs w:val="20"/>
        </w:rPr>
        <w:t xml:space="preserve">Stav: v0.7.0, 5 sprintů, 116 testů, funkční end-to-end jádro (Git Scanner → Code Context → Data Flow Mapper → LLM Engine → Enrichment → Report). Tento plán rozvádí sprintovou roadmapu z Product Spec v0.13 (§15) do operativní podoby: co přesně dělat, v jakém pořadí, kdy je sprint hotový a o které specifikační dokumenty se opřít.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Pracovní režim: </w:t>
      </w:r>
      <w:r>
        <w:rPr>
          <w:sz w:val="20"/>
          <w:szCs w:val="20"/>
        </w:rPr>
        <w:t xml:space="preserve">solo + AI-akcelerovaný vývoj, jednotky hodin týdně. Sprinty jsou proto definované výstupem, ne časem — každý je samostatně shippable a dá se přerušit mezi sprinty, ne uvnitř nich. Každý sprint končí golden-file snapshotem (regresní ochrana + dokumentace vývoje výstupů).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Vodící test každého rozhodnutí: </w:t>
      </w:r>
      <w:r>
        <w:rPr>
          <w:sz w:val="20"/>
          <w:szCs w:val="20"/>
        </w:rPr>
        <w:t xml:space="preserve">„Posouvá to Scout od auditu k monitoringu (lidí, provozu, dat), nebo od evidence k verdiktu?“ Pokud ano — nedělat, nebo izolovat jako opt-in a zdůvodnit. Descopy viz Product Spec Appendix A; nejsou k znovuotevření bez signálu z pilotů.</w:t>
      </w:r>
    </w:p>
    <w:p>
      <w:pPr>
        <w:pStyle w:val="Heading1"/>
        <w:spacing w:after="140" w:before="280"/>
      </w:pPr>
      <w:r>
        <w:rPr>
          <w:b/>
          <w:bCs/>
          <w:color w:val="2F4B7C"/>
          <w:sz w:val="26"/>
          <w:szCs w:val="26"/>
        </w:rPr>
        <w:t xml:space="preserve">2. Sprinty</w:t>
      </w:r>
    </w:p>
    <w:p>
      <w:pPr>
        <w:pStyle w:val="Heading2"/>
        <w:spacing w:after="100" w:before="220"/>
      </w:pPr>
      <w:r>
        <w:rPr>
          <w:b/>
          <w:bCs/>
          <w:color w:val="2F4B7C"/>
          <w:sz w:val="22"/>
          <w:szCs w:val="22"/>
        </w:rPr>
        <w:t xml:space="preserve">Sprint 0 — Základ kvality a stability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Cíl: </w:t>
      </w:r>
      <w:r>
        <w:rPr>
          <w:sz w:val="20"/>
          <w:szCs w:val="20"/>
        </w:rPr>
        <w:t xml:space="preserve">Report, který nikdy neukáže rozbitou větu, a datový tvar, který přežije org-scale. Vstupenka k pilotu.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Rozsah: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QA vrstva reportu: typované insighty (I-01 až I-10) + ICU šablony + edge-case testy (povinně pct=100, plurály, prázdné seznamy).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Report linter L-01–L-10 s degradací na fact strip; QA appendix v reportu; --strict režim pro CI.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Fact strip v no-LLM detailu řešení (Sources/Sinks/Pattern/Tech z kontrolovaného slovníku) místo pseudo-shrnutí; surové řetězce z repa pouze v evidence polích.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Agregační hranice: řešení = aplikace/služba nad directory groupingem; detektor charakteru repa (production │ tutorial/example │ experiment).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Risk status model: severity × confidence + kategorický risk_status; odstranit vážené skóre z výstupů.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Kosmetika: „No findings“ místo „OK“; verze Scout + KB v hlavičce reportu; sekce Scope &amp; Limitations; stabilní ID nálezů (hash repo+pravidlo+lokace).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Pročištěný install („download → 10 min → výsledek“).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Hotovo, když: </w:t>
      </w:r>
      <w:r>
        <w:rPr>
          <w:sz w:val="20"/>
          <w:szCs w:val="20"/>
        </w:rPr>
        <w:t xml:space="preserve">Fixture „1 přispěvatel“ a „tutorial repo“ projdou akceptačními kritérii QA spec; dvojí běh = bitově shodný výstup; žádné surové řetězce v próze (L-07 čistý).</w:t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Podklady: AI_Scout_QA_spec.md (kompletní zadání) · ai_scout_report_design.html (cílová podoba)</w:t>
      </w:r>
    </w:p>
    <w:p>
      <w:pPr>
        <w:pStyle w:val="Heading2"/>
        <w:spacing w:after="100" w:before="220"/>
      </w:pPr>
      <w:r>
        <w:rPr>
          <w:b/>
          <w:bCs/>
          <w:color w:val="2F4B7C"/>
          <w:sz w:val="22"/>
          <w:szCs w:val="22"/>
        </w:rPr>
        <w:t xml:space="preserve">Sprint 1 — SARIF export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Cíl: </w:t>
      </w:r>
      <w:r>
        <w:rPr>
          <w:sz w:val="20"/>
          <w:szCs w:val="20"/>
        </w:rPr>
        <w:t xml:space="preserve">Distribuce zadarmo: nálezy tam, kde žijí vývojáři.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Rozsah: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Findings → SARIF 2.1.0 (mapování rule id + verze, lokace, severity, fingerprint ze stabilního ID).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Ověření zobrazení v GitHub code scanning a GitLab security tabu; ukázkový CI workflow do dokumentace.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Hotovo, když: </w:t>
      </w:r>
      <w:r>
        <w:rPr>
          <w:sz w:val="20"/>
          <w:szCs w:val="20"/>
        </w:rPr>
        <w:t xml:space="preserve">SARIF z reálného scanu se zobrazuje v GitHub/GitLab security tabu bez warningů.</w:t>
      </w:r>
    </w:p>
    <w:p>
      <w:pPr>
        <w:pStyle w:val="Heading2"/>
        <w:spacing w:after="100" w:before="220"/>
      </w:pPr>
      <w:r>
        <w:rPr>
          <w:b/>
          <w:bCs/>
          <w:color w:val="2F4B7C"/>
          <w:sz w:val="22"/>
          <w:szCs w:val="22"/>
        </w:rPr>
        <w:t xml:space="preserve">Sprint 2 — Diff / trend režim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Cíl: </w:t>
      </w:r>
      <w:r>
        <w:rPr>
          <w:sz w:val="20"/>
          <w:szCs w:val="20"/>
        </w:rPr>
        <w:t xml:space="preserve">Z one-shot nástroje opakovaně používaný; artefakt do change managementu.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Rozsah: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scout diff &lt;old.json&gt; &lt;new.json&gt;: nová/odebraná/změněná řešení, provideři, klíče, datové toky (stojí na stabilních ID ze Sprintu 0).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Insight I-09 (SCAN_DELTA) do exec summary; delta box do reportu.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Finding workflow stavy: open │ accepted_risk │ resolved (persistence mezi scany).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Hotovo, když: </w:t>
      </w:r>
      <w:r>
        <w:rPr>
          <w:sz w:val="20"/>
          <w:szCs w:val="20"/>
        </w:rPr>
        <w:t xml:space="preserve">Dva scany téže org produkují korektní delta report; accepted_risk přežívá mezi scany.</w:t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Podklady: AI_Scout_datamodel_org_cost.md (stabilní ID, finding stavy)</w:t>
      </w:r>
    </w:p>
    <w:p>
      <w:pPr>
        <w:pStyle w:val="Heading2"/>
        <w:spacing w:after="100" w:before="220"/>
      </w:pPr>
      <w:r>
        <w:rPr>
          <w:b/>
          <w:bCs/>
          <w:color w:val="2F4B7C"/>
          <w:sz w:val="22"/>
          <w:szCs w:val="22"/>
        </w:rPr>
        <w:t xml:space="preserve">Sprint 3 — MCP &amp; Agent scanner (launch feature)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Cíl: </w:t>
      </w:r>
      <w:r>
        <w:rPr>
          <w:sz w:val="20"/>
          <w:szCs w:val="20"/>
        </w:rPr>
        <w:t xml:space="preserve">První nástroj na trhu mapující MCP/agent landscape.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Rozsah: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Detekce: MCP server konfigurace (claude_desktop_config.json a ekvivalenty), .claude/.cursor/.aider adresáře, tool definitions, agent frameworky (CrewAI, AutoGen, LangGraph setupy).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Klasifikace autonomie: tool-calling │ řízený agent │ autonomní smyčka (atribut inventury; kandidát příští revize G7 guidance).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Integrace do celé pipeline: report (kategorie + exit points), datový model, budoucí AIBOM (SLP cluster — „multi-agent communication protocols“ je explicitní G7 element).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Hotovo, když: </w:t>
      </w:r>
      <w:r>
        <w:rPr>
          <w:sz w:val="20"/>
          <w:szCs w:val="20"/>
        </w:rPr>
        <w:t xml:space="preserve">MCP nálezy procházejí scan → report → JSON s evidencí file:line; validace na živém MCP prostředí (vlastní setup + aspoň jeden cizí).</w:t>
      </w:r>
    </w:p>
    <w:p>
      <w:pPr>
        <w:pStyle w:val="Heading2"/>
        <w:spacing w:after="100" w:before="220"/>
      </w:pPr>
      <w:r>
        <w:rPr>
          <w:b/>
          <w:bCs/>
          <w:color w:val="2F4B7C"/>
          <w:sz w:val="22"/>
          <w:szCs w:val="22"/>
        </w:rPr>
        <w:t xml:space="preserve">Sprint 4 — SCM abstrakce + GitLab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Cíl: </w:t>
      </w:r>
      <w:r>
        <w:rPr>
          <w:sz w:val="20"/>
          <w:szCs w:val="20"/>
        </w:rPr>
        <w:t xml:space="preserve">Scout tam, kde žije enterprise kód. První placený scanner.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Rozsah: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SCM abstrakce: platform-agnostický scan obsahu vs. platform-specifická discovery/auth vrstva (projekty, group hierarchie, read-only PAT/OAuth, self-managed URL + certifikáty).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GitLab scanner vč. .gitlab-ci.yml parsingu (AI volání a klíče v CI pipelines — místo, kam se discovery nástroje nedívají).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Zahájit ukládání org + cost observables: team dimenze (CODEOWNERS → manual YAML → topic), model_refs (tier/lifecycle z KB), call_sites (invocation pattern, context profile, retry) — sbírat teď, zobrazit později; zpětné dosbírání = přescanovat všechno.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schema_version + enumy s unknown + provenance/confidence disciplína dle datamodel spec §1.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Hotovo, když: </w:t>
      </w:r>
      <w:r>
        <w:rPr>
          <w:sz w:val="20"/>
          <w:szCs w:val="20"/>
        </w:rPr>
        <w:t xml:space="preserve">End-to-end scan self-managed GitLab organizace; datový výstup validuje proti rozšířenému schématu vč. null týmů.</w:t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Podklady: AI_Scout_datamodel_org_cost.md (kompletní zadání §2–§3)</w:t>
      </w:r>
    </w:p>
    <w:p>
      <w:pPr>
        <w:pStyle w:val="Heading2"/>
        <w:spacing w:after="100" w:before="220"/>
      </w:pPr>
      <w:r>
        <w:rPr>
          <w:b/>
          <w:bCs/>
          <w:color w:val="2F4B7C"/>
          <w:sz w:val="22"/>
          <w:szCs w:val="22"/>
        </w:rPr>
        <w:t xml:space="preserve">Sprint 5 — Provider KB Premium Feed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Cíl: </w:t>
      </w:r>
      <w:r>
        <w:rPr>
          <w:sz w:val="20"/>
          <w:szCs w:val="20"/>
        </w:rPr>
        <w:t xml:space="preserve">Opakovaná monetizace; KB jako nejhůř replikovatelná část produktu.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Rozsah: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Rozšíření KB per model: lifecycle/EOL, price_tier, licence, architektura, context length, model card URL, lineage — jedna datová sada pro typologii, EOL tracking, cost tiery i AIBOM Models cluster.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Pole origin v každém záznamu (bundled │ premium_feed │ local_llm │ upstream).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Signed bundle update mechanismus (offline princip zachován); napojení lokálního LLM obohacení (spec §5.7) jako vstupní pipeline.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Hotovo, když: </w:t>
      </w:r>
      <w:r>
        <w:rPr>
          <w:sz w:val="20"/>
          <w:szCs w:val="20"/>
        </w:rPr>
        <w:t xml:space="preserve">KB update proběhne offline z podepsaného bundle; deprecated model vygeneruje nález v reportu.</w:t>
      </w:r>
    </w:p>
    <w:p>
      <w:pPr>
        <w:pStyle w:val="Heading2"/>
        <w:spacing w:after="100" w:before="220"/>
      </w:pPr>
      <w:r>
        <w:rPr>
          <w:b/>
          <w:bCs/>
          <w:color w:val="2F4B7C"/>
          <w:sz w:val="22"/>
          <w:szCs w:val="22"/>
        </w:rPr>
        <w:t xml:space="preserve">Sprint 5b — AIBOM export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Cíl: </w:t>
      </w:r>
      <w:r>
        <w:rPr>
          <w:sz w:val="20"/>
          <w:szCs w:val="20"/>
        </w:rPr>
        <w:t xml:space="preserve">Standard-setting: první evidence-based AIBOM generátor podle G7 guidance. Marketing moment.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Rozsah: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scout export --format cyclonedx-aibom: per solution + agregát per repo/org (dependency graf skládá hierarchii).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Serializace AUTO polí + existujících KB polí; aibom.yaml config (org identita, security.txt, HBOM link); explicitní unknown všude jinde — validní dle G7.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scout:provenance/confidence properties na odvozených polích; deterministický výstup; žádná adequacy pole; jen detekované security controls, nikdy absence.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Fáze 2 položky (podpis exportu, PURL builder, pinned/nepinned detekce) až podle pilota — do backlogu, ne do MVP.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Hotovo, když: </w:t>
      </w:r>
      <w:r>
        <w:rPr>
          <w:sz w:val="20"/>
          <w:szCs w:val="20"/>
        </w:rPr>
        <w:t xml:space="preserve">Výstup validuje proti CycloneDX ML-BOM schématu; projde akceptačními kritérii mapping spec §8; každý G7 element přítomen hodnotou, KB referencí, configem, nebo explicitním unknown.</w:t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Podklady: AI_Scout_AIBOM_mapping.md (kompletní mapování 50 elementů)</w:t>
      </w:r>
    </w:p>
    <w:p>
      <w:pPr>
        <w:pStyle w:val="Heading2"/>
        <w:spacing w:after="100" w:before="220"/>
      </w:pPr>
      <w:r>
        <w:rPr>
          <w:b/>
          <w:bCs/>
          <w:color w:val="2F4B7C"/>
          <w:sz w:val="22"/>
          <w:szCs w:val="22"/>
        </w:rPr>
        <w:t xml:space="preserve">Sprint 6 — Compliance reporting (statická vrstva)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Cíl: </w:t>
      </w:r>
      <w:r>
        <w:rPr>
          <w:sz w:val="20"/>
          <w:szCs w:val="20"/>
        </w:rPr>
        <w:t xml:space="preserve">Enterprise diferenciátor: podklad pro DPO/governance, nikdy verdikt.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Rozsah: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Schema-level mapování data egress (kategorie dat × provider × jurisdikce × KB podmínky); vrstva 1 + 3 z spec §5.6, žádná row-level extrakce.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Executive PDF (print vrstva reportu — L0 briefing z konceptu Sestup je připravená podoba).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Formulace všude „podklad pro posouzení“, nikdy „compliant ✓“ — staví na AIBOM datech ze Sprintu 5b.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Hotovo, když: </w:t>
      </w:r>
      <w:r>
        <w:rPr>
          <w:sz w:val="20"/>
          <w:szCs w:val="20"/>
        </w:rPr>
        <w:t xml:space="preserve">Exec PDF + egress mapa vygenerované z reálného scanu; language review proti zakázanému slovníku (verdikt/adequacy).</w:t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Podklady: ai_scout_descent_concept.html (L0 vrstva)</w:t>
      </w:r>
    </w:p>
    <w:p>
      <w:pPr>
        <w:pStyle w:val="Heading1"/>
        <w:spacing w:after="140" w:before="280"/>
      </w:pPr>
      <w:r>
        <w:rPr>
          <w:b/>
          <w:bCs/>
          <w:color w:val="2F4B7C"/>
          <w:sz w:val="26"/>
          <w:szCs w:val="26"/>
        </w:rPr>
        <w:t xml:space="preserve">3. Paralelní track (mimo kódovací sprinty)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0"/>
          <w:szCs w:val="20"/>
        </w:rPr>
        <w:t xml:space="preserve">Threat model dokument</w:t>
      </w:r>
      <w:r>
        <w:rPr>
          <w:sz w:val="20"/>
          <w:szCs w:val="20"/>
        </w:rPr>
        <w:t xml:space="preserve"> — publikovat před prvním pilotem; v prodejním rozhovoru udělá víc než tři featury.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0"/>
          <w:szCs w:val="20"/>
        </w:rPr>
        <w:t xml:space="preserve">Veřejné repo + README + landing</w:t>
      </w:r>
      <w:r>
        <w:rPr>
          <w:sz w:val="20"/>
          <w:szCs w:val="20"/>
        </w:rPr>
        <w:t xml:space="preserve"> — po Sprintu 0 (až je kvalita reportu obhajitelná).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0"/>
          <w:szCs w:val="20"/>
        </w:rPr>
        <w:t xml:space="preserve">Pilot outreach</w:t>
      </w:r>
      <w:r>
        <w:rPr>
          <w:sz w:val="20"/>
          <w:szCs w:val="20"/>
        </w:rPr>
        <w:t xml:space="preserve"> — 1 firma ze sítě RBCZ/V1 po Sprintu 0–1; ne prodej, ale „vyzkoušej a řekni, za co by sis zaplatil“.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0"/>
          <w:szCs w:val="20"/>
        </w:rPr>
        <w:t xml:space="preserve">Vlastní SBOM/AIBOM Scouta + podepsané buildy</w:t>
      </w:r>
      <w:r>
        <w:rPr>
          <w:sz w:val="20"/>
          <w:szCs w:val="20"/>
        </w:rPr>
        <w:t xml:space="preserve"> — nejpozději se Sprintem 5b („nástroj, který AIBOMy generuje, svůj vlastní samozřejmě má“).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0"/>
          <w:szCs w:val="20"/>
        </w:rPr>
        <w:t xml:space="preserve">Web: mode-comparison stránka</w:t>
      </w:r>
      <w:r>
        <w:rPr>
          <w:sz w:val="20"/>
          <w:szCs w:val="20"/>
        </w:rPr>
        <w:t xml:space="preserve"> — po Sprintu s LLM výstupy naplnit skutečnými, neupravenými příklady (ai_scout_mode_comparison.html).</w:t>
      </w:r>
    </w:p>
    <w:p>
      <w:pPr>
        <w:pStyle w:val="Heading1"/>
        <w:spacing w:after="140" w:before="280"/>
      </w:pPr>
      <w:r>
        <w:rPr>
          <w:b/>
          <w:bCs/>
          <w:color w:val="2F4B7C"/>
          <w:sz w:val="26"/>
          <w:szCs w:val="26"/>
        </w:rPr>
        <w:t xml:space="preserve">4. Validační milníky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0"/>
          <w:szCs w:val="20"/>
        </w:rPr>
        <w:t xml:space="preserve">Po Sprintu 0: </w:t>
      </w:r>
      <w:r>
        <w:rPr>
          <w:sz w:val="20"/>
          <w:szCs w:val="20"/>
        </w:rPr>
        <w:t xml:space="preserve">scan reálné Git organizace (100+ řešení) — jediný způsob, jak ověřit agregační hranici a skutečný tvar org dat před další investicí.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0"/>
          <w:szCs w:val="20"/>
        </w:rPr>
        <w:t xml:space="preserve">Po Sprintu 3: </w:t>
      </w:r>
      <w:r>
        <w:rPr>
          <w:sz w:val="20"/>
          <w:szCs w:val="20"/>
        </w:rPr>
        <w:t xml:space="preserve">MCP scan živého prostředí — landscape se mění rychle, scanner kalibrovat na reálných konfiguracích.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0"/>
          <w:szCs w:val="20"/>
        </w:rPr>
        <w:t xml:space="preserve">Po Sprintu 5b: </w:t>
      </w:r>
      <w:r>
        <w:rPr>
          <w:sz w:val="20"/>
          <w:szCs w:val="20"/>
        </w:rPr>
        <w:t xml:space="preserve">AIBOM před skutečného security/governance čtenáře (interní security tým, ideálně pilot) — odpovídá export tomu, co auditor/procurement chce vidět?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0"/>
          <w:szCs w:val="20"/>
        </w:rPr>
        <w:t xml:space="preserve">Průběžně: </w:t>
      </w:r>
      <w:r>
        <w:rPr>
          <w:sz w:val="20"/>
          <w:szCs w:val="20"/>
        </w:rPr>
        <w:t xml:space="preserve">každý sprint uzavřít golden-file snapshotem; každý pilot feedback zapsat do spec před další prací.</w:t>
      </w:r>
    </w:p>
    <w:p>
      <w:pPr>
        <w:pStyle w:val="Heading1"/>
        <w:spacing w:after="140" w:before="280"/>
      </w:pPr>
      <w:r>
        <w:rPr>
          <w:b/>
          <w:bCs/>
          <w:color w:val="2F4B7C"/>
          <w:sz w:val="26"/>
          <w:szCs w:val="26"/>
        </w:rPr>
        <w:t xml:space="preserve">5. Nejbližší tři kroky (začít tady)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Implementovat insight katalog I-01–I-10 + šablonové testy (QA spec §1) — nejmenší ucelený kus Sprintu 0 s okamžitě viditelným efektem na report.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Report linter (QA spec §2) + zapojení do render pipeline s degradací na fact strip.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Agregační vrstva + repo.character detektor; poté validační scan reálné org a revize plánu podle skutečného tvaru dat.</w:t>
      </w:r>
    </w:p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Reference: Product Spec v0.13 (strategie, scope, pricing, Appendix A) · AI_Scout_QA_spec.md · AI_Scout_datamodel_org_cost.md · AI_Scout_AIBOM_mapping.md · HTML prototypy (report design, mode comparison, Sestup). Při změně strategie aktualizovat nejprve Product Spec, poté tento plán.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2026-07-06T19:32:33.475Z</dcterms:created>
  <dcterms:modified xsi:type="dcterms:W3CDTF">2026-07-06T19:32:33.475Z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