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00000"/>
          <w:sz w:val="32"/>
        </w:rPr>
        <w:t>Tomás Maria Burnay Batalha</w:t>
      </w:r>
    </w:p>
    <w:p>
      <w:pPr>
        <w:spacing w:before="0" w:after="80"/>
        <w:jc w:val="center"/>
      </w:pPr>
      <w:r>
        <w:rPr>
          <w:rFonts w:ascii="Calibri" w:hAnsi="Calibri"/>
          <w:color w:val="505050"/>
          <w:sz w:val="16"/>
        </w:rPr>
        <w:t>Lisbon, Portugal (Open to Relocation to Dublin) | (+351) 936 124 118 | tomas.b.batalha@gmail.com | linkedin.com/in/tomasmbatalha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Borders>
              <w:top w:sz="0" w:val="none" w:color="FFFFFF"/>
            </w:tcBorders>
            <w:tcBorders>
              <w:start w:sz="0" w:val="none" w:color="FFFFFF"/>
            </w:tcBorders>
            <w:tcBorders>
              <w:end w:sz="0" w:val="none" w:color="FFFFFF"/>
            </w:tcBorders>
            <w:tcBorders>
              <w:bottom w:sz="6" w:val="single" w:color="000000"/>
            </w:tcBorders>
          </w:tcPr>
          <w:p>
            <w:pPr>
              <w:spacing w:before="0" w:after="0" w:line="240" w:lineRule="exact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PROFESSIONAL SUMMARY</w:t>
            </w:r>
          </w:p>
        </w:tc>
      </w:tr>
    </w:tbl>
    <w:p>
      <w:pPr>
        <w:spacing w:before="40" w:after="0" w:line="40" w:lineRule="exact"/>
      </w:pPr>
    </w:p>
    <w:p>
      <w:pPr>
        <w:spacing w:before="40" w:after="80" w:line="220" w:lineRule="exact"/>
      </w:pPr>
      <w:r>
        <w:rPr>
          <w:rFonts w:ascii="Calibri" w:hAnsi="Calibri"/>
          <w:sz w:val="17"/>
        </w:rPr>
        <w:t>Former Google intern and startup Co-Founder with full-cycle new business sales experience. Built a €147K B2B pipeline from zero through outbound prospecting, cold outreach, and enterprise deal closing. Managed a 2,311-account territory at Amazon, outperforming full-time colleagues. Seeking to bring builder mentality and commercial execution to Google's New Business Sales team.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Borders>
              <w:top w:sz="0" w:val="none" w:color="FFFFFF"/>
            </w:tcBorders>
            <w:tcBorders>
              <w:start w:sz="0" w:val="none" w:color="FFFFFF"/>
            </w:tcBorders>
            <w:tcBorders>
              <w:end w:sz="0" w:val="none" w:color="FFFFFF"/>
            </w:tcBorders>
            <w:tcBorders>
              <w:bottom w:sz="6" w:val="single" w:color="000000"/>
            </w:tcBorders>
          </w:tcPr>
          <w:p>
            <w:pPr>
              <w:spacing w:before="0" w:after="0" w:line="240" w:lineRule="exact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WORK EXPERIENCE</w:t>
            </w:r>
          </w:p>
        </w:tc>
      </w:tr>
    </w:tbl>
    <w:p>
      <w:pPr>
        <w:spacing w:before="40" w:after="0" w:line="40" w:lineRule="exact"/>
      </w:pPr>
    </w:p>
    <w:p>
      <w:pPr>
        <w:spacing w:before="80" w:after="0" w:line="240" w:lineRule="exact"/>
      </w:pPr>
      <w:r>
        <w:rPr>
          <w:rFonts w:ascii="Calibri" w:hAnsi="Calibri"/>
          <w:b/>
          <w:sz w:val="19"/>
        </w:rPr>
        <w:t>Pairwire | New York, USA (Remote)</w:t>
      </w:r>
    </w:p>
    <w:p>
      <w:pPr>
        <w:spacing w:before="0" w:after="40" w:line="240" w:lineRule="exact"/>
      </w:pPr>
      <w:r>
        <w:rPr>
          <w:rFonts w:ascii="Calibri" w:hAnsi="Calibri"/>
          <w:i/>
          <w:sz w:val="18"/>
        </w:rPr>
        <w:t>Co-Founder and Head of Sales | February 2024 – December 2025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Built €147K pipeline of contracted enterprise pilots from zero in 11 months pre-funding through outbound prospecting, cold calling, consulting, and relationship management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Closed 23 enterprise engagements including Fortune 500 and Big 4 firms across 6-9 month full-cycle sales processes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Designed an AI-powered outbound engine processing 7,000+ leads, automating 80% of prospecting via custom tech stack (Python, Expand.io, AI-enhanced workflows)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Led end-to-end deal management from first touch to contract close, managing entire funnel with no sales team or brand recognition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Created partnership and investor pitch materials; led negotiations with Google, Web Summit, and enterprise decision-makers</w:t>
      </w:r>
    </w:p>
    <w:p>
      <w:pPr>
        <w:spacing w:before="80" w:after="0" w:line="240" w:lineRule="exact"/>
      </w:pPr>
      <w:r>
        <w:rPr>
          <w:rFonts w:ascii="Calibri" w:hAnsi="Calibri"/>
          <w:b/>
          <w:sz w:val="19"/>
        </w:rPr>
        <w:t>Google | Lisbon, Portugal</w:t>
      </w:r>
    </w:p>
    <w:p>
      <w:pPr>
        <w:spacing w:before="0" w:after="40" w:line="240" w:lineRule="exact"/>
      </w:pPr>
      <w:r>
        <w:rPr>
          <w:rFonts w:ascii="Calibri" w:hAnsi="Calibri"/>
          <w:i/>
          <w:sz w:val="18"/>
        </w:rPr>
        <w:t>Business Analyst Intern (Large Customer Sales) | May 2024 – August 2024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Led the "Future Trends" segment at Google's flagship partner event, presenting personally researched insights on Peak Season activation and media readiness to 237+ senior advertising clients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Designed and automated three globally scalable dashboards using Apps Script and GMP tools to analyze ROAS vs. profit and CPA vs. conversions, projecting $1.41M in annual savings for media spend decisions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Built a reporting platform for Partner Managers using Looker Studio, Analytics 360, and Apps Script, delivering an estimated €315K in annual efficiency gains</w:t>
      </w:r>
    </w:p>
    <w:p>
      <w:pPr>
        <w:spacing w:before="80" w:after="0" w:line="240" w:lineRule="exact"/>
      </w:pPr>
      <w:r>
        <w:rPr>
          <w:rFonts w:ascii="Calibri" w:hAnsi="Calibri"/>
          <w:b/>
          <w:sz w:val="19"/>
        </w:rPr>
        <w:t>Amazon | Madrid, Spain</w:t>
      </w:r>
    </w:p>
    <w:p>
      <w:pPr>
        <w:spacing w:before="0" w:after="40" w:line="240" w:lineRule="exact"/>
      </w:pPr>
      <w:r>
        <w:rPr>
          <w:rFonts w:ascii="Calibri" w:hAnsi="Calibri"/>
          <w:i/>
          <w:sz w:val="18"/>
        </w:rPr>
        <w:t>Business Development Intern (Amazon Business) | May 2022 – November 2022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Led the B2B retail expansion into Portugal, managing a portfolio of 2,311 companies through prospecting, outreach, and account activation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Outperformed KPI benchmarks by 21x in company account configurations during the Portugal B2B rollout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Raised territory share from 56% below to 25% above team average, outperforming full-time colleagues in the region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Compiled a 19-page strategic report on B2B eCommerce based on 8 company territories and 54 targeted client interviews</w:t>
      </w:r>
    </w:p>
    <w:p>
      <w:pPr>
        <w:spacing w:before="80" w:after="0" w:line="240" w:lineRule="exact"/>
      </w:pPr>
      <w:r>
        <w:rPr>
          <w:rFonts w:ascii="Calibri" w:hAnsi="Calibri"/>
          <w:b/>
          <w:sz w:val="19"/>
        </w:rPr>
        <w:t>EY | Lisbon, Portugal</w:t>
      </w:r>
    </w:p>
    <w:p>
      <w:pPr>
        <w:spacing w:before="0" w:after="40" w:line="240" w:lineRule="exact"/>
      </w:pPr>
      <w:r>
        <w:rPr>
          <w:rFonts w:ascii="Calibri" w:hAnsi="Calibri"/>
          <w:i/>
          <w:sz w:val="18"/>
        </w:rPr>
        <w:t>Assurance Associate (Financial Services) | February 2022 – April 2022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Audited asset portfolios worth €41.3 billion across 3 insurance firms, developing rigorous data verification and attention to detail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Borders>
              <w:top w:sz="0" w:val="none" w:color="FFFFFF"/>
            </w:tcBorders>
            <w:tcBorders>
              <w:start w:sz="0" w:val="none" w:color="FFFFFF"/>
            </w:tcBorders>
            <w:tcBorders>
              <w:end w:sz="0" w:val="none" w:color="FFFFFF"/>
            </w:tcBorders>
            <w:tcBorders>
              <w:bottom w:sz="6" w:val="single" w:color="000000"/>
            </w:tcBorders>
          </w:tcPr>
          <w:p>
            <w:pPr>
              <w:spacing w:before="0" w:after="0" w:line="240" w:lineRule="exact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EDUCATION</w:t>
            </w:r>
          </w:p>
        </w:tc>
      </w:tr>
    </w:tbl>
    <w:p>
      <w:pPr>
        <w:spacing w:before="40" w:after="0" w:line="40" w:lineRule="exact"/>
      </w:pPr>
    </w:p>
    <w:p>
      <w:pPr>
        <w:spacing w:before="80" w:after="0" w:line="240" w:lineRule="exact"/>
      </w:pPr>
      <w:r>
        <w:rPr>
          <w:rFonts w:ascii="Calibri" w:hAnsi="Calibri"/>
          <w:b/>
          <w:sz w:val="19"/>
        </w:rPr>
        <w:t>Rotterdam School of Management | Rotterdam, Netherlands</w:t>
      </w:r>
    </w:p>
    <w:p>
      <w:pPr>
        <w:spacing w:before="0" w:after="20" w:line="240" w:lineRule="exact"/>
      </w:pPr>
      <w:r>
        <w:rPr>
          <w:rFonts w:ascii="Calibri" w:hAnsi="Calibri"/>
          <w:i/>
          <w:sz w:val="18"/>
        </w:rPr>
        <w:t>MSc in Strategic Management | GPA: 8/10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Relevant Courses: Applied Machine Learning to Strategy (9.3/10), Python Fundamentals (8.3/10)</w:t>
      </w:r>
    </w:p>
    <w:p>
      <w:pPr>
        <w:spacing w:before="80" w:after="0" w:line="240" w:lineRule="exact"/>
      </w:pPr>
      <w:r>
        <w:rPr>
          <w:rFonts w:ascii="Calibri" w:hAnsi="Calibri"/>
          <w:b/>
          <w:sz w:val="19"/>
        </w:rPr>
        <w:t>National University of Singapore | Singapore</w:t>
      </w:r>
    </w:p>
    <w:p>
      <w:pPr>
        <w:spacing w:before="0" w:after="20" w:line="240" w:lineRule="exact"/>
      </w:pPr>
      <w:r>
        <w:rPr>
          <w:rFonts w:ascii="Calibri" w:hAnsi="Calibri"/>
          <w:i/>
          <w:sz w:val="18"/>
        </w:rPr>
        <w:t>MSc Curriculum Term | MBA-aligned coursework in Strategy and Innovation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Built a commercial and financial plan for a NUS PhD venture: 70% energy savings, 45% unit margins, 278% ROI in a $1.5B market</w:t>
      </w:r>
    </w:p>
    <w:p>
      <w:pPr>
        <w:spacing w:before="80" w:after="0" w:line="240" w:lineRule="exact"/>
      </w:pPr>
      <w:r>
        <w:rPr>
          <w:rFonts w:ascii="Calibri" w:hAnsi="Calibri"/>
          <w:b/>
          <w:sz w:val="19"/>
        </w:rPr>
        <w:t>Nova School of Business and Economics | Lisbon, Portugal</w:t>
      </w:r>
    </w:p>
    <w:p>
      <w:pPr>
        <w:spacing w:before="0" w:after="20" w:line="240" w:lineRule="exact"/>
      </w:pPr>
      <w:r>
        <w:rPr>
          <w:rFonts w:ascii="Calibri" w:hAnsi="Calibri"/>
          <w:i/>
          <w:sz w:val="18"/>
        </w:rPr>
        <w:t>BSc in Management | GPA: 16/20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Statistics (20/20), Procurement Management (19/20), Economics of the European Union (19/20)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Borders>
              <w:top w:sz="0" w:val="none" w:color="FFFFFF"/>
            </w:tcBorders>
            <w:tcBorders>
              <w:start w:sz="0" w:val="none" w:color="FFFFFF"/>
            </w:tcBorders>
            <w:tcBorders>
              <w:end w:sz="0" w:val="none" w:color="FFFFFF"/>
            </w:tcBorders>
            <w:tcBorders>
              <w:bottom w:sz="6" w:val="single" w:color="000000"/>
            </w:tcBorders>
          </w:tcPr>
          <w:p>
            <w:pPr>
              <w:spacing w:before="0" w:after="0" w:line="240" w:lineRule="exact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LEADERSHIP &amp; ACTIVITIES</w:t>
            </w:r>
          </w:p>
        </w:tc>
      </w:tr>
    </w:tbl>
    <w:p>
      <w:pPr>
        <w:spacing w:before="40" w:after="0" w:line="40" w:lineRule="exact"/>
      </w:pPr>
    </w:p>
    <w:p>
      <w:pPr>
        <w:spacing w:before="20" w:after="20" w:line="220" w:lineRule="exact"/>
      </w:pPr>
      <w:r>
        <w:rPr>
          <w:rFonts w:ascii="Calibri" w:hAnsi="Calibri"/>
          <w:b/>
          <w:sz w:val="17"/>
        </w:rPr>
        <w:t xml:space="preserve">Nova Thirst Project — </w:t>
      </w:r>
      <w:r>
        <w:rPr>
          <w:rFonts w:ascii="Calibri" w:hAnsi="Calibri"/>
          <w:sz w:val="17"/>
        </w:rPr>
        <w:t>Founder &amp; President: Led 23 volunteers, raised E2,539 for water access, organized 4 events including one with 35 NGOs (2020-2021)</w:t>
      </w:r>
    </w:p>
    <w:p>
      <w:pPr>
        <w:spacing w:before="20" w:after="20" w:line="220" w:lineRule="exact"/>
      </w:pPr>
      <w:r>
        <w:rPr>
          <w:rFonts w:ascii="Calibri" w:hAnsi="Calibri"/>
          <w:b/>
          <w:sz w:val="17"/>
        </w:rPr>
        <w:t xml:space="preserve">Nova Tech Club — </w:t>
      </w:r>
      <w:r>
        <w:rPr>
          <w:rFonts w:ascii="Calibri" w:hAnsi="Calibri"/>
          <w:sz w:val="17"/>
        </w:rPr>
        <w:t>Digital Transformation Consultant: Designed a job platform prototype and organized corporate events and workshops (2020-2021)</w:t>
      </w:r>
    </w:p>
    <w:p>
      <w:pPr>
        <w:spacing w:before="20" w:after="20" w:line="220" w:lineRule="exact"/>
      </w:pPr>
      <w:r>
        <w:rPr>
          <w:rFonts w:ascii="Calibri" w:hAnsi="Calibri"/>
          <w:b/>
          <w:sz w:val="17"/>
        </w:rPr>
        <w:t xml:space="preserve">Nova Social Consulting (WWF) — </w:t>
      </w:r>
      <w:r>
        <w:rPr>
          <w:rFonts w:ascii="Calibri" w:hAnsi="Calibri"/>
          <w:sz w:val="17"/>
        </w:rPr>
        <w:t>Pro Bono Consultant: Assessed organizational structure, identified 155 improvement areas, delivered 6 presentations to senior management (2020-2021)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Borders>
              <w:top w:sz="0" w:val="none" w:color="FFFFFF"/>
            </w:tcBorders>
            <w:tcBorders>
              <w:start w:sz="0" w:val="none" w:color="FFFFFF"/>
            </w:tcBorders>
            <w:tcBorders>
              <w:end w:sz="0" w:val="none" w:color="FFFFFF"/>
            </w:tcBorders>
            <w:tcBorders>
              <w:bottom w:sz="6" w:val="single" w:color="000000"/>
            </w:tcBorders>
          </w:tcPr>
          <w:p>
            <w:pPr>
              <w:spacing w:before="0" w:after="0" w:line="240" w:lineRule="exact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SKILLS</w:t>
            </w:r>
          </w:p>
        </w:tc>
      </w:tr>
    </w:tbl>
    <w:p>
      <w:pPr>
        <w:spacing w:before="40" w:after="0" w:line="40" w:lineRule="exact"/>
      </w:pPr>
    </w:p>
    <w:p>
      <w:pPr>
        <w:spacing w:before="20" w:after="20" w:line="220" w:lineRule="exact"/>
      </w:pPr>
      <w:r>
        <w:rPr>
          <w:rFonts w:ascii="Calibri" w:hAnsi="Calibri"/>
          <w:b/>
          <w:sz w:val="17"/>
        </w:rPr>
        <w:t xml:space="preserve">Sales &amp; Marketing: </w:t>
      </w:r>
      <w:r>
        <w:rPr>
          <w:rFonts w:ascii="Calibri" w:hAnsi="Calibri"/>
          <w:sz w:val="17"/>
        </w:rPr>
        <w:t>Google Ads, YouTube Ads, Google Display Network, CRM (Salesforce), LinkedIn Sales Navigator, Apollo, Full-Cycle Sales, Pipeline Management, Cold Outreach, Consultative Selling</w:t>
      </w:r>
    </w:p>
    <w:p>
      <w:pPr>
        <w:spacing w:before="20" w:after="20" w:line="220" w:lineRule="exact"/>
      </w:pPr>
      <w:r>
        <w:rPr>
          <w:rFonts w:ascii="Calibri" w:hAnsi="Calibri"/>
          <w:b/>
          <w:sz w:val="17"/>
        </w:rPr>
        <w:t xml:space="preserve">Technical: </w:t>
      </w:r>
      <w:r>
        <w:rPr>
          <w:rFonts w:ascii="Calibri" w:hAnsi="Calibri"/>
          <w:sz w:val="17"/>
        </w:rPr>
        <w:t>Python, Apps Script, Visual Basic for Applications (VBA), SQL, Looker Studio, Power BI, DAX</w:t>
      </w:r>
    </w:p>
    <w:p>
      <w:pPr>
        <w:spacing w:before="20" w:after="20" w:line="220" w:lineRule="exact"/>
      </w:pPr>
      <w:r>
        <w:rPr>
          <w:rFonts w:ascii="Calibri" w:hAnsi="Calibri"/>
          <w:b/>
          <w:sz w:val="17"/>
        </w:rPr>
        <w:t xml:space="preserve">Certifications: </w:t>
      </w:r>
      <w:r>
        <w:rPr>
          <w:rFonts w:ascii="Calibri" w:hAnsi="Calibri"/>
          <w:sz w:val="17"/>
        </w:rPr>
        <w:t>Google Ads Certified, Bloomberg Market Concepts, Microsoft Excel Specialist, TOEFL iBT</w:t>
      </w:r>
    </w:p>
    <w:p>
      <w:pPr>
        <w:spacing w:before="20" w:after="20" w:line="220" w:lineRule="exact"/>
      </w:pPr>
      <w:r>
        <w:rPr>
          <w:rFonts w:ascii="Calibri" w:hAnsi="Calibri"/>
          <w:b/>
          <w:sz w:val="17"/>
        </w:rPr>
        <w:t xml:space="preserve">Languages: </w:t>
      </w:r>
      <w:r>
        <w:rPr>
          <w:rFonts w:ascii="Calibri" w:hAnsi="Calibri"/>
          <w:sz w:val="17"/>
        </w:rPr>
        <w:t>Portuguese (Native), English (Fluent), Spanish (Fluent), French (Beginner)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