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18"/>
        </w:rPr>
        <w:t>SPARTA · DEFENCE CYBER · BUSINESS PLAN · REVIEW-READY · 2026 EDITION · V2.0</w:t>
      </w:r>
    </w:p>
    <w:p>
      <w:pPr>
        <w:pStyle w:val="Title"/>
        <w:spacing w:after="40"/>
      </w:pPr>
      <w:r>
        <w:rPr>
          <w:b/>
          <w:color w:val="101A2D"/>
          <w:sz w:val="52"/>
        </w:rPr>
        <w:t>SPARTA Business Plan</w:t>
      </w:r>
    </w:p>
    <w:p>
      <w:pPr>
        <w:spacing w:after="160"/>
      </w:pPr>
      <w:r>
        <w:rPr>
          <w:i/>
          <w:color w:val="52627A"/>
          <w:sz w:val="22"/>
        </w:rPr>
        <w:t>A standalone, analytical, review-ready, evidence-based business plan for SPARTA — the mission-aware cyber trust layer for distributed tactical edge nodes — positioned within Airbus Defence &amp; Space and the Future Combat Air System (FCAS) ecosystem. Structured to defence-prime review-board conventions. Tagged F (verified public fact) / A (reasoned assumption) / I (expert interpretation) throughout. Aligned to the CDR-ready Draft C.4 technical baseline.</w:t>
      </w:r>
    </w:p>
    <w:tbl>
      <w:tblPr>
        <w:tblW w:type="auto" w:w="0"/>
        <w:jc w:val="center"/>
        <w:tblLook w:firstColumn="1" w:firstRow="1" w:lastColumn="0" w:lastRow="0" w:noHBand="0" w:noVBand="1" w:val="04A0"/>
      </w:tblPr>
      <w:tblGrid>
        <w:gridCol w:w="4986"/>
        <w:gridCol w:w="4986"/>
      </w:tblGrid>
      <w:tr>
        <w:tc>
          <w:tcPr>
            <w:tcW w:type="dxa" w:w="4986"/>
            <w:tcBorders>
              <w:top w:val="single" w:sz="4" w:color="B7CCE6"/>
              <w:left w:val="single" w:sz="4" w:color="B7CCE6"/>
              <w:bottom w:val="single" w:sz="4" w:color="B7CCE6"/>
              <w:right w:val="single" w:sz="4" w:color="B7CCE6"/>
            </w:tcBorders>
            <w:shd w:val="clear" w:color="auto" w:fill="EAF1F8"/>
          </w:tcPr>
          <w:p>
            <w:r>
              <w:rPr>
                <w:b/>
                <w:color w:val="1F4E79"/>
                <w:sz w:val="18"/>
              </w:rPr>
              <w:t>Subject</w:t>
            </w:r>
          </w:p>
          <w:p>
            <w:pPr>
              <w:spacing w:after="0"/>
            </w:pPr>
            <w:r>
              <w:rPr>
                <w:color w:val="142033"/>
                <w:sz w:val="19"/>
              </w:rPr>
              <w:t>SPARTA — Secure Platform Awareness, Resilience, Trust &amp; Assessment</w:t>
            </w:r>
          </w:p>
        </w:tc>
        <w:tc>
          <w:tcPr>
            <w:tcW w:type="dxa" w:w="4986"/>
            <w:tcBorders>
              <w:top w:val="single" w:sz="4" w:color="B7CCE6"/>
              <w:left w:val="single" w:sz="4" w:color="B7CCE6"/>
              <w:bottom w:val="single" w:sz="4" w:color="B7CCE6"/>
              <w:right w:val="single" w:sz="4" w:color="B7CCE6"/>
            </w:tcBorders>
            <w:shd w:val="clear" w:color="auto" w:fill="EAF1F8"/>
          </w:tcPr>
          <w:p>
            <w:r>
              <w:rPr>
                <w:b/>
                <w:color w:val="1F4E79"/>
                <w:sz w:val="18"/>
              </w:rPr>
              <w:t>Audience</w:t>
            </w:r>
          </w:p>
          <w:p>
            <w:pPr>
              <w:spacing w:after="0"/>
            </w:pPr>
            <w:r>
              <w:rPr>
                <w:color w:val="142033"/>
                <w:sz w:val="19"/>
              </w:rPr>
              <w:t>Airbus DS Strategy &amp; Finance · FCAS Combat Cloud Programme · Programme Steering · Executive Board</w:t>
            </w:r>
          </w:p>
        </w:tc>
      </w:tr>
      <w:tr>
        <w:tc>
          <w:tcPr>
            <w:tcW w:type="dxa" w:w="4986"/>
            <w:tcBorders>
              <w:top w:val="single" w:sz="4" w:color="B7CCE6"/>
              <w:left w:val="single" w:sz="4" w:color="B7CCE6"/>
              <w:bottom w:val="single" w:sz="4" w:color="B7CCE6"/>
              <w:right w:val="single" w:sz="4" w:color="B7CCE6"/>
            </w:tcBorders>
            <w:shd w:val="clear" w:color="auto" w:fill="EAF1F8"/>
          </w:tcPr>
          <w:p>
            <w:r>
              <w:rPr>
                <w:b/>
                <w:color w:val="1F4E79"/>
                <w:sz w:val="18"/>
              </w:rPr>
              <w:t>Decision sought</w:t>
            </w:r>
          </w:p>
          <w:p>
            <w:pPr>
              <w:spacing w:after="0"/>
            </w:pPr>
            <w:r>
              <w:rPr>
                <w:color w:val="142033"/>
                <w:sz w:val="19"/>
              </w:rPr>
              <w:t>GO / NO-GO / PIVOT — investment authorisation (€58–88 M non-recurring 2026–2038)</w:t>
            </w:r>
          </w:p>
        </w:tc>
        <w:tc>
          <w:tcPr>
            <w:tcW w:type="dxa" w:w="4986"/>
            <w:tcBorders>
              <w:top w:val="single" w:sz="4" w:color="B7CCE6"/>
              <w:left w:val="single" w:sz="4" w:color="B7CCE6"/>
              <w:bottom w:val="single" w:sz="4" w:color="B7CCE6"/>
              <w:right w:val="single" w:sz="4" w:color="B7CCE6"/>
            </w:tcBorders>
            <w:shd w:val="clear" w:color="auto" w:fill="EAF1F8"/>
          </w:tcPr>
          <w:p>
            <w:r>
              <w:rPr>
                <w:b/>
                <w:color w:val="1F4E79"/>
                <w:sz w:val="18"/>
              </w:rPr>
              <w:t>Horizon</w:t>
            </w:r>
          </w:p>
          <w:p>
            <w:pPr>
              <w:spacing w:after="0"/>
            </w:pPr>
            <w:r>
              <w:rPr>
                <w:color w:val="142033"/>
                <w:sz w:val="19"/>
              </w:rPr>
              <w:t>15 years (2026–2040), capability evolution through FCAS IOC</w:t>
            </w:r>
          </w:p>
        </w:tc>
      </w:tr>
      <w:tr>
        <w:tc>
          <w:tcPr>
            <w:tcW w:type="dxa" w:w="4986"/>
            <w:tcBorders>
              <w:top w:val="single" w:sz="4" w:color="B7CCE6"/>
              <w:left w:val="single" w:sz="4" w:color="B7CCE6"/>
              <w:bottom w:val="single" w:sz="4" w:color="B7CCE6"/>
              <w:right w:val="single" w:sz="4" w:color="B7CCE6"/>
            </w:tcBorders>
            <w:shd w:val="clear" w:color="auto" w:fill="EAF1F8"/>
          </w:tcPr>
          <w:p>
            <w:r>
              <w:rPr>
                <w:b/>
                <w:color w:val="1F4E79"/>
                <w:sz w:val="18"/>
              </w:rPr>
              <w:t>Issue</w:t>
            </w:r>
          </w:p>
          <w:p>
            <w:pPr>
              <w:spacing w:after="0"/>
            </w:pPr>
            <w:r>
              <w:rPr>
                <w:color w:val="142033"/>
                <w:sz w:val="19"/>
              </w:rPr>
              <w:t>v2.0 — 24 April 2026 · Review-Board grade · Restructured to standard board template</w:t>
            </w:r>
          </w:p>
        </w:tc>
        <w:tc>
          <w:tcPr>
            <w:tcW w:type="dxa" w:w="4986"/>
            <w:tcBorders>
              <w:top w:val="single" w:sz="4" w:color="B7CCE6"/>
              <w:left w:val="single" w:sz="4" w:color="B7CCE6"/>
              <w:bottom w:val="single" w:sz="4" w:color="B7CCE6"/>
              <w:right w:val="single" w:sz="4" w:color="B7CCE6"/>
            </w:tcBorders>
            <w:shd w:val="clear" w:color="auto" w:fill="EAF1F8"/>
          </w:tcPr>
          <w:p>
            <w:r>
              <w:rPr>
                <w:b/>
                <w:color w:val="1F4E79"/>
                <w:sz w:val="18"/>
              </w:rPr>
              <w:t>Classification</w:t>
            </w:r>
          </w:p>
          <w:p>
            <w:pPr>
              <w:spacing w:after="0"/>
            </w:pPr>
            <w:r>
              <w:rPr>
                <w:color w:val="142033"/>
                <w:sz w:val="19"/>
              </w:rPr>
              <w:t>Airbus Restricted (commercially sensitive)</w:t>
            </w:r>
          </w:p>
        </w:tc>
      </w:tr>
      <w:tr>
        <w:tc>
          <w:tcPr>
            <w:tcW w:type="dxa" w:w="4986"/>
            <w:tcBorders>
              <w:top w:val="single" w:sz="4" w:color="B7CCE6"/>
              <w:left w:val="single" w:sz="4" w:color="B7CCE6"/>
              <w:bottom w:val="single" w:sz="4" w:color="B7CCE6"/>
              <w:right w:val="single" w:sz="4" w:color="B7CCE6"/>
            </w:tcBorders>
            <w:shd w:val="clear" w:color="auto" w:fill="EAF1F8"/>
          </w:tcPr>
          <w:p>
            <w:r>
              <w:rPr>
                <w:b/>
                <w:color w:val="1F4E79"/>
                <w:sz w:val="18"/>
              </w:rPr>
              <w:t>References</w:t>
            </w:r>
          </w:p>
          <w:p>
            <w:pPr>
              <w:spacing w:after="0"/>
            </w:pPr>
            <w:r>
              <w:rPr>
                <w:color w:val="142033"/>
                <w:sz w:val="19"/>
              </w:rPr>
              <w:t>26 primary &amp; secondary sources (see §9)</w:t>
            </w:r>
          </w:p>
        </w:tc>
        <w:tc>
          <w:tcPr>
            <w:tcW w:type="dxa" w:w="4986"/>
            <w:tcBorders>
              <w:top w:val="single" w:sz="4" w:color="B7CCE6"/>
              <w:left w:val="single" w:sz="4" w:color="B7CCE6"/>
              <w:bottom w:val="single" w:sz="4" w:color="B7CCE6"/>
              <w:right w:val="single" w:sz="4" w:color="B7CCE6"/>
            </w:tcBorders>
            <w:shd w:val="clear" w:color="auto" w:fill="EAF1F8"/>
          </w:tcPr>
          <w:p>
            <w:r>
              <w:rPr>
                <w:b/>
                <w:color w:val="1F4E79"/>
                <w:sz w:val="18"/>
              </w:rPr>
              <w:t>Companion documents</w:t>
            </w:r>
          </w:p>
          <w:p>
            <w:pPr>
              <w:spacing w:after="0"/>
            </w:pPr>
            <w:r>
              <w:rPr>
                <w:color w:val="142033"/>
                <w:sz w:val="19"/>
              </w:rPr>
              <w:t>SPARTA Datapack Deliverables 01–06 (CDR-ready Draft C.4)</w:t>
            </w:r>
          </w:p>
        </w:tc>
      </w:tr>
    </w:tbl>
    <w:p>
      <w:pPr>
        <w:spacing w:after="160"/>
      </w:pPr>
    </w:p>
    <w:p>
      <w:pPr>
        <w:spacing w:before="160" w:after="80"/>
      </w:pPr>
      <w:r>
        <w:rPr>
          <w:b/>
          <w:color w:val="1F4E79"/>
          <w:sz w:val="26"/>
        </w:rPr>
        <w:t>Contents</w:t>
      </w:r>
    </w:p>
    <w:p>
      <w:pPr>
        <w:spacing w:after="0"/>
      </w:pPr>
      <w:r>
        <w:rPr>
          <w:b/>
          <w:color w:val="1F4E79"/>
          <w:sz w:val="22"/>
        </w:rPr>
        <w:t>Introduction</w:t>
      </w:r>
    </w:p>
    <w:p>
      <w:pPr>
        <w:spacing w:after="0"/>
      </w:pPr>
      <w:r>
        <w:rPr>
          <w:b/>
          <w:color w:val="1F4E79"/>
          <w:sz w:val="22"/>
        </w:rPr>
        <w:t>Executive Summary</w:t>
      </w:r>
    </w:p>
    <w:p>
      <w:pPr>
        <w:spacing w:after="0"/>
        <w:ind w:left="454"/>
      </w:pPr>
      <w:r>
        <w:rPr>
          <w:color w:val="142033"/>
          <w:sz w:val="20"/>
        </w:rPr>
        <w:t>2.1 Vision</w:t>
      </w:r>
    </w:p>
    <w:p>
      <w:pPr>
        <w:spacing w:after="0"/>
        <w:ind w:left="454"/>
      </w:pPr>
      <w:r>
        <w:rPr>
          <w:color w:val="142033"/>
          <w:sz w:val="20"/>
        </w:rPr>
        <w:t>2.2 Opportunity Overview</w:t>
      </w:r>
    </w:p>
    <w:p>
      <w:pPr>
        <w:spacing w:after="0"/>
        <w:ind w:left="454"/>
      </w:pPr>
      <w:r>
        <w:rPr>
          <w:color w:val="142033"/>
          <w:sz w:val="20"/>
        </w:rPr>
        <w:t>2.3 Value Proposition Overview</w:t>
      </w:r>
    </w:p>
    <w:p>
      <w:pPr>
        <w:spacing w:after="0"/>
        <w:ind w:left="454"/>
      </w:pPr>
      <w:r>
        <w:rPr>
          <w:color w:val="142033"/>
          <w:sz w:val="20"/>
        </w:rPr>
        <w:t>2.4 Financial Summary</w:t>
      </w:r>
    </w:p>
    <w:p>
      <w:pPr>
        <w:spacing w:after="0"/>
      </w:pPr>
      <w:r>
        <w:rPr>
          <w:b/>
          <w:color w:val="1F4E79"/>
          <w:sz w:val="22"/>
        </w:rPr>
        <w:t>Market Analysis</w:t>
      </w:r>
    </w:p>
    <w:p>
      <w:pPr>
        <w:spacing w:after="0"/>
        <w:ind w:left="454"/>
      </w:pPr>
      <w:r>
        <w:rPr>
          <w:color w:val="142033"/>
          <w:sz w:val="20"/>
        </w:rPr>
        <w:t>3.1 Value Proposition (detailed)</w:t>
      </w:r>
    </w:p>
    <w:p>
      <w:pPr>
        <w:spacing w:after="0"/>
        <w:ind w:left="454"/>
      </w:pPr>
      <w:r>
        <w:rPr>
          <w:color w:val="142033"/>
          <w:sz w:val="20"/>
        </w:rPr>
        <w:t>3.2 Attractiveness, Technology, Innovation</w:t>
      </w:r>
    </w:p>
    <w:p>
      <w:pPr>
        <w:spacing w:after="0"/>
        <w:ind w:left="454"/>
      </w:pPr>
      <w:r>
        <w:rPr>
          <w:color w:val="142033"/>
          <w:sz w:val="20"/>
        </w:rPr>
        <w:t>3.3 Customer Segments &amp; Markets</w:t>
      </w:r>
    </w:p>
    <w:p>
      <w:pPr>
        <w:spacing w:after="0"/>
        <w:ind w:left="454"/>
      </w:pPr>
      <w:r>
        <w:rPr>
          <w:color w:val="142033"/>
          <w:sz w:val="20"/>
        </w:rPr>
        <w:t>3.4 Competitive Forces</w:t>
      </w:r>
    </w:p>
    <w:p>
      <w:pPr>
        <w:spacing w:after="0"/>
        <w:ind w:left="454"/>
      </w:pPr>
      <w:r>
        <w:rPr>
          <w:color w:val="142033"/>
          <w:sz w:val="20"/>
        </w:rPr>
        <w:t>3.5 Stakeholder Relationships</w:t>
      </w:r>
    </w:p>
    <w:p>
      <w:pPr>
        <w:spacing w:after="0"/>
        <w:ind w:left="454"/>
      </w:pPr>
      <w:r>
        <w:rPr>
          <w:color w:val="142033"/>
          <w:sz w:val="20"/>
        </w:rPr>
        <w:t>3.6 Distribution Channels</w:t>
      </w:r>
    </w:p>
    <w:p>
      <w:pPr>
        <w:spacing w:after="0"/>
      </w:pPr>
      <w:r>
        <w:rPr>
          <w:b/>
          <w:color w:val="1F4E79"/>
          <w:sz w:val="22"/>
        </w:rPr>
        <w:t>Capabilities Analysis</w:t>
      </w:r>
    </w:p>
    <w:p>
      <w:pPr>
        <w:spacing w:after="0"/>
        <w:ind w:left="454"/>
      </w:pPr>
      <w:r>
        <w:rPr>
          <w:color w:val="142033"/>
          <w:sz w:val="20"/>
        </w:rPr>
        <w:t>4.1 Resources &amp; Core Capabilities</w:t>
      </w:r>
    </w:p>
    <w:p>
      <w:pPr>
        <w:spacing w:after="0"/>
        <w:ind w:left="454"/>
      </w:pPr>
      <w:r>
        <w:rPr>
          <w:color w:val="142033"/>
          <w:sz w:val="20"/>
        </w:rPr>
        <w:t>4.2 Value Activities &amp; Processes</w:t>
      </w:r>
    </w:p>
    <w:p>
      <w:pPr>
        <w:spacing w:after="0"/>
        <w:ind w:left="454"/>
      </w:pPr>
      <w:r>
        <w:rPr>
          <w:color w:val="142033"/>
          <w:sz w:val="20"/>
        </w:rPr>
        <w:t>4.3 Key Suppliers, Partnerships, Network, Ecosystem</w:t>
      </w:r>
    </w:p>
    <w:p>
      <w:pPr>
        <w:spacing w:after="0"/>
      </w:pPr>
      <w:r>
        <w:rPr>
          <w:b/>
          <w:color w:val="1F4E79"/>
          <w:sz w:val="22"/>
        </w:rPr>
        <w:t>Financial Analysis</w:t>
      </w:r>
    </w:p>
    <w:p>
      <w:pPr>
        <w:spacing w:after="0"/>
        <w:ind w:left="454"/>
      </w:pPr>
      <w:r>
        <w:rPr>
          <w:color w:val="142033"/>
          <w:sz w:val="20"/>
        </w:rPr>
        <w:t>5.1 Cost Structure</w:t>
      </w:r>
    </w:p>
    <w:p>
      <w:pPr>
        <w:spacing w:after="0"/>
        <w:ind w:left="454"/>
      </w:pPr>
      <w:r>
        <w:rPr>
          <w:color w:val="142033"/>
          <w:sz w:val="20"/>
        </w:rPr>
        <w:t>5.2 Revenue Model</w:t>
      </w:r>
    </w:p>
    <w:p>
      <w:pPr>
        <w:spacing w:after="0"/>
        <w:ind w:left="454"/>
      </w:pPr>
      <w:r>
        <w:rPr>
          <w:color w:val="142033"/>
          <w:sz w:val="20"/>
        </w:rPr>
        <w:t>5.3 Profitability</w:t>
      </w:r>
    </w:p>
    <w:p>
      <w:pPr>
        <w:spacing w:after="0"/>
      </w:pPr>
      <w:r>
        <w:rPr>
          <w:b/>
          <w:color w:val="1F4E79"/>
          <w:sz w:val="22"/>
        </w:rPr>
        <w:t>Compatibility Analysis</w:t>
      </w:r>
    </w:p>
    <w:p>
      <w:pPr>
        <w:spacing w:after="0"/>
        <w:ind w:left="454"/>
      </w:pPr>
      <w:r>
        <w:rPr>
          <w:color w:val="142033"/>
          <w:sz w:val="20"/>
        </w:rPr>
        <w:t>6.1 Internal Fit</w:t>
      </w:r>
    </w:p>
    <w:p>
      <w:pPr>
        <w:spacing w:after="0"/>
        <w:ind w:left="454"/>
      </w:pPr>
      <w:r>
        <w:rPr>
          <w:color w:val="142033"/>
          <w:sz w:val="20"/>
        </w:rPr>
        <w:t>6.2 External Fit</w:t>
      </w:r>
    </w:p>
    <w:p>
      <w:pPr>
        <w:spacing w:after="0"/>
        <w:ind w:left="454"/>
      </w:pPr>
      <w:r>
        <w:rPr>
          <w:color w:val="142033"/>
          <w:sz w:val="20"/>
        </w:rPr>
        <w:t>6.3 Risk Assessment</w:t>
      </w:r>
    </w:p>
    <w:p>
      <w:pPr>
        <w:spacing w:after="0"/>
        <w:ind w:left="454"/>
      </w:pPr>
      <w:r>
        <w:rPr>
          <w:color w:val="142033"/>
          <w:sz w:val="20"/>
        </w:rPr>
        <w:t>6.4 SWOT Synthesis</w:t>
      </w:r>
    </w:p>
    <w:p>
      <w:pPr>
        <w:spacing w:after="0"/>
      </w:pPr>
      <w:r>
        <w:rPr>
          <w:b/>
          <w:color w:val="1F4E79"/>
          <w:sz w:val="22"/>
        </w:rPr>
        <w:t>Business Requirements</w:t>
      </w:r>
    </w:p>
    <w:p>
      <w:pPr>
        <w:spacing w:after="0"/>
        <w:ind w:left="454"/>
      </w:pPr>
      <w:r>
        <w:rPr>
          <w:color w:val="142033"/>
          <w:sz w:val="20"/>
        </w:rPr>
        <w:t>7.1 Business Capabilities</w:t>
      </w:r>
    </w:p>
    <w:p>
      <w:pPr>
        <w:spacing w:after="0"/>
        <w:ind w:left="454"/>
      </w:pPr>
      <w:r>
        <w:rPr>
          <w:color w:val="142033"/>
          <w:sz w:val="20"/>
        </w:rPr>
        <w:t>7.2 Business Constraints</w:t>
      </w:r>
    </w:p>
    <w:p>
      <w:pPr>
        <w:spacing w:after="0"/>
      </w:pPr>
      <w:r>
        <w:rPr>
          <w:b/>
          <w:color w:val="1F4E79"/>
          <w:sz w:val="22"/>
        </w:rPr>
        <w:t>Conclusions</w:t>
      </w:r>
    </w:p>
    <w:p>
      <w:pPr>
        <w:spacing w:after="0"/>
      </w:pPr>
      <w:r>
        <w:rPr>
          <w:b/>
          <w:color w:val="1F4E79"/>
          <w:sz w:val="22"/>
        </w:rPr>
        <w:t>Glossary &amp; Identifier Conventions</w:t>
      </w:r>
    </w:p>
    <w:p>
      <w:pPr>
        <w:spacing w:after="0"/>
      </w:pPr>
      <w:r>
        <w:rPr>
          <w:b/>
          <w:color w:val="1F4E79"/>
          <w:sz w:val="22"/>
        </w:rPr>
        <w:t>References</w:t>
      </w:r>
    </w:p>
    <w:p>
      <w:r>
        <w:br/>
      </w:r>
    </w:p>
    <w:p>
      <w:r>
        <w:br/>
      </w:r>
    </w:p>
    <w:p>
      <w:pPr>
        <w:pStyle w:val="Heading1"/>
      </w:pPr>
      <w:r>
        <w:t>1. Introduction</w:t>
      </w:r>
    </w:p>
    <w:p>
      <w:pPr>
        <w:pStyle w:val="Heading2"/>
      </w:pPr>
      <w:r>
        <w:t>1.1 Purpose of this document</w:t>
      </w:r>
    </w:p>
    <w:p>
      <w:pPr>
        <w:spacing w:after="120"/>
      </w:pPr>
      <w:r>
        <w:rPr>
          <w:sz w:val="22"/>
        </w:rPr>
        <w:t>This document is the review-ready, decision-grade business plan for SPARTA — the Secure Platform Awareness, Resilience, Trust &amp; Assessment system. It is intended to give the Airbus Defence &amp; Space (Airbus DS) executive board, the FCAS Programme Steering Committee, and Airbus DS Strategy &amp; Finance the analytical evidence they need to authorise (or refuse) Airbus DS investment in SPARTA as a strategic asset inside the FCAS Combat Cloud (Pillar 4) and adjacent platform programmes. It deliberately follows the standard board-review structure — Introduction, Executive Summary, Market Analysis, Capabilities Analysis, Financial Analysis, Compatibility Analysis, Business Requirements, Conclusions — to ensure each load-bearing question a reviewer might ask is answered explicitly in the section where it is conventionally expected.</w:t>
      </w:r>
    </w:p>
    <w:p>
      <w:pPr>
        <w:pStyle w:val="Heading2"/>
      </w:pPr>
      <w:r>
        <w:t>1.2 Scope and method</w:t>
      </w:r>
    </w:p>
    <w:p>
      <w:pPr>
        <w:spacing w:after="120"/>
      </w:pPr>
      <w:r>
        <w:rPr>
          <w:sz w:val="22"/>
        </w:rPr>
        <w:t>The plan is constructed against a CDR-ready technical baseline. SPARTA's mission, architecture, requirements, interfaces, performance budgets, and assurance posture are defined in the SPARTA System Definition Datapack (Deliverables 01–06, Draft C.4, dated 23–24 April 2026). The business plan does not restate that technical baseline; it builds on it. Wherever a strategic claim depends on a specific technical commitment (for example, the seven external interfaces, the seven canonical PBS components, or the 56 SYS-* requirements), the claim is cross-referenced to the relevant datapack section so that the reviewer can audit the chain from business assertion to engineering evidence in a single traversal.</w:t>
      </w:r>
    </w:p>
    <w:p>
      <w:pPr>
        <w:spacing w:after="120"/>
      </w:pPr>
      <w:r>
        <w:rPr>
          <w:sz w:val="22"/>
        </w:rPr>
        <w:t>The analytical method blends three review-board-grade frameworks. Market analysis uses Porter's Five Forces and the segmented TAM / SAM / SOM convention used in defence-strategy practice [R-3][R-20][R-25]. Capabilities analysis uses Porter's Value Chain together with the resource-based view of competitive advantage [R-25]. Value proposition design uses the Osterwalder Value Proposition Canvas (customer-side jobs / pains / gains paired with supplier-side pain relievers / gain creators / products and services) [R-26]. Compatibility analysis adapts the standard internal-fit / external-fit / risk taxonomy used by Airbus DS programme reviews. Financial analysis follows the discounted-cash-flow scenario method with explicit single-driver sensitivities. None of these frameworks is novel; they are deliberately conventional so the document is immediately legible to any defence-prime reviewer.</w:t>
      </w:r>
    </w:p>
    <w:p>
      <w:pPr>
        <w:pStyle w:val="Heading2"/>
      </w:pPr>
      <w:r>
        <w:t>1.3 Conventions and tagging</w:t>
      </w:r>
    </w:p>
    <w:p>
      <w:pPr>
        <w:spacing w:after="120"/>
      </w:pPr>
      <w:r>
        <w:rPr>
          <w:sz w:val="22"/>
        </w:rPr>
        <w:t xml:space="preserve">Every load-bearing factual claim in this plan is tagged with one of three letters that signal the epistemic status of the claim. </w:t>
      </w:r>
      <w:r>
        <w:rPr>
          <w:sz w:val="22"/>
        </w:rPr>
        <w:t xml:space="preserve"> marks a verified public fact, anchored on at least one primary source listed in §9. </w:t>
      </w:r>
      <w:r>
        <w:rPr>
          <w:sz w:val="22"/>
        </w:rPr>
        <w:t xml:space="preserve"> marks a reasoned assumption — a claim that is not directly verifiable from public sources but that has been constructed by triangulating from public anchors and is explicitly flagged so that Airbus DS Finance can substitute its own internal data when the model is re-run. </w:t>
      </w:r>
      <w:r>
        <w:rPr>
          <w:sz w:val="22"/>
        </w:rPr>
        <w:t xml:space="preserve"> marks an expert interpretation — a judgment call that the SPARTA Strategy Cell has formed by integrating multiple sources, and which the reviewer is entitled to dispute. The pragmatic effect of this convention is that the reviewer can re-read the document and recover the analytical chain even if they disagree with a specific judgment. It also ensures the plan does not silently inflate the quality of evidence on which any conclusion rests.</w:t>
      </w:r>
    </w:p>
    <w:p>
      <w:pPr>
        <w:pStyle w:val="Heading2"/>
      </w:pPr>
      <w:r>
        <w:t>1.4 Audience and decision request</w:t>
      </w:r>
    </w:p>
    <w:p>
      <w:pPr>
        <w:spacing w:after="120"/>
      </w:pPr>
      <w:r>
        <w:rPr>
          <w:sz w:val="22"/>
        </w:rPr>
        <w:t>The primary audience is the Airbus DS executive board and the FCAS Programme Steering Committee. The secondary audience is Airbus DS Strategy &amp; Finance, who will be asked to re-run the financial model in §5 against P&amp;L-grade inputs before any external use of the figures. The tertiary audience is the SPARTA technical leadership team, who use this plan as the strategic complement to the technical CDR pack. The decision sought is a clear GO / NO-GO / PIVOT verdict, ideally GO conditional on the five explicit acceptance conditions listed in §8.</w:t>
      </w:r>
    </w:p>
    <w:p>
      <w:pPr>
        <w:pStyle w:val="Heading2"/>
      </w:pPr>
      <w:r>
        <w:t>1.5 Relation to the SPARTA Datapack</w:t>
      </w:r>
    </w:p>
    <w:p>
      <w:pPr>
        <w:spacing w:after="120"/>
      </w:pPr>
      <w:r>
        <w:rPr>
          <w:sz w:val="22"/>
        </w:rPr>
        <w:t xml:space="preserve">This plan is one of two top-level Airbus-internal SPARTA artefacts. The other is the SPARTA System Definition Datapack, an eight-document HTML datapack covering the technical mission, requirements, architecture, performance, Verification &amp; Validation (V&amp;V), lifecycle, strategic context, and security/safety assurance position of SPARTA at Critical Design Review (CDR)-ready maturity. Where this business plan and the datapack appear to disagree, the datapack is normative on technical claims and this plan is normative on commercial claims. Open points carry consistent identifiers across both documents (for example, </w:t>
      </w:r>
      <w:r>
        <w:rPr>
          <w:rFonts w:ascii="Consolas" w:hAnsi="Consolas"/>
          <w:sz w:val="20"/>
          <w:shd w:val="clear" w:color="auto" w:fill="F0F4FA"/>
        </w:rPr>
        <w:t>OP-STRAT-01</w:t>
      </w:r>
      <w:r>
        <w:rPr>
          <w:sz w:val="22"/>
        </w:rPr>
        <w:t xml:space="preserve"> for the 2026 source revalidation of the 2019–2024 FCAS anchors used here and in Deliverable 05).</w:t>
      </w:r>
    </w:p>
    <w:p>
      <w:r>
        <w:br/>
      </w:r>
    </w:p>
    <w:p>
      <w:pPr>
        <w:pStyle w:val="Heading1"/>
      </w:pPr>
      <w:r>
        <w:t>2. Executive Summary</w:t>
      </w:r>
    </w:p>
    <w:p>
      <w:pPr>
        <w:pStyle w:val="Heading2"/>
      </w:pPr>
      <w:r>
        <w:t>2.1 Vision</w:t>
      </w:r>
    </w:p>
    <w:p>
      <w:pPr>
        <w:spacing w:after="120"/>
      </w:pPr>
      <w:r>
        <w:rPr>
          <w:sz w:val="22"/>
        </w:rPr>
        <w:t xml:space="preserve">By 2040, Airbus Defence &amp; Space owns the cyber-trust spine of European collaborative combat air. SPARTA is the canonical mission-aware trust object emitted by every Edge node, evaluated by every Fog node (where the post-CDR Mode-B-peer extension is deployed), and adjudicated by every Tactical Security Operations Centre (TSOC) in the Future Combat Air System (FCAS) ecosystem and the adjacent fleets that share its data contract — Eurofighter Long-Term Evolution (LTE), Eurodrone, Multi-Role Tanker Transport (MRTT), A400M, and selected NATO Federated Mission Networking (FMN) partner fleets [R-17] </w:t>
      </w:r>
      <w:r>
        <w:rPr>
          <w:sz w:val="22"/>
        </w:rPr>
        <w:t>. The vision is not "build a cyber product"; it is "set the data contract on which Combat Cloud trust depends" and to derive durable architectural authority, recurring services revenue, and political legitimacy from that position.</w:t>
      </w:r>
    </w:p>
    <w:p>
      <w:pPr>
        <w:spacing w:after="120"/>
      </w:pPr>
      <w:r>
        <w:rPr>
          <w:sz w:val="22"/>
        </w:rPr>
        <w:t>In ten years, the success state is that no Combat Cloud node in a FCAS-derived programme — manned fighter, Remote Carrier, fog tanker, or ground command post — emits a trust statement that is not in the SPARTA NodeStatus / TrustAssessment schema. In fifteen years, the success state is that signed-content subscription revenue (rules, models, policies, threat profiles, malware verdicts) is large enough to be reported as a discrete services-grade segment line in Airbus SE (</w:t>
      </w:r>
      <w:r>
        <w:rPr>
          <w:i/>
          <w:sz w:val="22"/>
        </w:rPr>
        <w:t>Societas Europaea</w:t>
      </w:r>
      <w:r>
        <w:rPr>
          <w:sz w:val="22"/>
        </w:rPr>
        <w:t xml:space="preserve">, the parent listed-entity of Airbus Defence &amp; Space) financials, with structurally higher margin than programme-prime defence revenue [R-2] </w:t>
      </w:r>
      <w:r>
        <w:rPr>
          <w:sz w:val="22"/>
        </w:rPr>
        <w:t>. The vision is therefore commercial as much as it is strategic: it converts a one-shot platform sale into a recurring trust-content service that compounds over the operational life of every adopting fleet.</w:t>
      </w:r>
    </w:p>
    <w:p>
      <w:pPr>
        <w:spacing w:after="120"/>
      </w:pPr>
      <w:r>
        <w:rPr>
          <w:sz w:val="22"/>
        </w:rPr>
        <w:t xml:space="preserve">This vision is consistent with the published Airbus DS open-architecture thesis as expressed in the Multi-Domain Combat Cloud and MARS reference materials [R-2] </w:t>
      </w:r>
      <w:r>
        <w:rPr>
          <w:sz w:val="22"/>
        </w:rPr>
        <w:t xml:space="preserve">, and with the broader European sovereign-cyber direction reinforced by NIS2, the Cyber Resilience Act, and the European Defence Fund cyber-resilience lines [R-8][R-9][R-12][R-13] </w:t>
      </w:r>
      <w:r>
        <w:rPr>
          <w:sz w:val="22"/>
        </w:rPr>
        <w:t xml:space="preserve">. It is not consistent with a status quo in which third-party vendors (Indra-style sovereign-cyber niches; Thales enterprise SOC product lines; US mission-edge vendors such as Anduril, Palantir, or Shift5) define the cyber-trust data contract while Airbus integrates to it [R-18] </w:t>
      </w:r>
      <w:r>
        <w:rPr>
          <w:sz w:val="22"/>
        </w:rPr>
        <w:t>. The vision therefore requires Airbus DS to act in 2026 — before the FCAS Combat Cloud schema freezes — and is the rationale for the financial envelope and acceptance conditions described in §2.4 and §8.</w:t>
      </w:r>
    </w:p>
    <w:p>
      <w:pPr>
        <w:pStyle w:val="Heading2"/>
      </w:pPr>
      <w:r>
        <w:t>2.2 Opportunity Overview</w:t>
      </w:r>
    </w:p>
    <w:p>
      <w:pPr>
        <w:spacing w:after="120"/>
      </w:pPr>
      <w:r>
        <w:rPr>
          <w:sz w:val="22"/>
        </w:rPr>
        <w:t xml:space="preserve">Three structural shifts in defence aerospace converge on a single engineering problem. First, crewed–uncrewed teaming is no longer aspirational; FCAS, the UK / Italy / Japan Global Combat Air Programme (GCAP), and the US Air Force Collaborative Combat Aircraft (CCA) programme each commit publicly to mixed-formation operations within the 2028–2035 window [R-1][R-10][R-11] </w:t>
      </w:r>
      <w:r>
        <w:rPr>
          <w:sz w:val="22"/>
        </w:rPr>
        <w:t xml:space="preserve">. Second, combat-cloud architectures assume continuous, low-latency, multi-platform data exchange — but the operational environment in which these architectures must function is contested, intermittent, and bandwidth-asymmetric. Third, mission decision rhythm is collapsing toward seconds, while classical fixed-perimeter Security Operations Centres operate on minutes-to-hours [R-3][R-4] </w:t>
      </w:r>
      <w:r>
        <w:rPr>
          <w:sz w:val="22"/>
        </w:rPr>
        <w:t>. The combination produces a structural capability gap that none of the publicly disclosed FCAS pillars owns end-to-end: mission-aware cyber trust at the tactical edge that survives DDIL (Disconnected, Degraded, Intermittent, Limited) operating conditions.</w:t>
      </w:r>
    </w:p>
    <w:p>
      <w:pPr>
        <w:spacing w:after="120"/>
      </w:pPr>
      <w:r>
        <w:rPr>
          <w:sz w:val="22"/>
        </w:rPr>
        <w:t xml:space="preserve">The window for closing this gap is open but finite. The FCAS Phase 1B Research &amp; Technology (R&amp;T) demonstrator is contracted (€3.2 B tripartite France / Germany / Spain, December 2022) [R-1][R-7] </w:t>
      </w:r>
      <w:r>
        <w:rPr>
          <w:sz w:val="22"/>
        </w:rPr>
        <w:t xml:space="preserve">, and the demonstrator window 2028–2029 is the schema-freeze period for Combat Cloud data contracts. Whoever's trust object is in the schema at freeze owns the contract for the operational life of FCAS — projected to FCAS Initial Operational Capability (IOC) around 2040 [R-1][R-3] </w:t>
      </w:r>
      <w:r>
        <w:rPr>
          <w:sz w:val="22"/>
        </w:rPr>
        <w:t xml:space="preserve">, with through-life service revenue extending well into the 2050s. The competitive pressure on this window is intensifying. The US Air Force's CCA Increment 1 awards (April 2024) to Anduril and General Atomics [R-10] </w:t>
      </w:r>
      <w:r>
        <w:rPr>
          <w:sz w:val="22"/>
        </w:rPr>
        <w:t xml:space="preserve"> and the UK / Italy / Japan Global Combat Air Programme trilateral convention (December 2023) [R-11] </w:t>
      </w:r>
      <w:r>
        <w:rPr>
          <w:sz w:val="22"/>
        </w:rPr>
        <w:t xml:space="preserve"> establish parallel programmes that will set NATO-level expectations on edge-cyber. If FCAS does not have a credible mission-aware cyber trust layer by 2028–2029, the de-facto standard will be set elsewhere and Airbus DS will integrate to it.</w:t>
      </w:r>
    </w:p>
    <w:p>
      <w:pPr>
        <w:spacing w:after="120"/>
      </w:pPr>
      <w:r>
        <w:rPr>
          <w:sz w:val="22"/>
        </w:rPr>
        <w:t xml:space="preserve">The regulatory direction of travel reinforces the opportunity. NIS2 [R-12] and the EU Cyber Resilience Act [R-13] </w:t>
      </w:r>
      <w:r>
        <w:rPr>
          <w:sz w:val="22"/>
        </w:rPr>
        <w:t xml:space="preserve"> raise the floor on identifiable, auditable, version-controlled cyber telemetry. NATO FMN [R-17] requires coalition-grade interoperability. National sovereign-cyber overlays — DGA-MI in France, BSI and the Cyber-Innovationshub in Germany, CCN-CERT and INCIBE in Spain — sit on top of that floor [R-15][R-16] </w:t>
      </w:r>
      <w:r>
        <w:rPr>
          <w:sz w:val="22"/>
        </w:rPr>
        <w:t>. SPARTA's data contract is designed to satisfy these requirements from inception, which converts regulatory pressure from a threat into a tailwind.</w:t>
      </w:r>
    </w:p>
    <w:p>
      <w:pPr>
        <w:spacing w:after="120"/>
      </w:pPr>
      <w:r>
        <w:rPr>
          <w:b/>
          <w:sz w:val="22"/>
        </w:rPr>
        <w:t>The strategic imperative for Airbus DS is to establish a "foot in the door" early.</w:t>
      </w:r>
      <w:r>
        <w:rPr>
          <w:sz w:val="22"/>
        </w:rPr>
        <w:t xml:space="preserve"> Two operational implications follow. First, Airbus DS must </w:t>
      </w:r>
      <w:r>
        <w:rPr>
          <w:b/>
          <w:sz w:val="22"/>
        </w:rPr>
        <w:t>push for early definition of the standards and interfaces</w:t>
      </w:r>
      <w:r>
        <w:rPr>
          <w:sz w:val="22"/>
        </w:rPr>
        <w:t xml:space="preserve"> on which SPARTA depends — the MARS schema, the seven external interfaces, the cross-domain release format, the trust-object data contract. Setting these early means SPARTA becomes the substrate into which higher-level systems (FCAS Combat Cloud, NATO FMN, coalition trust exchange) integrate with low friction; setting these late means SPARTA has to retrofit to formats other vendors will have defined. Second, Airbus DS must </w:t>
      </w:r>
      <w:r>
        <w:rPr>
          <w:b/>
          <w:sz w:val="22"/>
        </w:rPr>
        <w:t>push for entrance into service by 2029</w:t>
      </w:r>
      <w:r>
        <w:rPr>
          <w:sz w:val="22"/>
        </w:rPr>
        <w:t xml:space="preserve">, ideally on a single national platform (the German co-engineering route described in §1.3). A product in operations on a real fleet is a fundamentally different proposition from a product on paper, and the difference matters disproportionately to standard-setting forums, to national accreditation authorities, and to prospective adjacent customers. </w:t>
      </w:r>
      <w:r>
        <w:rPr>
          <w:i/>
          <w:sz w:val="22"/>
        </w:rPr>
        <w:t>Foot in the door now, full ecosystem later</w:t>
      </w:r>
      <w:r>
        <w:rPr>
          <w:sz w:val="22"/>
        </w:rPr>
        <w:t xml:space="preserve"> is the strategic doctrine the rest of this plan operationalises.</w:t>
      </w:r>
    </w:p>
    <w:p>
      <w:pPr>
        <w:pStyle w:val="Heading2"/>
      </w:pPr>
      <w:r>
        <w:t>2.3 Value Proposition Overview</w:t>
      </w:r>
    </w:p>
    <w:p>
      <w:pPr>
        <w:spacing w:after="120"/>
      </w:pPr>
      <w:r>
        <w:rPr>
          <w:sz w:val="22"/>
        </w:rPr>
        <w:t xml:space="preserve">SPARTA's value proposition is anchored on four properties that are unusual in combination, even though each is individually known. It is </w:t>
      </w:r>
      <w:r>
        <w:rPr>
          <w:i/>
          <w:sz w:val="22"/>
        </w:rPr>
        <w:t>mission-aware, not log-aware</w:t>
      </w:r>
      <w:r>
        <w:rPr>
          <w:sz w:val="22"/>
        </w:rPr>
        <w:t xml:space="preserve">: it ingests mission role, task and state context from MARS (the Airbus DS on-platform virtualization layer — see Datapack Index §8.1 for the authoritative definition) and uses that context to evaluate the plausibility of observed behaviour, not just the signature of a known attack pattern. It is </w:t>
      </w:r>
      <w:r>
        <w:rPr>
          <w:i/>
          <w:sz w:val="22"/>
        </w:rPr>
        <w:t>DDIL-tolerant by design</w:t>
      </w:r>
      <w:r>
        <w:rPr>
          <w:sz w:val="22"/>
        </w:rPr>
        <w:t xml:space="preserve">: local detection rate is invariant of link state, so loss of TSOC connectivity converts a delivery problem into a delayed-delivery problem and never produces silent loss. It carries a </w:t>
      </w:r>
      <w:r>
        <w:rPr>
          <w:i/>
          <w:sz w:val="22"/>
        </w:rPr>
        <w:t>signed hot-swap content pipeline</w:t>
      </w:r>
      <w:r>
        <w:rPr>
          <w:sz w:val="22"/>
        </w:rPr>
        <w:t xml:space="preserve">: rules, IOCs and policies update on operational cadence under a cryptographically signed monotonic chain, separately from the accredited software baseline, which is the same architectural pattern that delivered 30–50% lifecycle-cost reduction on the US FACE and OMS programmes [R-19] </w:t>
      </w:r>
      <w:r>
        <w:rPr>
          <w:sz w:val="22"/>
        </w:rPr>
        <w:t xml:space="preserve">. And it is </w:t>
      </w:r>
      <w:r>
        <w:rPr>
          <w:i/>
          <w:sz w:val="22"/>
        </w:rPr>
        <w:t>advisory only by construction</w:t>
      </w:r>
      <w:r>
        <w:rPr>
          <w:sz w:val="22"/>
        </w:rPr>
        <w:t xml:space="preserve">: SPARTA never commands. Mission authority resides with Command C2; cyber-response authority with TSOC and Security C2; mission-effect execution with MARS-side host control logic. That partitioning is what makes SPARTA accreditable in jurisdictions where unbounded autonomous cyber actuation is not permitted [R-15][R-16] </w:t>
      </w:r>
      <w:r>
        <w:rPr>
          <w:sz w:val="22"/>
        </w:rPr>
        <w:t>.</w:t>
      </w:r>
    </w:p>
    <w:p>
      <w:pPr>
        <w:pBdr>
          <w:left w:val="single" w:sz="24" w:color="7BB7E6" w:space="8"/>
        </w:pBdr>
        <w:spacing w:before="120" w:after="120"/>
        <w:ind w:left="567" w:right="567"/>
      </w:pPr>
      <w:r>
        <w:rPr>
          <w:i/>
          <w:color w:val="142033"/>
          <w:sz w:val="22"/>
        </w:rPr>
        <w:t>SPARTA is the cyber-trust spine of the FCAS Combat Cloud. By owning the trust object that every node, sensor and Remote Carrier emits and consumes, Airbus locks in the data contract on which Combat Cloud value depends — and converts a one-shot platform sale into a recurring trust-content service across FCAS, Eurofighter LTE, Eurodrone and partner fleets.</w:t>
      </w:r>
    </w:p>
    <w:p>
      <w:pPr>
        <w:spacing w:after="120"/>
      </w:pPr>
      <w:r>
        <w:rPr>
          <w:sz w:val="22"/>
        </w:rPr>
        <w:t xml:space="preserve">Competitors cannot easily replicate this because replication requires the simultaneous combination of: (a) Combat Cloud prime status (Airbus DS owns Pillar 4 on FCAS) [R-1] </w:t>
      </w:r>
      <w:r>
        <w:rPr>
          <w:sz w:val="22"/>
        </w:rPr>
        <w:t xml:space="preserve">; (b) MARS data-model authority (Airbus DS owns the published open-architecture reference) [R-2] </w:t>
      </w:r>
      <w:r>
        <w:rPr>
          <w:sz w:val="22"/>
        </w:rPr>
        <w:t xml:space="preserve">; (c) operational mission-context access via published MARS interfaces (structural advantage of being inside the platform); and (d) accredited TSOC analyst-workflow ownership via Airbus Protect's Orion Malware® and CymID®-class services [R-2] </w:t>
      </w:r>
      <w:r>
        <w:rPr>
          <w:sz w:val="22"/>
        </w:rPr>
        <w:t>. No European or US competitor holds all four positions in FCAS.</w:t>
      </w:r>
    </w:p>
    <w:p>
      <w:pPr>
        <w:spacing w:after="120"/>
      </w:pPr>
      <w:r>
        <w:rPr>
          <w:b/>
          <w:sz w:val="22"/>
        </w:rPr>
        <w:t>Three Airbus-specific advantages further strengthen the value proposition</w:t>
      </w:r>
      <w:r>
        <w:rPr>
          <w:sz w:val="22"/>
        </w:rPr>
        <w:t xml:space="preserve"> beyond the four-property moat above. First, Airbus DS can leverage </w:t>
      </w:r>
      <w:r>
        <w:rPr>
          <w:b/>
          <w:sz w:val="22"/>
        </w:rPr>
        <w:t>Airbus Protect's cyber-security expertise</w:t>
      </w:r>
      <w:r>
        <w:rPr>
          <w:sz w:val="22"/>
        </w:rPr>
        <w:t xml:space="preserve"> — Airbus Protect already defends Airbus Defence &amp; Space itself against real-world advanced adversaries, an operational threat profile that sits immediately below that of actual military operators. This gives Airbus Protect a depth of practical cyber-defence experience that no commercial managed-security-service provider and few European defence-cyber competitors can match. Second, Airbus DS </w:t>
      </w:r>
      <w:r>
        <w:rPr>
          <w:b/>
          <w:sz w:val="22"/>
        </w:rPr>
        <w:t>owns or has direct privileged access to the host platforms</w:t>
      </w:r>
      <w:r>
        <w:rPr>
          <w:sz w:val="22"/>
        </w:rPr>
        <w:t xml:space="preserve"> on which SPARTA must run (Eurofighter, A400M, MRTT, Eurodrone, Tiger / NH90); this gives Airbus DS the deep platform-systems expertise needed to engineer SPARTA to fit avionics, comms-bus, and SWaP constraints — knowledge that an outside vendor would have to acquire through years of integration work. Third, Airbus DS is already </w:t>
      </w:r>
      <w:r>
        <w:rPr>
          <w:b/>
          <w:sz w:val="22"/>
        </w:rPr>
        <w:t>inside FCAS</w:t>
      </w:r>
      <w:r>
        <w:rPr>
          <w:sz w:val="22"/>
        </w:rPr>
        <w:t xml:space="preserve"> as the Pillar 4 prime; this conveys credibility and institutional standing to define standards rather than merely to comply with them. Together, these three advantages mean SPARTA is not a speculative entry into a market — it is the natural extension of capabilities Airbus DS already possesses and already exercises operationally.</w:t>
      </w:r>
    </w:p>
    <w:p>
      <w:pPr>
        <w:pStyle w:val="Heading2"/>
      </w:pPr>
      <w:r>
        <w:t>2.4 Financial Summary</w:t>
      </w:r>
    </w:p>
    <w:p>
      <w:pPr>
        <w:spacing w:after="120"/>
      </w:pPr>
      <w:r>
        <w:rPr>
          <w:sz w:val="22"/>
        </w:rPr>
        <w:t xml:space="preserve">The probability-weighted expected Net Present Value (NPV) is </w:t>
      </w:r>
      <w:r>
        <w:rPr>
          <w:b/>
          <w:sz w:val="22"/>
        </w:rPr>
        <w:t>€233 M</w:t>
      </w:r>
      <w:r>
        <w:rPr>
          <w:sz w:val="22"/>
        </w:rPr>
        <w:t xml:space="preserve"> at an 8.0% Airbus SE (</w:t>
      </w:r>
      <w:r>
        <w:rPr>
          <w:i/>
          <w:sz w:val="22"/>
        </w:rPr>
        <w:t>Societas Europaea</w:t>
      </w:r>
      <w:r>
        <w:rPr>
          <w:sz w:val="22"/>
        </w:rPr>
        <w:t xml:space="preserve">) blended Weighted Average Cost of Capital (WACC) anchor, against a non-recurring investment envelope of </w:t>
      </w:r>
      <w:r>
        <w:rPr>
          <w:b/>
          <w:sz w:val="22"/>
        </w:rPr>
        <w:t>€58–88 M</w:t>
      </w:r>
      <w:r>
        <w:rPr>
          <w:sz w:val="22"/>
        </w:rPr>
        <w:t xml:space="preserve"> spread over 2026–2038, with a base-case payback of approximately 6.5 years and a base-case Internal Rate of Return (IRR) of approximately 26% </w:t>
      </w:r>
      <w:r>
        <w:rPr>
          <w:sz w:val="22"/>
        </w:rPr>
        <w:t>. The asymmetry of outcomes is favourable: even the downside scenario (probability 20%, partial schema inclusion combined with a Phase 2 demonstrator slip) returns a positive NPV of €54 M. Only the no-go scenario (probability 5%, schema freezes without SPARTA and pivot to a non-FCAS adjacent fails) is value-destroying at –€28 M, and even that scenario assumes Airbus DS would write off the bulk of the Phase 1B contribution.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Dimension</w:t>
            </w:r>
          </w:p>
        </w:tc>
        <w:tc>
          <w:tcPr>
            <w:tcW w:type="dxa" w:w="199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Base case</w:t>
            </w:r>
          </w:p>
        </w:tc>
        <w:tc>
          <w:tcPr>
            <w:tcW w:type="dxa" w:w="199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Upside</w:t>
            </w:r>
          </w:p>
        </w:tc>
        <w:tc>
          <w:tcPr>
            <w:tcW w:type="dxa" w:w="199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Downside</w:t>
            </w:r>
          </w:p>
        </w:tc>
        <w:tc>
          <w:tcPr>
            <w:tcW w:type="dxa" w:w="199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No-go</w:t>
            </w:r>
          </w:p>
        </w:tc>
      </w:tr>
      <w:tr>
        <w:tc>
          <w:tcPr>
            <w:tcW w:type="dxa" w:w="1994"/>
            <w:tcBorders>
              <w:top w:val="single" w:sz="4" w:color="DDE5EF"/>
              <w:left w:val="single" w:sz="4" w:color="DDE5EF"/>
              <w:bottom w:val="single" w:sz="4" w:color="DDE5EF"/>
              <w:right w:val="single" w:sz="4" w:color="DDE5EF"/>
            </w:tcBorders>
          </w:tcPr>
          <w:p>
            <w:pPr>
              <w:spacing w:after="0"/>
            </w:pPr>
            <w:r>
              <w:rPr>
                <w:sz w:val="22"/>
              </w:rPr>
              <w:t xml:space="preserve">Probability (analyst-set </w:t>
            </w:r>
            <w:r>
              <w:rPr>
                <w:sz w:val="22"/>
              </w:rPr>
              <w:t>)</w:t>
            </w:r>
          </w:p>
        </w:tc>
        <w:tc>
          <w:tcPr>
            <w:tcW w:type="dxa" w:w="1994"/>
            <w:tcBorders>
              <w:top w:val="single" w:sz="4" w:color="DDE5EF"/>
              <w:left w:val="single" w:sz="4" w:color="DDE5EF"/>
              <w:bottom w:val="single" w:sz="4" w:color="DDE5EF"/>
              <w:right w:val="single" w:sz="4" w:color="DDE5EF"/>
            </w:tcBorders>
          </w:tcPr>
          <w:p>
            <w:pPr>
              <w:spacing w:after="0"/>
            </w:pPr>
            <w:r>
              <w:rPr>
                <w:sz w:val="22"/>
              </w:rPr>
              <w:t>55%</w:t>
            </w:r>
          </w:p>
        </w:tc>
        <w:tc>
          <w:tcPr>
            <w:tcW w:type="dxa" w:w="1994"/>
            <w:tcBorders>
              <w:top w:val="single" w:sz="4" w:color="DDE5EF"/>
              <w:left w:val="single" w:sz="4" w:color="DDE5EF"/>
              <w:bottom w:val="single" w:sz="4" w:color="DDE5EF"/>
              <w:right w:val="single" w:sz="4" w:color="DDE5EF"/>
            </w:tcBorders>
          </w:tcPr>
          <w:p>
            <w:pPr>
              <w:spacing w:after="0"/>
            </w:pPr>
            <w:r>
              <w:rPr>
                <w:sz w:val="22"/>
              </w:rPr>
              <w:t>20%</w:t>
            </w:r>
          </w:p>
        </w:tc>
        <w:tc>
          <w:tcPr>
            <w:tcW w:type="dxa" w:w="1994"/>
            <w:tcBorders>
              <w:top w:val="single" w:sz="4" w:color="DDE5EF"/>
              <w:left w:val="single" w:sz="4" w:color="DDE5EF"/>
              <w:bottom w:val="single" w:sz="4" w:color="DDE5EF"/>
              <w:right w:val="single" w:sz="4" w:color="DDE5EF"/>
            </w:tcBorders>
          </w:tcPr>
          <w:p>
            <w:pPr>
              <w:spacing w:after="0"/>
            </w:pPr>
            <w:r>
              <w:rPr>
                <w:sz w:val="22"/>
              </w:rPr>
              <w:t>20%</w:t>
            </w:r>
          </w:p>
        </w:tc>
        <w:tc>
          <w:tcPr>
            <w:tcW w:type="dxa" w:w="1994"/>
            <w:tcBorders>
              <w:top w:val="single" w:sz="4" w:color="DDE5EF"/>
              <w:left w:val="single" w:sz="4" w:color="DDE5EF"/>
              <w:bottom w:val="single" w:sz="4" w:color="DDE5EF"/>
              <w:right w:val="single" w:sz="4" w:color="DDE5EF"/>
            </w:tcBorders>
          </w:tcPr>
          <w:p>
            <w:pPr>
              <w:spacing w:after="0"/>
            </w:pPr>
            <w:r>
              <w:rPr>
                <w:sz w:val="22"/>
              </w:rPr>
              <w:t>5%</w:t>
            </w:r>
          </w:p>
        </w:tc>
      </w:tr>
      <w:tr>
        <w:tc>
          <w:tcPr>
            <w:tcW w:type="dxa" w:w="1994"/>
            <w:tcBorders>
              <w:top w:val="single" w:sz="4" w:color="DDE5EF"/>
              <w:left w:val="single" w:sz="4" w:color="DDE5EF"/>
              <w:bottom w:val="single" w:sz="4" w:color="DDE5EF"/>
              <w:right w:val="single" w:sz="4" w:color="DDE5EF"/>
            </w:tcBorders>
          </w:tcPr>
          <w:p>
            <w:pPr>
              <w:spacing w:after="0"/>
            </w:pPr>
            <w:r>
              <w:rPr>
                <w:sz w:val="22"/>
              </w:rPr>
              <w:t>Cumulative revenue 2026–2040 (€M)</w:t>
            </w:r>
          </w:p>
        </w:tc>
        <w:tc>
          <w:tcPr>
            <w:tcW w:type="dxa" w:w="1994"/>
            <w:tcBorders>
              <w:top w:val="single" w:sz="4" w:color="DDE5EF"/>
              <w:left w:val="single" w:sz="4" w:color="DDE5EF"/>
              <w:bottom w:val="single" w:sz="4" w:color="DDE5EF"/>
              <w:right w:val="single" w:sz="4" w:color="DDE5EF"/>
            </w:tcBorders>
          </w:tcPr>
          <w:p>
            <w:pPr>
              <w:spacing w:after="0"/>
            </w:pPr>
            <w:r>
              <w:rPr>
                <w:sz w:val="22"/>
              </w:rPr>
              <w:t>773</w:t>
            </w:r>
          </w:p>
        </w:tc>
        <w:tc>
          <w:tcPr>
            <w:tcW w:type="dxa" w:w="1994"/>
            <w:tcBorders>
              <w:top w:val="single" w:sz="4" w:color="DDE5EF"/>
              <w:left w:val="single" w:sz="4" w:color="DDE5EF"/>
              <w:bottom w:val="single" w:sz="4" w:color="DDE5EF"/>
              <w:right w:val="single" w:sz="4" w:color="DDE5EF"/>
            </w:tcBorders>
          </w:tcPr>
          <w:p>
            <w:pPr>
              <w:spacing w:after="0"/>
            </w:pPr>
            <w:r>
              <w:rPr>
                <w:sz w:val="22"/>
              </w:rPr>
              <w:t>1,050</w:t>
            </w:r>
          </w:p>
        </w:tc>
        <w:tc>
          <w:tcPr>
            <w:tcW w:type="dxa" w:w="1994"/>
            <w:tcBorders>
              <w:top w:val="single" w:sz="4" w:color="DDE5EF"/>
              <w:left w:val="single" w:sz="4" w:color="DDE5EF"/>
              <w:bottom w:val="single" w:sz="4" w:color="DDE5EF"/>
              <w:right w:val="single" w:sz="4" w:color="DDE5EF"/>
            </w:tcBorders>
          </w:tcPr>
          <w:p>
            <w:pPr>
              <w:spacing w:after="0"/>
            </w:pPr>
            <w:r>
              <w:rPr>
                <w:sz w:val="22"/>
              </w:rPr>
              <w:t>310</w:t>
            </w:r>
          </w:p>
        </w:tc>
        <w:tc>
          <w:tcPr>
            <w:tcW w:type="dxa" w:w="1994"/>
            <w:tcBorders>
              <w:top w:val="single" w:sz="4" w:color="DDE5EF"/>
              <w:left w:val="single" w:sz="4" w:color="DDE5EF"/>
              <w:bottom w:val="single" w:sz="4" w:color="DDE5EF"/>
              <w:right w:val="single" w:sz="4" w:color="DDE5EF"/>
            </w:tcBorders>
          </w:tcPr>
          <w:p>
            <w:pPr>
              <w:spacing w:after="0"/>
            </w:pPr>
            <w:r>
              <w:rPr>
                <w:sz w:val="22"/>
              </w:rPr>
              <w:t>40</w:t>
            </w:r>
          </w:p>
        </w:tc>
      </w:tr>
      <w:tr>
        <w:tc>
          <w:tcPr>
            <w:tcW w:type="dxa" w:w="1994"/>
            <w:tcBorders>
              <w:top w:val="single" w:sz="4" w:color="DDE5EF"/>
              <w:left w:val="single" w:sz="4" w:color="DDE5EF"/>
              <w:bottom w:val="single" w:sz="4" w:color="DDE5EF"/>
              <w:right w:val="single" w:sz="4" w:color="DDE5EF"/>
            </w:tcBorders>
          </w:tcPr>
          <w:p>
            <w:pPr>
              <w:spacing w:after="0"/>
            </w:pPr>
            <w:r>
              <w:rPr>
                <w:sz w:val="22"/>
              </w:rPr>
              <w:t>NPV @ 8% WACC (€M)</w:t>
            </w:r>
          </w:p>
        </w:tc>
        <w:tc>
          <w:tcPr>
            <w:tcW w:type="dxa" w:w="1994"/>
            <w:tcBorders>
              <w:top w:val="single" w:sz="4" w:color="DDE5EF"/>
              <w:left w:val="single" w:sz="4" w:color="DDE5EF"/>
              <w:bottom w:val="single" w:sz="4" w:color="DDE5EF"/>
              <w:right w:val="single" w:sz="4" w:color="DDE5EF"/>
            </w:tcBorders>
          </w:tcPr>
          <w:p>
            <w:pPr>
              <w:spacing w:after="0"/>
            </w:pPr>
            <w:r>
              <w:rPr>
                <w:sz w:val="22"/>
              </w:rPr>
              <w:t>232</w:t>
            </w:r>
          </w:p>
        </w:tc>
        <w:tc>
          <w:tcPr>
            <w:tcW w:type="dxa" w:w="1994"/>
            <w:tcBorders>
              <w:top w:val="single" w:sz="4" w:color="DDE5EF"/>
              <w:left w:val="single" w:sz="4" w:color="DDE5EF"/>
              <w:bottom w:val="single" w:sz="4" w:color="DDE5EF"/>
              <w:right w:val="single" w:sz="4" w:color="DDE5EF"/>
            </w:tcBorders>
          </w:tcPr>
          <w:p>
            <w:pPr>
              <w:spacing w:after="0"/>
            </w:pPr>
            <w:r>
              <w:rPr>
                <w:sz w:val="22"/>
              </w:rPr>
              <w:t>398</w:t>
            </w:r>
          </w:p>
        </w:tc>
        <w:tc>
          <w:tcPr>
            <w:tcW w:type="dxa" w:w="1994"/>
            <w:tcBorders>
              <w:top w:val="single" w:sz="4" w:color="DDE5EF"/>
              <w:left w:val="single" w:sz="4" w:color="DDE5EF"/>
              <w:bottom w:val="single" w:sz="4" w:color="DDE5EF"/>
              <w:right w:val="single" w:sz="4" w:color="DDE5EF"/>
            </w:tcBorders>
          </w:tcPr>
          <w:p>
            <w:pPr>
              <w:spacing w:after="0"/>
            </w:pPr>
            <w:r>
              <w:rPr>
                <w:sz w:val="22"/>
              </w:rPr>
              <w:t>54</w:t>
            </w:r>
          </w:p>
        </w:tc>
        <w:tc>
          <w:tcPr>
            <w:tcW w:type="dxa" w:w="1994"/>
            <w:tcBorders>
              <w:top w:val="single" w:sz="4" w:color="DDE5EF"/>
              <w:left w:val="single" w:sz="4" w:color="DDE5EF"/>
              <w:bottom w:val="single" w:sz="4" w:color="DDE5EF"/>
              <w:right w:val="single" w:sz="4" w:color="DDE5EF"/>
            </w:tcBorders>
          </w:tcPr>
          <w:p>
            <w:pPr>
              <w:spacing w:after="0"/>
            </w:pPr>
            <w:r>
              <w:rPr>
                <w:sz w:val="22"/>
              </w:rPr>
              <w:t>(28)</w:t>
            </w:r>
          </w:p>
        </w:tc>
      </w:tr>
      <w:tr>
        <w:tc>
          <w:tcPr>
            <w:tcW w:type="dxa" w:w="1994"/>
            <w:tcBorders>
              <w:top w:val="single" w:sz="4" w:color="DDE5EF"/>
              <w:left w:val="single" w:sz="4" w:color="DDE5EF"/>
              <w:bottom w:val="single" w:sz="4" w:color="DDE5EF"/>
              <w:right w:val="single" w:sz="4" w:color="DDE5EF"/>
            </w:tcBorders>
          </w:tcPr>
          <w:p>
            <w:pPr>
              <w:spacing w:after="0"/>
            </w:pPr>
            <w:r>
              <w:rPr>
                <w:sz w:val="22"/>
              </w:rPr>
              <w:t>IRR</w:t>
            </w:r>
          </w:p>
        </w:tc>
        <w:tc>
          <w:tcPr>
            <w:tcW w:type="dxa" w:w="1994"/>
            <w:tcBorders>
              <w:top w:val="single" w:sz="4" w:color="DDE5EF"/>
              <w:left w:val="single" w:sz="4" w:color="DDE5EF"/>
              <w:bottom w:val="single" w:sz="4" w:color="DDE5EF"/>
              <w:right w:val="single" w:sz="4" w:color="DDE5EF"/>
            </w:tcBorders>
          </w:tcPr>
          <w:p>
            <w:pPr>
              <w:spacing w:after="0"/>
            </w:pPr>
            <w:r>
              <w:rPr>
                <w:sz w:val="22"/>
              </w:rPr>
              <w:t>~26%</w:t>
            </w:r>
          </w:p>
        </w:tc>
        <w:tc>
          <w:tcPr>
            <w:tcW w:type="dxa" w:w="1994"/>
            <w:tcBorders>
              <w:top w:val="single" w:sz="4" w:color="DDE5EF"/>
              <w:left w:val="single" w:sz="4" w:color="DDE5EF"/>
              <w:bottom w:val="single" w:sz="4" w:color="DDE5EF"/>
              <w:right w:val="single" w:sz="4" w:color="DDE5EF"/>
            </w:tcBorders>
          </w:tcPr>
          <w:p>
            <w:pPr>
              <w:spacing w:after="0"/>
            </w:pPr>
            <w:r>
              <w:rPr>
                <w:sz w:val="22"/>
              </w:rPr>
              <w:t>~34%</w:t>
            </w:r>
          </w:p>
        </w:tc>
        <w:tc>
          <w:tcPr>
            <w:tcW w:type="dxa" w:w="1994"/>
            <w:tcBorders>
              <w:top w:val="single" w:sz="4" w:color="DDE5EF"/>
              <w:left w:val="single" w:sz="4" w:color="DDE5EF"/>
              <w:bottom w:val="single" w:sz="4" w:color="DDE5EF"/>
              <w:right w:val="single" w:sz="4" w:color="DDE5EF"/>
            </w:tcBorders>
          </w:tcPr>
          <w:p>
            <w:pPr>
              <w:spacing w:after="0"/>
            </w:pPr>
            <w:r>
              <w:rPr>
                <w:sz w:val="22"/>
              </w:rPr>
              <w:t>~13%</w:t>
            </w:r>
          </w:p>
        </w:tc>
        <w:tc>
          <w:tcPr>
            <w:tcW w:type="dxa" w:w="1994"/>
            <w:tcBorders>
              <w:top w:val="single" w:sz="4" w:color="DDE5EF"/>
              <w:left w:val="single" w:sz="4" w:color="DDE5EF"/>
              <w:bottom w:val="single" w:sz="4" w:color="DDE5EF"/>
              <w:right w:val="single" w:sz="4" w:color="DDE5EF"/>
            </w:tcBorders>
          </w:tcPr>
          <w:p>
            <w:pPr>
              <w:spacing w:after="0"/>
            </w:pPr>
            <w:r>
              <w:rPr>
                <w:sz w:val="22"/>
              </w:rPr>
              <w:t>negative</w:t>
            </w:r>
          </w:p>
        </w:tc>
      </w:tr>
      <w:tr>
        <w:tc>
          <w:tcPr>
            <w:tcW w:type="dxa" w:w="1994"/>
            <w:tcBorders>
              <w:top w:val="single" w:sz="4" w:color="DDE5EF"/>
              <w:left w:val="single" w:sz="4" w:color="DDE5EF"/>
              <w:bottom w:val="single" w:sz="4" w:color="DDE5EF"/>
              <w:right w:val="single" w:sz="4" w:color="DDE5EF"/>
            </w:tcBorders>
          </w:tcPr>
          <w:p>
            <w:pPr>
              <w:spacing w:after="0"/>
            </w:pPr>
            <w:r>
              <w:rPr>
                <w:sz w:val="22"/>
              </w:rPr>
              <w:t>Payback</w:t>
            </w:r>
          </w:p>
        </w:tc>
        <w:tc>
          <w:tcPr>
            <w:tcW w:type="dxa" w:w="1994"/>
            <w:tcBorders>
              <w:top w:val="single" w:sz="4" w:color="DDE5EF"/>
              <w:left w:val="single" w:sz="4" w:color="DDE5EF"/>
              <w:bottom w:val="single" w:sz="4" w:color="DDE5EF"/>
              <w:right w:val="single" w:sz="4" w:color="DDE5EF"/>
            </w:tcBorders>
          </w:tcPr>
          <w:p>
            <w:pPr>
              <w:spacing w:after="0"/>
            </w:pPr>
            <w:r>
              <w:rPr>
                <w:sz w:val="22"/>
              </w:rPr>
              <w:t>~6.5 yr</w:t>
            </w:r>
          </w:p>
        </w:tc>
        <w:tc>
          <w:tcPr>
            <w:tcW w:type="dxa" w:w="1994"/>
            <w:tcBorders>
              <w:top w:val="single" w:sz="4" w:color="DDE5EF"/>
              <w:left w:val="single" w:sz="4" w:color="DDE5EF"/>
              <w:bottom w:val="single" w:sz="4" w:color="DDE5EF"/>
              <w:right w:val="single" w:sz="4" w:color="DDE5EF"/>
            </w:tcBorders>
          </w:tcPr>
          <w:p>
            <w:pPr>
              <w:spacing w:after="0"/>
            </w:pPr>
            <w:r>
              <w:rPr>
                <w:sz w:val="22"/>
              </w:rPr>
              <w:t>~5 yr</w:t>
            </w:r>
          </w:p>
        </w:tc>
        <w:tc>
          <w:tcPr>
            <w:tcW w:type="dxa" w:w="1994"/>
            <w:tcBorders>
              <w:top w:val="single" w:sz="4" w:color="DDE5EF"/>
              <w:left w:val="single" w:sz="4" w:color="DDE5EF"/>
              <w:bottom w:val="single" w:sz="4" w:color="DDE5EF"/>
              <w:right w:val="single" w:sz="4" w:color="DDE5EF"/>
            </w:tcBorders>
          </w:tcPr>
          <w:p>
            <w:pPr>
              <w:spacing w:after="0"/>
            </w:pPr>
            <w:r>
              <w:rPr>
                <w:sz w:val="22"/>
              </w:rPr>
              <w:t>~9 yr</w:t>
            </w:r>
          </w:p>
        </w:tc>
        <w:tc>
          <w:tcPr>
            <w:tcW w:type="dxa" w:w="1994"/>
            <w:tcBorders>
              <w:top w:val="single" w:sz="4" w:color="DDE5EF"/>
              <w:left w:val="single" w:sz="4" w:color="DDE5EF"/>
              <w:bottom w:val="single" w:sz="4" w:color="DDE5EF"/>
              <w:right w:val="single" w:sz="4" w:color="DDE5EF"/>
            </w:tcBorders>
          </w:tcPr>
          <w:p>
            <w:pPr>
              <w:spacing w:after="0"/>
            </w:pPr>
            <w:r>
              <w:rPr>
                <w:sz w:val="22"/>
              </w:rPr>
              <w:t>not achieved</w:t>
            </w:r>
          </w:p>
        </w:tc>
      </w:tr>
    </w:tbl>
    <w:p>
      <w:pPr>
        <w:spacing w:after="40"/>
      </w:pPr>
    </w:p>
    <w:p>
      <w:pPr>
        <w:spacing w:after="80"/>
      </w:pPr>
      <w:r>
        <w:rPr>
          <w:color w:val="52627A"/>
          <w:sz w:val="18"/>
        </w:rPr>
        <w:t xml:space="preserve">Probability-weighted expected NPV across all four outcomes is </w:t>
      </w:r>
      <w:r>
        <w:rPr>
          <w:b/>
          <w:color w:val="52627A"/>
          <w:sz w:val="18"/>
        </w:rPr>
        <w:t>€233 M</w:t>
      </w:r>
      <w:r>
        <w:rPr>
          <w:color w:val="52627A"/>
          <w:sz w:val="18"/>
        </w:rPr>
        <w:t xml:space="preserve">. Methodology in §5 and §10 of the SPARTA Datapack Deliverable 05; all figures are analyst-modelled </w:t>
      </w:r>
      <w:r>
        <w:rPr>
          <w:color w:val="52627A"/>
          <w:sz w:val="18"/>
        </w:rPr>
        <w:t xml:space="preserve"> and require Airbus DS Finance re-run before external use.</w:t>
      </w:r>
    </w:p>
    <w:tbl>
      <w:tblPr>
        <w:tblW w:type="auto" w:w="0"/>
        <w:jc w:val="center"/>
        <w:tblLook w:firstColumn="1" w:firstRow="1" w:lastColumn="0" w:lastRow="0" w:noHBand="0" w:noVBand="1" w:val="04A0"/>
      </w:tblPr>
      <w:tblGrid>
        <w:gridCol w:w="9972"/>
      </w:tblGrid>
      <w:tr>
        <w:tc>
          <w:tcPr>
            <w:tcW w:type="dxa" w:w="9972"/>
            <w:tcBorders>
              <w:top w:val="single" w:sz="4" w:color="0A5B47"/>
              <w:left w:val="single" w:sz="32" w:color="0A5B47"/>
              <w:bottom w:val="single" w:sz="4" w:color="0A5B47"/>
              <w:right w:val="single" w:sz="4" w:color="0A5B47"/>
            </w:tcBorders>
            <w:shd w:val="clear" w:color="auto" w:fill="ECFDF5"/>
          </w:tcPr>
          <w:p>
            <w:pPr>
              <w:spacing w:after="40"/>
            </w:pPr>
            <w:r>
              <w:rPr>
                <w:b/>
                <w:color w:val="101A2D"/>
                <w:sz w:val="22"/>
              </w:rPr>
              <w:t>Headline asks</w:t>
            </w:r>
          </w:p>
          <w:p>
            <w:pPr>
              <w:spacing w:after="40"/>
              <w:ind w:left="454"/>
            </w:pPr>
            <w:r>
              <w:rPr>
                <w:color w:val="101A2D"/>
                <w:sz w:val="22"/>
              </w:rPr>
              <w:t xml:space="preserve">1. </w:t>
            </w:r>
            <w:r>
              <w:rPr>
                <w:sz w:val="22"/>
              </w:rPr>
              <w:t xml:space="preserve">Authorise </w:t>
            </w:r>
            <w:r>
              <w:rPr>
                <w:b/>
                <w:sz w:val="22"/>
              </w:rPr>
              <w:t>€18–26 M Phase 1B R&amp;T contribution</w:t>
            </w:r>
            <w:r>
              <w:rPr>
                <w:sz w:val="22"/>
              </w:rPr>
              <w:t xml:space="preserve"> 2026–2029, allocated inside the existing Pillar 4 contracted envelope.</w:t>
            </w:r>
          </w:p>
          <w:p>
            <w:pPr>
              <w:spacing w:after="40"/>
              <w:ind w:left="454"/>
            </w:pPr>
            <w:r>
              <w:rPr>
                <w:color w:val="101A2D"/>
                <w:sz w:val="22"/>
              </w:rPr>
              <w:t xml:space="preserve">2. </w:t>
            </w:r>
            <w:r>
              <w:rPr>
                <w:sz w:val="22"/>
              </w:rPr>
              <w:t xml:space="preserve">Authorise a </w:t>
            </w:r>
            <w:r>
              <w:rPr>
                <w:b/>
                <w:sz w:val="22"/>
              </w:rPr>
              <w:t>workshare statement</w:t>
            </w:r>
            <w:r>
              <w:rPr>
                <w:sz w:val="22"/>
              </w:rPr>
              <w:t xml:space="preserve"> positioning SPARTA inside Combat Cloud (Pillar 4), co-signed at Airbus DS / Programme level before the next FCAS Industrial Steering Committee.</w:t>
            </w:r>
          </w:p>
          <w:p>
            <w:pPr>
              <w:spacing w:after="40"/>
              <w:ind w:left="454"/>
            </w:pPr>
            <w:r>
              <w:rPr>
                <w:color w:val="101A2D"/>
                <w:sz w:val="22"/>
              </w:rPr>
              <w:t xml:space="preserve">3. </w:t>
            </w:r>
            <w:r>
              <w:rPr>
                <w:sz w:val="22"/>
              </w:rPr>
              <w:t xml:space="preserve">Authorise a </w:t>
            </w:r>
            <w:r>
              <w:rPr>
                <w:b/>
                <w:sz w:val="22"/>
              </w:rPr>
              <w:t>letter of intent</w:t>
            </w:r>
            <w:r>
              <w:rPr>
                <w:sz w:val="22"/>
              </w:rPr>
              <w:t xml:space="preserve"> from the FCAS Combat Cloud architecture board to fold SPARTA trust objects into the MARS canonical schema before schema freeze.</w:t>
            </w:r>
          </w:p>
          <w:p>
            <w:pPr>
              <w:spacing w:after="40"/>
              <w:ind w:left="454"/>
            </w:pPr>
            <w:r>
              <w:rPr>
                <w:color w:val="101A2D"/>
                <w:sz w:val="22"/>
              </w:rPr>
              <w:t xml:space="preserve">4. </w:t>
            </w:r>
            <w:r>
              <w:rPr>
                <w:sz w:val="22"/>
              </w:rPr>
              <w:t xml:space="preserve">Authorise a </w:t>
            </w:r>
            <w:r>
              <w:rPr>
                <w:b/>
                <w:sz w:val="22"/>
              </w:rPr>
              <w:t>joint demonstration plan</w:t>
            </w:r>
            <w:r>
              <w:rPr>
                <w:sz w:val="22"/>
              </w:rPr>
              <w:t xml:space="preserve"> with Indra Sistemas on the TSOC adjudication interface, to neutralise Spanish sovereign-cyber pushback.</w:t>
            </w:r>
          </w:p>
          <w:p>
            <w:pPr>
              <w:spacing w:after="40"/>
              <w:ind w:left="454"/>
            </w:pPr>
            <w:r>
              <w:rPr>
                <w:color w:val="101A2D"/>
                <w:sz w:val="22"/>
              </w:rPr>
              <w:t xml:space="preserve">5. </w:t>
            </w:r>
            <w:r>
              <w:rPr>
                <w:sz w:val="22"/>
              </w:rPr>
              <w:t>Direct Airbus DS Finance to re-run §5 of this plan against P&amp;L-grade inputs and to confirm the recurring-services pricing model.</w:t>
            </w:r>
          </w:p>
        </w:tc>
      </w:tr>
    </w:tbl>
    <w:p>
      <w:pPr>
        <w:spacing w:after="40"/>
      </w:pPr>
    </w:p>
    <w:p>
      <w:r>
        <w:br/>
      </w:r>
    </w:p>
    <w:p>
      <w:pPr>
        <w:pStyle w:val="Heading1"/>
      </w:pPr>
      <w:r>
        <w:t>3. Market Analysis</w:t>
      </w:r>
    </w:p>
    <w:p>
      <w:pPr>
        <w:pStyle w:val="Heading2"/>
      </w:pPr>
      <w:r>
        <w:t>3.1 Value Proposition (detailed — Value Proposition Canvas)</w:t>
      </w:r>
    </w:p>
    <w:p>
      <w:pPr>
        <w:spacing w:after="120"/>
      </w:pPr>
      <w:r>
        <w:rPr>
          <w:sz w:val="22"/>
        </w:rPr>
        <w:t xml:space="preserve">The detailed value proposition is constructed against the Osterwalder Value Proposition Canvas convention [R-26] </w:t>
      </w:r>
      <w:r>
        <w:rPr>
          <w:sz w:val="22"/>
        </w:rPr>
        <w:t>, which forces the supplier-side (products, pain relievers, gain creators) to be matched explicitly against the customer-side (jobs to be done, pains, gains). The canvas below is constructed for the primary customer persona — the platform integrator and Combat Cloud architecture board on the buyer side of FCAS Pillar 4 — and then extended for the secondary persona of the TSOC operator who owns the analyst workflow.</w:t>
      </w:r>
    </w:p>
    <w:p>
      <w:pPr>
        <w:pStyle w:val="Heading3"/>
      </w:pPr>
      <w:r>
        <w:t>3.1.1 Customer-side: jobs, pains, gains</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Persona</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Jobs to be done</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Pains</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Gains sought</w:t>
            </w:r>
          </w:p>
        </w:tc>
      </w:tr>
      <w:tr>
        <w:tc>
          <w:tcPr>
            <w:tcW w:type="dxa" w:w="2493"/>
            <w:tcBorders>
              <w:top w:val="single" w:sz="4" w:color="DDE5EF"/>
              <w:left w:val="single" w:sz="4" w:color="DDE5EF"/>
              <w:bottom w:val="single" w:sz="4" w:color="DDE5EF"/>
              <w:right w:val="single" w:sz="4" w:color="DDE5EF"/>
            </w:tcBorders>
          </w:tcPr>
          <w:p>
            <w:pPr>
              <w:spacing w:after="0"/>
            </w:pPr>
            <w:r>
              <w:rPr>
                <w:sz w:val="22"/>
              </w:rPr>
              <w:t>Platform integrator / Combat Cloud architecture board</w:t>
            </w:r>
          </w:p>
        </w:tc>
        <w:tc>
          <w:tcPr>
            <w:tcW w:type="dxa" w:w="2493"/>
            <w:tcBorders>
              <w:top w:val="single" w:sz="4" w:color="DDE5EF"/>
              <w:left w:val="single" w:sz="4" w:color="DDE5EF"/>
              <w:bottom w:val="single" w:sz="4" w:color="DDE5EF"/>
              <w:right w:val="single" w:sz="4" w:color="DDE5EF"/>
            </w:tcBorders>
          </w:tcPr>
          <w:p>
            <w:pPr>
              <w:spacing w:after="0"/>
            </w:pPr>
            <w:r>
              <w:rPr>
                <w:sz w:val="22"/>
              </w:rPr>
              <w:t>Define a stable, versioned, governed trust-object schema that every Combat Cloud participant (manned fighter, Remote Carrier, fog node, ground node) can produce and consume. Manage integration NRE across multiple platforms in parallel.</w:t>
            </w:r>
          </w:p>
        </w:tc>
        <w:tc>
          <w:tcPr>
            <w:tcW w:type="dxa" w:w="2493"/>
            <w:tcBorders>
              <w:top w:val="single" w:sz="4" w:color="DDE5EF"/>
              <w:left w:val="single" w:sz="4" w:color="DDE5EF"/>
              <w:bottom w:val="single" w:sz="4" w:color="DDE5EF"/>
              <w:right w:val="single" w:sz="4" w:color="DDE5EF"/>
            </w:tcBorders>
          </w:tcPr>
          <w:p>
            <w:pPr>
              <w:spacing w:after="0"/>
            </w:pPr>
            <w:r>
              <w:rPr>
                <w:sz w:val="22"/>
              </w:rPr>
              <w:t>Schema churn between integration cycles; per-platform reintegration NRE; political risk of workshare re-opening; accreditation cost ballooning when content changes are bundled with software releases.</w:t>
            </w:r>
          </w:p>
        </w:tc>
        <w:tc>
          <w:tcPr>
            <w:tcW w:type="dxa" w:w="2493"/>
            <w:tcBorders>
              <w:top w:val="single" w:sz="4" w:color="DDE5EF"/>
              <w:left w:val="single" w:sz="4" w:color="DDE5EF"/>
              <w:bottom w:val="single" w:sz="4" w:color="DDE5EF"/>
              <w:right w:val="single" w:sz="4" w:color="DDE5EF"/>
            </w:tcBorders>
          </w:tcPr>
          <w:p>
            <w:pPr>
              <w:spacing w:after="0"/>
            </w:pPr>
            <w:r>
              <w:rPr>
                <w:sz w:val="22"/>
              </w:rPr>
              <w:t>One canonical trust object that reuses across platforms; a content/software-separated lifecycle that lets content evolve faster than the accredited software baseline; structural defensibility against late-stage scope creep by external cyber vendors.</w:t>
            </w:r>
          </w:p>
        </w:tc>
      </w:tr>
      <w:tr>
        <w:tc>
          <w:tcPr>
            <w:tcW w:type="dxa" w:w="2493"/>
            <w:tcBorders>
              <w:top w:val="single" w:sz="4" w:color="DDE5EF"/>
              <w:left w:val="single" w:sz="4" w:color="DDE5EF"/>
              <w:bottom w:val="single" w:sz="4" w:color="DDE5EF"/>
              <w:right w:val="single" w:sz="4" w:color="DDE5EF"/>
            </w:tcBorders>
          </w:tcPr>
          <w:p>
            <w:pPr>
              <w:spacing w:after="0"/>
            </w:pPr>
            <w:r>
              <w:rPr>
                <w:sz w:val="22"/>
              </w:rPr>
              <w:t>TSOC operator (analyst workflow owner)</w:t>
            </w:r>
          </w:p>
        </w:tc>
        <w:tc>
          <w:tcPr>
            <w:tcW w:type="dxa" w:w="2493"/>
            <w:tcBorders>
              <w:top w:val="single" w:sz="4" w:color="DDE5EF"/>
              <w:left w:val="single" w:sz="4" w:color="DDE5EF"/>
              <w:bottom w:val="single" w:sz="4" w:color="DDE5EF"/>
              <w:right w:val="single" w:sz="4" w:color="DDE5EF"/>
            </w:tcBorders>
          </w:tcPr>
          <w:p>
            <w:pPr>
              <w:spacing w:after="0"/>
            </w:pPr>
            <w:r>
              <w:rPr>
                <w:sz w:val="22"/>
              </w:rPr>
              <w:t>Receive structured, provenance-bearing evidence from the tactical edge; adjudicate trust state under contested operational conditions; release signed policy and rule updates to fleet; close incident loops with auditable artefacts.</w:t>
            </w:r>
          </w:p>
        </w:tc>
        <w:tc>
          <w:tcPr>
            <w:tcW w:type="dxa" w:w="2493"/>
            <w:tcBorders>
              <w:top w:val="single" w:sz="4" w:color="DDE5EF"/>
              <w:left w:val="single" w:sz="4" w:color="DDE5EF"/>
              <w:bottom w:val="single" w:sz="4" w:color="DDE5EF"/>
              <w:right w:val="single" w:sz="4" w:color="DDE5EF"/>
            </w:tcBorders>
          </w:tcPr>
          <w:p>
            <w:pPr>
              <w:spacing w:after="0"/>
            </w:pPr>
            <w:r>
              <w:rPr>
                <w:sz w:val="22"/>
              </w:rPr>
              <w:t>Raw cyber logs are too noisy and too slow for mission decisions; missing provenance forces analysts to re-establish context for every event; lack of policy version control creates blame ambiguity post-incident; cross-domain release rules are opaque.</w:t>
            </w:r>
          </w:p>
        </w:tc>
        <w:tc>
          <w:tcPr>
            <w:tcW w:type="dxa" w:w="2493"/>
            <w:tcBorders>
              <w:top w:val="single" w:sz="4" w:color="DDE5EF"/>
              <w:left w:val="single" w:sz="4" w:color="DDE5EF"/>
              <w:bottom w:val="single" w:sz="4" w:color="DDE5EF"/>
              <w:right w:val="single" w:sz="4" w:color="DDE5EF"/>
            </w:tcBorders>
          </w:tcPr>
          <w:p>
            <w:pPr>
              <w:spacing w:after="0"/>
            </w:pPr>
            <w:r>
              <w:rPr>
                <w:sz w:val="22"/>
              </w:rPr>
              <w:t>Decision-ready trust outputs with reason-chain and validity windows; provenance attached to every artefact; monotonic, signed, version-controlled PolicyBundles; explicit release-caveat machinery for coalition operations.</w:t>
            </w:r>
          </w:p>
        </w:tc>
      </w:tr>
      <w:tr>
        <w:tc>
          <w:tcPr>
            <w:tcW w:type="dxa" w:w="2493"/>
            <w:tcBorders>
              <w:top w:val="single" w:sz="4" w:color="DDE5EF"/>
              <w:left w:val="single" w:sz="4" w:color="DDE5EF"/>
              <w:bottom w:val="single" w:sz="4" w:color="DDE5EF"/>
              <w:right w:val="single" w:sz="4" w:color="DDE5EF"/>
            </w:tcBorders>
          </w:tcPr>
          <w:p>
            <w:pPr>
              <w:spacing w:after="0"/>
            </w:pPr>
            <w:r>
              <w:rPr>
                <w:sz w:val="22"/>
              </w:rPr>
              <w:t>National accreditation authority</w:t>
            </w:r>
          </w:p>
        </w:tc>
        <w:tc>
          <w:tcPr>
            <w:tcW w:type="dxa" w:w="2493"/>
            <w:tcBorders>
              <w:top w:val="single" w:sz="4" w:color="DDE5EF"/>
              <w:left w:val="single" w:sz="4" w:color="DDE5EF"/>
              <w:bottom w:val="single" w:sz="4" w:color="DDE5EF"/>
              <w:right w:val="single" w:sz="4" w:color="DDE5EF"/>
            </w:tcBorders>
          </w:tcPr>
          <w:p>
            <w:pPr>
              <w:spacing w:after="0"/>
            </w:pPr>
            <w:r>
              <w:rPr>
                <w:sz w:val="22"/>
              </w:rPr>
              <w:t>Certify that the deployed system behaves within bounded, auditable, reversible authority envelopes.</w:t>
            </w:r>
          </w:p>
        </w:tc>
        <w:tc>
          <w:tcPr>
            <w:tcW w:type="dxa" w:w="2493"/>
            <w:tcBorders>
              <w:top w:val="single" w:sz="4" w:color="DDE5EF"/>
              <w:left w:val="single" w:sz="4" w:color="DDE5EF"/>
              <w:bottom w:val="single" w:sz="4" w:color="DDE5EF"/>
              <w:right w:val="single" w:sz="4" w:color="DDE5EF"/>
            </w:tcBorders>
          </w:tcPr>
          <w:p>
            <w:pPr>
              <w:spacing w:after="0"/>
            </w:pPr>
            <w:r>
              <w:rPr>
                <w:sz w:val="22"/>
              </w:rPr>
              <w:t>Unbounded autonomous cyber action; opaque ML outputs without reason-chain; mismatched software/content lifecycles that force frequent re-accreditation.</w:t>
            </w:r>
          </w:p>
        </w:tc>
        <w:tc>
          <w:tcPr>
            <w:tcW w:type="dxa" w:w="2493"/>
            <w:tcBorders>
              <w:top w:val="single" w:sz="4" w:color="DDE5EF"/>
              <w:left w:val="single" w:sz="4" w:color="DDE5EF"/>
              <w:bottom w:val="single" w:sz="4" w:color="DDE5EF"/>
              <w:right w:val="single" w:sz="4" w:color="DDE5EF"/>
            </w:tcBorders>
          </w:tcPr>
          <w:p>
            <w:pPr>
              <w:spacing w:after="0"/>
            </w:pPr>
            <w:r>
              <w:rPr>
                <w:sz w:val="22"/>
              </w:rPr>
              <w:t>Explicit advisory-only authority partition; explainable outputs (SYS-DATA-003); content-separated software baseline that does not re-trigger accreditation on every content patch.</w:t>
            </w:r>
          </w:p>
        </w:tc>
      </w:tr>
      <w:tr>
        <w:tc>
          <w:tcPr>
            <w:tcW w:type="dxa" w:w="2493"/>
            <w:tcBorders>
              <w:top w:val="single" w:sz="4" w:color="DDE5EF"/>
              <w:left w:val="single" w:sz="4" w:color="DDE5EF"/>
              <w:bottom w:val="single" w:sz="4" w:color="DDE5EF"/>
              <w:right w:val="single" w:sz="4" w:color="DDE5EF"/>
            </w:tcBorders>
          </w:tcPr>
          <w:p>
            <w:pPr>
              <w:spacing w:after="0"/>
            </w:pPr>
            <w:r>
              <w:rPr>
                <w:sz w:val="22"/>
              </w:rPr>
              <w:t>Mission operator / Command C2</w:t>
            </w:r>
          </w:p>
        </w:tc>
        <w:tc>
          <w:tcPr>
            <w:tcW w:type="dxa" w:w="2493"/>
            <w:tcBorders>
              <w:top w:val="single" w:sz="4" w:color="DDE5EF"/>
              <w:left w:val="single" w:sz="4" w:color="DDE5EF"/>
              <w:bottom w:val="single" w:sz="4" w:color="DDE5EF"/>
              <w:right w:val="single" w:sz="4" w:color="DDE5EF"/>
            </w:tcBorders>
          </w:tcPr>
          <w:p>
            <w:pPr>
              <w:spacing w:after="0"/>
            </w:pPr>
            <w:r>
              <w:rPr>
                <w:sz w:val="22"/>
              </w:rPr>
              <w:t>Maintain mission continuity under cyber threat; act on cyber outputs without re-establishing technical context; preserve operator agency over mission decisions.</w:t>
            </w:r>
          </w:p>
        </w:tc>
        <w:tc>
          <w:tcPr>
            <w:tcW w:type="dxa" w:w="2493"/>
            <w:tcBorders>
              <w:top w:val="single" w:sz="4" w:color="DDE5EF"/>
              <w:left w:val="single" w:sz="4" w:color="DDE5EF"/>
              <w:bottom w:val="single" w:sz="4" w:color="DDE5EF"/>
              <w:right w:val="single" w:sz="4" w:color="DDE5EF"/>
            </w:tcBorders>
          </w:tcPr>
          <w:p>
            <w:pPr>
              <w:spacing w:after="0"/>
            </w:pPr>
            <w:r>
              <w:rPr>
                <w:sz w:val="22"/>
              </w:rPr>
              <w:t>False-positive-driven mission disruption; ambiguous cyber alerts during high-tempo operations; loss of authority clarity between mission command and cyber response.</w:t>
            </w:r>
          </w:p>
        </w:tc>
        <w:tc>
          <w:tcPr>
            <w:tcW w:type="dxa" w:w="2493"/>
            <w:tcBorders>
              <w:top w:val="single" w:sz="4" w:color="DDE5EF"/>
              <w:left w:val="single" w:sz="4" w:color="DDE5EF"/>
              <w:bottom w:val="single" w:sz="4" w:color="DDE5EF"/>
              <w:right w:val="single" w:sz="4" w:color="DDE5EF"/>
            </w:tcBorders>
          </w:tcPr>
          <w:p>
            <w:pPr>
              <w:spacing w:after="0"/>
            </w:pPr>
            <w:r>
              <w:rPr>
                <w:sz w:val="22"/>
              </w:rPr>
              <w:t>Concise mission-impact summaries (not raw cyber detail); validity windows that bound the operational claim; explicit authority partition that keeps mission decisions with Command C2.</w:t>
            </w:r>
          </w:p>
        </w:tc>
      </w:tr>
    </w:tbl>
    <w:p>
      <w:pPr>
        <w:spacing w:after="40"/>
      </w:pPr>
    </w:p>
    <w:p>
      <w:pPr>
        <w:pStyle w:val="Heading3"/>
      </w:pPr>
      <w:r>
        <w:t>3.1.2 Supplier-side: products, pain relievers, gain creators</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Element</w:t>
            </w:r>
          </w:p>
        </w:tc>
        <w:tc>
          <w:tcPr>
            <w:tcW w:type="dxa" w:w="332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How SPARTA addresses customer-side</w:t>
            </w:r>
          </w:p>
        </w:tc>
        <w:tc>
          <w:tcPr>
            <w:tcW w:type="dxa" w:w="332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Datapack trace</w:t>
            </w:r>
          </w:p>
        </w:tc>
      </w:tr>
      <w:tr>
        <w:tc>
          <w:tcPr>
            <w:tcW w:type="dxa" w:w="3324"/>
            <w:tcBorders>
              <w:top w:val="single" w:sz="4" w:color="DDE5EF"/>
              <w:left w:val="single" w:sz="4" w:color="DDE5EF"/>
              <w:bottom w:val="single" w:sz="4" w:color="DDE5EF"/>
              <w:right w:val="single" w:sz="4" w:color="DDE5EF"/>
            </w:tcBorders>
          </w:tcPr>
          <w:p>
            <w:pPr>
              <w:spacing w:after="0"/>
            </w:pPr>
            <w:r>
              <w:rPr>
                <w:sz w:val="22"/>
              </w:rPr>
              <w:t>Products &amp; services</w:t>
            </w:r>
          </w:p>
        </w:tc>
        <w:tc>
          <w:tcPr>
            <w:tcW w:type="dxa" w:w="3324"/>
            <w:tcBorders>
              <w:top w:val="single" w:sz="4" w:color="DDE5EF"/>
              <w:left w:val="single" w:sz="4" w:color="DDE5EF"/>
              <w:bottom w:val="single" w:sz="4" w:color="DDE5EF"/>
              <w:right w:val="single" w:sz="4" w:color="DDE5EF"/>
            </w:tcBorders>
          </w:tcPr>
          <w:p>
            <w:pPr>
              <w:spacing w:after="0"/>
            </w:pPr>
            <w:r>
              <w:rPr>
                <w:sz w:val="22"/>
              </w:rPr>
              <w:t>P1 Edge Agent · P2 Tactical Correlator (extension) · P3 Schema &amp; Interface Libraries · P4 Signed Content Pipeline · P5 Integration &amp; Support Tooling · P6 Identity &amp; Key Material.</w:t>
            </w:r>
          </w:p>
        </w:tc>
        <w:tc>
          <w:tcPr>
            <w:tcW w:type="dxa" w:w="3324"/>
            <w:tcBorders>
              <w:top w:val="single" w:sz="4" w:color="DDE5EF"/>
              <w:left w:val="single" w:sz="4" w:color="DDE5EF"/>
              <w:bottom w:val="single" w:sz="4" w:color="DDE5EF"/>
              <w:right w:val="single" w:sz="4" w:color="DDE5EF"/>
            </w:tcBorders>
          </w:tcPr>
          <w:p>
            <w:pPr>
              <w:spacing w:after="0"/>
            </w:pPr>
            <w:r>
              <w:rPr>
                <w:sz w:val="22"/>
              </w:rPr>
              <w:t>Deliv. 03 §6.2</w:t>
            </w:r>
          </w:p>
        </w:tc>
      </w:tr>
      <w:tr>
        <w:tc>
          <w:tcPr>
            <w:tcW w:type="dxa" w:w="3324"/>
            <w:tcBorders>
              <w:top w:val="single" w:sz="4" w:color="DDE5EF"/>
              <w:left w:val="single" w:sz="4" w:color="DDE5EF"/>
              <w:bottom w:val="single" w:sz="4" w:color="DDE5EF"/>
              <w:right w:val="single" w:sz="4" w:color="DDE5EF"/>
            </w:tcBorders>
          </w:tcPr>
          <w:p>
            <w:pPr>
              <w:spacing w:after="0"/>
            </w:pPr>
            <w:r>
              <w:rPr>
                <w:sz w:val="22"/>
              </w:rPr>
              <w:t>Pain reliever — schema churn</w:t>
            </w:r>
          </w:p>
        </w:tc>
        <w:tc>
          <w:tcPr>
            <w:tcW w:type="dxa" w:w="3324"/>
            <w:tcBorders>
              <w:top w:val="single" w:sz="4" w:color="DDE5EF"/>
              <w:left w:val="single" w:sz="4" w:color="DDE5EF"/>
              <w:bottom w:val="single" w:sz="4" w:color="DDE5EF"/>
              <w:right w:val="single" w:sz="4" w:color="DDE5EF"/>
            </w:tcBorders>
          </w:tcPr>
          <w:p>
            <w:pPr>
              <w:spacing w:after="0"/>
            </w:pPr>
            <w:r>
              <w:rPr>
                <w:sz w:val="22"/>
              </w:rPr>
              <w:t>Stable canonical data contract (NodeStatus, AnomalyEvent, TrustAssessment, ResponseRecommendation, PolicyBundle, EvidencePackage, HealthReport, PeerSummary) governed under SYS-IF-005 schema-governance discipline.</w:t>
            </w:r>
          </w:p>
        </w:tc>
        <w:tc>
          <w:tcPr>
            <w:tcW w:type="dxa" w:w="3324"/>
            <w:tcBorders>
              <w:top w:val="single" w:sz="4" w:color="DDE5EF"/>
              <w:left w:val="single" w:sz="4" w:color="DDE5EF"/>
              <w:bottom w:val="single" w:sz="4" w:color="DDE5EF"/>
              <w:right w:val="single" w:sz="4" w:color="DDE5EF"/>
            </w:tcBorders>
          </w:tcPr>
          <w:p>
            <w:pPr>
              <w:spacing w:after="0"/>
            </w:pPr>
            <w:r>
              <w:rPr>
                <w:sz w:val="22"/>
              </w:rPr>
              <w:t>Deliv. 03 §11; SYS-IF-005</w:t>
            </w:r>
          </w:p>
        </w:tc>
      </w:tr>
      <w:tr>
        <w:tc>
          <w:tcPr>
            <w:tcW w:type="dxa" w:w="3324"/>
            <w:tcBorders>
              <w:top w:val="single" w:sz="4" w:color="DDE5EF"/>
              <w:left w:val="single" w:sz="4" w:color="DDE5EF"/>
              <w:bottom w:val="single" w:sz="4" w:color="DDE5EF"/>
              <w:right w:val="single" w:sz="4" w:color="DDE5EF"/>
            </w:tcBorders>
          </w:tcPr>
          <w:p>
            <w:pPr>
              <w:spacing w:after="0"/>
            </w:pPr>
            <w:r>
              <w:rPr>
                <w:sz w:val="22"/>
              </w:rPr>
              <w:t>Pain reliever — accreditation cadence</w:t>
            </w:r>
          </w:p>
        </w:tc>
        <w:tc>
          <w:tcPr>
            <w:tcW w:type="dxa" w:w="3324"/>
            <w:tcBorders>
              <w:top w:val="single" w:sz="4" w:color="DDE5EF"/>
              <w:left w:val="single" w:sz="4" w:color="DDE5EF"/>
              <w:bottom w:val="single" w:sz="4" w:color="DDE5EF"/>
              <w:right w:val="single" w:sz="4" w:color="DDE5EF"/>
            </w:tcBorders>
          </w:tcPr>
          <w:p>
            <w:pPr>
              <w:spacing w:after="0"/>
            </w:pPr>
            <w:r>
              <w:rPr>
                <w:sz w:val="22"/>
              </w:rPr>
              <w:t>SYS-DC-004 content / software separation: content updates do not re-trigger software accreditation; signed hot-swap chain (SYS-DC-005) for monotonic rollout.</w:t>
            </w:r>
          </w:p>
        </w:tc>
        <w:tc>
          <w:tcPr>
            <w:tcW w:type="dxa" w:w="3324"/>
            <w:tcBorders>
              <w:top w:val="single" w:sz="4" w:color="DDE5EF"/>
              <w:left w:val="single" w:sz="4" w:color="DDE5EF"/>
              <w:bottom w:val="single" w:sz="4" w:color="DDE5EF"/>
              <w:right w:val="single" w:sz="4" w:color="DDE5EF"/>
            </w:tcBorders>
          </w:tcPr>
          <w:p>
            <w:pPr>
              <w:spacing w:after="0"/>
            </w:pPr>
            <w:r>
              <w:rPr>
                <w:sz w:val="22"/>
              </w:rPr>
              <w:t>Deliv. 02 §5.11; Deliv. 06 §11</w:t>
            </w:r>
          </w:p>
        </w:tc>
      </w:tr>
      <w:tr>
        <w:tc>
          <w:tcPr>
            <w:tcW w:type="dxa" w:w="3324"/>
            <w:tcBorders>
              <w:top w:val="single" w:sz="4" w:color="DDE5EF"/>
              <w:left w:val="single" w:sz="4" w:color="DDE5EF"/>
              <w:bottom w:val="single" w:sz="4" w:color="DDE5EF"/>
              <w:right w:val="single" w:sz="4" w:color="DDE5EF"/>
            </w:tcBorders>
          </w:tcPr>
          <w:p>
            <w:pPr>
              <w:spacing w:after="0"/>
            </w:pPr>
            <w:r>
              <w:rPr>
                <w:sz w:val="22"/>
              </w:rPr>
              <w:t>Pain reliever — alert noise</w:t>
            </w:r>
          </w:p>
        </w:tc>
        <w:tc>
          <w:tcPr>
            <w:tcW w:type="dxa" w:w="3324"/>
            <w:tcBorders>
              <w:top w:val="single" w:sz="4" w:color="DDE5EF"/>
              <w:left w:val="single" w:sz="4" w:color="DDE5EF"/>
              <w:bottom w:val="single" w:sz="4" w:color="DDE5EF"/>
              <w:right w:val="single" w:sz="4" w:color="DDE5EF"/>
            </w:tcBorders>
          </w:tcPr>
          <w:p>
            <w:pPr>
              <w:spacing w:after="0"/>
            </w:pPr>
            <w:r>
              <w:rPr>
                <w:sz w:val="22"/>
              </w:rPr>
              <w:t>F4 triage with mission-criticality weighting; F4.3 false-positive suppression via context filter; SYS-FUNC-011 local triage with bounded priority output.</w:t>
            </w:r>
          </w:p>
        </w:tc>
        <w:tc>
          <w:tcPr>
            <w:tcW w:type="dxa" w:w="3324"/>
            <w:tcBorders>
              <w:top w:val="single" w:sz="4" w:color="DDE5EF"/>
              <w:left w:val="single" w:sz="4" w:color="DDE5EF"/>
              <w:bottom w:val="single" w:sz="4" w:color="DDE5EF"/>
              <w:right w:val="single" w:sz="4" w:color="DDE5EF"/>
            </w:tcBorders>
          </w:tcPr>
          <w:p>
            <w:pPr>
              <w:spacing w:after="0"/>
            </w:pPr>
            <w:r>
              <w:rPr>
                <w:sz w:val="22"/>
              </w:rPr>
              <w:t>Deliv. 03 §4.2 (F4); SYS-FUNC-011</w:t>
            </w:r>
          </w:p>
        </w:tc>
      </w:tr>
      <w:tr>
        <w:tc>
          <w:tcPr>
            <w:tcW w:type="dxa" w:w="3324"/>
            <w:tcBorders>
              <w:top w:val="single" w:sz="4" w:color="DDE5EF"/>
              <w:left w:val="single" w:sz="4" w:color="DDE5EF"/>
              <w:bottom w:val="single" w:sz="4" w:color="DDE5EF"/>
              <w:right w:val="single" w:sz="4" w:color="DDE5EF"/>
            </w:tcBorders>
          </w:tcPr>
          <w:p>
            <w:pPr>
              <w:spacing w:after="0"/>
            </w:pPr>
            <w:r>
              <w:rPr>
                <w:sz w:val="22"/>
              </w:rPr>
              <w:t>Pain reliever — DDIL operations</w:t>
            </w:r>
          </w:p>
        </w:tc>
        <w:tc>
          <w:tcPr>
            <w:tcW w:type="dxa" w:w="3324"/>
            <w:tcBorders>
              <w:top w:val="single" w:sz="4" w:color="DDE5EF"/>
              <w:left w:val="single" w:sz="4" w:color="DDE5EF"/>
              <w:bottom w:val="single" w:sz="4" w:color="DDE5EF"/>
              <w:right w:val="single" w:sz="4" w:color="DDE5EF"/>
            </w:tcBorders>
          </w:tcPr>
          <w:p>
            <w:pPr>
              <w:spacing w:after="0"/>
            </w:pPr>
            <w:r>
              <w:rPr>
                <w:sz w:val="22"/>
              </w:rPr>
              <w:t>SYS-OPS-001 disconnected operation + SYS-OPS-006 DDIL fallback ruleset; local detection rate invariant of link state.</w:t>
            </w:r>
          </w:p>
        </w:tc>
        <w:tc>
          <w:tcPr>
            <w:tcW w:type="dxa" w:w="3324"/>
            <w:tcBorders>
              <w:top w:val="single" w:sz="4" w:color="DDE5EF"/>
              <w:left w:val="single" w:sz="4" w:color="DDE5EF"/>
              <w:bottom w:val="single" w:sz="4" w:color="DDE5EF"/>
              <w:right w:val="single" w:sz="4" w:color="DDE5EF"/>
            </w:tcBorders>
          </w:tcPr>
          <w:p>
            <w:pPr>
              <w:spacing w:after="0"/>
            </w:pPr>
            <w:r>
              <w:rPr>
                <w:sz w:val="22"/>
              </w:rPr>
              <w:t>Deliv. 01 §13.1; Deliv. 04 §7.1 Campaign V3</w:t>
            </w:r>
          </w:p>
        </w:tc>
      </w:tr>
      <w:tr>
        <w:tc>
          <w:tcPr>
            <w:tcW w:type="dxa" w:w="3324"/>
            <w:tcBorders>
              <w:top w:val="single" w:sz="4" w:color="DDE5EF"/>
              <w:left w:val="single" w:sz="4" w:color="DDE5EF"/>
              <w:bottom w:val="single" w:sz="4" w:color="DDE5EF"/>
              <w:right w:val="single" w:sz="4" w:color="DDE5EF"/>
            </w:tcBorders>
          </w:tcPr>
          <w:p>
            <w:pPr>
              <w:spacing w:after="0"/>
            </w:pPr>
            <w:r>
              <w:rPr>
                <w:sz w:val="22"/>
              </w:rPr>
              <w:t>Gain creator — explainability</w:t>
            </w:r>
          </w:p>
        </w:tc>
        <w:tc>
          <w:tcPr>
            <w:tcW w:type="dxa" w:w="3324"/>
            <w:tcBorders>
              <w:top w:val="single" w:sz="4" w:color="DDE5EF"/>
              <w:left w:val="single" w:sz="4" w:color="DDE5EF"/>
              <w:bottom w:val="single" w:sz="4" w:color="DDE5EF"/>
              <w:right w:val="single" w:sz="4" w:color="DDE5EF"/>
            </w:tcBorders>
          </w:tcPr>
          <w:p>
            <w:pPr>
              <w:spacing w:after="0"/>
            </w:pPr>
            <w:r>
              <w:rPr>
                <w:sz w:val="22"/>
              </w:rPr>
              <w:t>SYS-DATA-003 reason-chain attached to every TrustAssessment / ResponseRecommendation; SYS-HFE-002 reason-chain on demand for analyst inspection.</w:t>
            </w:r>
          </w:p>
        </w:tc>
        <w:tc>
          <w:tcPr>
            <w:tcW w:type="dxa" w:w="3324"/>
            <w:tcBorders>
              <w:top w:val="single" w:sz="4" w:color="DDE5EF"/>
              <w:left w:val="single" w:sz="4" w:color="DDE5EF"/>
              <w:bottom w:val="single" w:sz="4" w:color="DDE5EF"/>
              <w:right w:val="single" w:sz="4" w:color="DDE5EF"/>
            </w:tcBorders>
          </w:tcPr>
          <w:p>
            <w:pPr>
              <w:spacing w:after="0"/>
            </w:pPr>
            <w:r>
              <w:rPr>
                <w:sz w:val="22"/>
              </w:rPr>
              <w:t>Deliv. 02 §5.5; Deliv. 02 §5.10</w:t>
            </w:r>
          </w:p>
        </w:tc>
      </w:tr>
      <w:tr>
        <w:tc>
          <w:tcPr>
            <w:tcW w:type="dxa" w:w="3324"/>
            <w:tcBorders>
              <w:top w:val="single" w:sz="4" w:color="DDE5EF"/>
              <w:left w:val="single" w:sz="4" w:color="DDE5EF"/>
              <w:bottom w:val="single" w:sz="4" w:color="DDE5EF"/>
              <w:right w:val="single" w:sz="4" w:color="DDE5EF"/>
            </w:tcBorders>
          </w:tcPr>
          <w:p>
            <w:pPr>
              <w:spacing w:after="0"/>
            </w:pPr>
            <w:r>
              <w:rPr>
                <w:sz w:val="22"/>
              </w:rPr>
              <w:t>Gain creator — authority partition</w:t>
            </w:r>
          </w:p>
        </w:tc>
        <w:tc>
          <w:tcPr>
            <w:tcW w:type="dxa" w:w="3324"/>
            <w:tcBorders>
              <w:top w:val="single" w:sz="4" w:color="DDE5EF"/>
              <w:left w:val="single" w:sz="4" w:color="DDE5EF"/>
              <w:bottom w:val="single" w:sz="4" w:color="DDE5EF"/>
              <w:right w:val="single" w:sz="4" w:color="DDE5EF"/>
            </w:tcBorders>
          </w:tcPr>
          <w:p>
            <w:pPr>
              <w:spacing w:after="0"/>
            </w:pPr>
            <w:r>
              <w:rPr>
                <w:sz w:val="22"/>
              </w:rPr>
              <w:t>SYS-DC-001 design constraint; Authority Matrix in Deliv. 06 §7 makes the partition contractually binding.</w:t>
            </w:r>
          </w:p>
        </w:tc>
        <w:tc>
          <w:tcPr>
            <w:tcW w:type="dxa" w:w="3324"/>
            <w:tcBorders>
              <w:top w:val="single" w:sz="4" w:color="DDE5EF"/>
              <w:left w:val="single" w:sz="4" w:color="DDE5EF"/>
              <w:bottom w:val="single" w:sz="4" w:color="DDE5EF"/>
              <w:right w:val="single" w:sz="4" w:color="DDE5EF"/>
            </w:tcBorders>
          </w:tcPr>
          <w:p>
            <w:pPr>
              <w:spacing w:after="0"/>
            </w:pPr>
            <w:r>
              <w:rPr>
                <w:sz w:val="22"/>
              </w:rPr>
              <w:t>Deliv. 06 §7</w:t>
            </w:r>
          </w:p>
        </w:tc>
      </w:tr>
      <w:tr>
        <w:tc>
          <w:tcPr>
            <w:tcW w:type="dxa" w:w="3324"/>
            <w:tcBorders>
              <w:top w:val="single" w:sz="4" w:color="DDE5EF"/>
              <w:left w:val="single" w:sz="4" w:color="DDE5EF"/>
              <w:bottom w:val="single" w:sz="4" w:color="DDE5EF"/>
              <w:right w:val="single" w:sz="4" w:color="DDE5EF"/>
            </w:tcBorders>
          </w:tcPr>
          <w:p>
            <w:pPr>
              <w:spacing w:after="0"/>
            </w:pPr>
            <w:r>
              <w:rPr>
                <w:sz w:val="22"/>
              </w:rPr>
              <w:t>Gain creator — coalition readiness</w:t>
            </w:r>
          </w:p>
        </w:tc>
        <w:tc>
          <w:tcPr>
            <w:tcW w:type="dxa" w:w="3324"/>
            <w:tcBorders>
              <w:top w:val="single" w:sz="4" w:color="DDE5EF"/>
              <w:left w:val="single" w:sz="4" w:color="DDE5EF"/>
              <w:bottom w:val="single" w:sz="4" w:color="DDE5EF"/>
              <w:right w:val="single" w:sz="4" w:color="DDE5EF"/>
            </w:tcBorders>
          </w:tcPr>
          <w:p>
            <w:pPr>
              <w:spacing w:after="0"/>
            </w:pPr>
            <w:r>
              <w:rPr>
                <w:sz w:val="22"/>
              </w:rPr>
              <w:t>SYS-ENV-002 cross-domain compatibility; IF-EXT-07 hardware-separated sanitizer with audited release decisions; coalition tier on PeerSummary.</w:t>
            </w:r>
          </w:p>
        </w:tc>
        <w:tc>
          <w:tcPr>
            <w:tcW w:type="dxa" w:w="3324"/>
            <w:tcBorders>
              <w:top w:val="single" w:sz="4" w:color="DDE5EF"/>
              <w:left w:val="single" w:sz="4" w:color="DDE5EF"/>
              <w:bottom w:val="single" w:sz="4" w:color="DDE5EF"/>
              <w:right w:val="single" w:sz="4" w:color="DDE5EF"/>
            </w:tcBorders>
          </w:tcPr>
          <w:p>
            <w:pPr>
              <w:spacing w:after="0"/>
            </w:pPr>
            <w:r>
              <w:rPr>
                <w:sz w:val="22"/>
              </w:rPr>
              <w:t>Deliv. 03 §8.1; Deliv. 06 §10.5</w:t>
            </w:r>
          </w:p>
        </w:tc>
      </w:tr>
    </w:tbl>
    <w:p>
      <w:pPr>
        <w:spacing w:after="40"/>
      </w:pPr>
    </w:p>
    <w:p>
      <w:pPr>
        <w:pStyle w:val="Heading3"/>
      </w:pPr>
      <w:r>
        <w:t>3.1.3 Measures of effectiveness (MOE) — operational evidence</w:t>
      </w:r>
    </w:p>
    <w:p>
      <w:pPr>
        <w:spacing w:after="120"/>
      </w:pPr>
      <w:r>
        <w:rPr>
          <w:sz w:val="22"/>
        </w:rPr>
        <w:t>The technical baseline ties each customer-side gain to a measurable Measure of Effectiveness (MOE) in Deliverable 01 §5.3. Six MOEs govern operational success: MOE-01 mission trust awareness timeliness, MOE-02 operational relevance of outputs, MOE-03 mission continuity under degradation, MOE-04 analyst utility, MOE-05 false-action containment, MOE-06 adversary resilience. Each MOE has an observable evidence artefact, validation campaign, and pass/fail criterion (Deliv. 04 §7.1). The value proposition is therefore not a rhetorical commitment — it is anchored on testable operational evidence inside the V&amp;V plan.</w:t>
      </w:r>
    </w:p>
    <w:p>
      <w:pPr>
        <w:pStyle w:val="Heading2"/>
      </w:pPr>
      <w:r>
        <w:t>3.2 Attractiveness, Technology, Innovation</w:t>
      </w:r>
    </w:p>
    <w:p>
      <w:pPr>
        <w:pStyle w:val="Heading3"/>
      </w:pPr>
      <w:r>
        <w:t>3.2.1 Market attractiveness</w:t>
      </w:r>
    </w:p>
    <w:p>
      <w:pPr>
        <w:spacing w:after="120"/>
      </w:pPr>
      <w:r>
        <w:rPr>
          <w:sz w:val="22"/>
        </w:rPr>
        <w:t xml:space="preserve">The European defence-cyber market is structurally attractive on five conventional dimensions, anchored on the SIPRI defence-economics literature [R-20][R-24] </w:t>
      </w:r>
      <w:r>
        <w:rPr>
          <w:sz w:val="22"/>
        </w:rPr>
        <w:t xml:space="preserve"> and on the EDA Capability Development Plan 2023 revision [R-9] </w:t>
      </w:r>
      <w:r>
        <w:rPr>
          <w:sz w:val="22"/>
        </w:rPr>
        <w:t xml:space="preserve">. First, demand is policy-protected: defence-cyber budget lines are politically defensible across France, Germany and Spain because cyber is treated as sovereign-essential infrastructure, not discretionary investment [R-15][R-16] </w:t>
      </w:r>
      <w:r>
        <w:rPr>
          <w:sz w:val="22"/>
        </w:rPr>
        <w:t xml:space="preserve">. Second, the market is growing in absolute terms — the SIPRI top-100 arms-industry series shows compounded defence-electronics and cyber growth materially above wider European industrial averages over the 2018–2024 period [R-20] </w:t>
      </w:r>
      <w:r>
        <w:rPr>
          <w:sz w:val="22"/>
        </w:rPr>
        <w:t xml:space="preserve">. Third, customer concentration is high — a small number of programmes (FCAS, Eurofighter LTE, Eurodrone, GCAP-equivalent NATO programmes) account for the bulk of opportunities, which keeps sales-and-marketing cost contained. Fourth, switching costs are structurally high once a customer has accredited a particular trust-object schema, because re-accreditation under DGA-MI / BSI / CCN-CERT methodologies takes multi-year effort [R-15][R-16] </w:t>
      </w:r>
      <w:r>
        <w:rPr>
          <w:sz w:val="22"/>
        </w:rPr>
        <w:t xml:space="preserve">. Fifth, regulatory tailwinds — NIS2 and the Cyber Resilience Act — raise the floor on the entire SAM rather than depressing it [R-12][R-13] </w:t>
      </w:r>
      <w:r>
        <w:rPr>
          <w:sz w:val="22"/>
        </w:rPr>
        <w:t>.</w:t>
      </w:r>
    </w:p>
    <w:p>
      <w:pPr>
        <w:pStyle w:val="Heading3"/>
      </w:pPr>
      <w:r>
        <w:t>3.2.2 Technology trajectory</w:t>
      </w:r>
    </w:p>
    <w:p>
      <w:pPr>
        <w:spacing w:after="120"/>
      </w:pPr>
      <w:r>
        <w:rPr>
          <w:sz w:val="22"/>
        </w:rPr>
        <w:t xml:space="preserve">The mission-cyber technology trajectory is shifting from log-based, central, perimeter-oriented Security Operations Centres toward mission-aware, edge-anchored, content-separated cyber architectures. This shift is observable in three publicly traceable streams. The US Department of Defense FACE / OMS work demonstrates the engineering and economic feasibility of content-separated, open-architecture mission systems [R-19] </w:t>
      </w:r>
      <w:r>
        <w:rPr>
          <w:sz w:val="22"/>
        </w:rPr>
        <w:t xml:space="preserve">. The NIST SP 800-160 Vol. 2 cyber-resilience methodology codifies the systems-engineering doctrine for resilient, fault-tolerant cyber-physical systems [R-14] </w:t>
      </w:r>
      <w:r>
        <w:rPr>
          <w:sz w:val="22"/>
        </w:rPr>
        <w:t xml:space="preserve">. The NATO CCD-COE Tallinn Manual line of work codifies the legal and operational doctrine for distributed, accredited, advisory-bounded cyber operations [R-21] </w:t>
      </w:r>
      <w:r>
        <w:rPr>
          <w:sz w:val="22"/>
        </w:rPr>
        <w:t>. SPARTA is positioned at the European-sovereign-acceptable intersection of these three streams, which is a defensible standing position for the next ten years.</w:t>
      </w:r>
    </w:p>
    <w:p>
      <w:pPr>
        <w:pStyle w:val="Heading3"/>
      </w:pPr>
      <w:r>
        <w:t>3.2.3 Innovation envelope</w:t>
      </w:r>
    </w:p>
    <w:p>
      <w:pPr>
        <w:spacing w:after="120"/>
      </w:pPr>
      <w:r>
        <w:rPr>
          <w:sz w:val="22"/>
        </w:rPr>
        <w:t xml:space="preserve">SPARTA's innovation envelope is bounded but high-leverage. The constituent technologies — signature detection, ML anomaly detection, signed-content pipelines, hot-swap atomic updates, Byzantine-tolerant consensus, post-quantum signature profiles — are individually mature and well-described in the public literature [R-14][R-19][R-21]. SPARTA's innovation is in their </w:t>
      </w:r>
      <w:r>
        <w:rPr>
          <w:i/>
          <w:sz w:val="22"/>
        </w:rPr>
        <w:t>combination</w:t>
      </w:r>
      <w:r>
        <w:rPr>
          <w:sz w:val="22"/>
        </w:rPr>
        <w:t xml:space="preserve"> and in the strict authority-partitioned operational doctrine that wraps them. The signed hot-swap content pipeline (SYS-DC-005, realised by F7.4 sub-functions) is the most operationally sensitive innovation: it is the load-bearing mechanism that makes operational-cadence content updates compatible with multi-year accreditation cycles. The advisory-only authority partition (SYS-DC-001) is the most strategically important innovation: it is the design constraint that makes SPARTA accreditable in European jurisdictions where unbounded autonomous cyber actuation is not permitted. Neither innovation is patentable in any conventional sense — but they are nevertheless defensible because they require the structural combination of MARS authority, TSOC integration, and accredited identity provider that only Airbus DS owns in the European context [R-2] </w:t>
      </w:r>
      <w:r>
        <w:rPr>
          <w:sz w:val="22"/>
        </w:rPr>
        <w:t>.</w:t>
      </w:r>
    </w:p>
    <w:p>
      <w:pPr>
        <w:pStyle w:val="Heading2"/>
      </w:pPr>
      <w:r>
        <w:t>3.3 Customer Segments &amp; Markets</w:t>
      </w:r>
    </w:p>
    <w:p>
      <w:pPr>
        <w:pStyle w:val="Heading3"/>
      </w:pPr>
      <w:r>
        <w:t>3.3.1 Market sizing methodology</w:t>
      </w:r>
    </w:p>
    <w:p>
      <w:pPr>
        <w:spacing w:after="120"/>
      </w:pPr>
      <w:r>
        <w:rPr>
          <w:sz w:val="22"/>
        </w:rPr>
        <w:t xml:space="preserve">The market is sized in three nested layers in the convention used by defence-strategy practice [R-3][R-20][R-25] </w:t>
      </w:r>
      <w:r>
        <w:rPr>
          <w:sz w:val="22"/>
        </w:rPr>
        <w:t xml:space="preserve">. The Total Addressable Market (TAM) is the global mission-aware cyber-trust spend on distributed tactical combat-air systems (manned + unmanned), sized top-down from the global sixth-generation combat-air cyber-spend share inferred from the IISS Military Balance series [R-3] </w:t>
      </w:r>
      <w:r>
        <w:rPr>
          <w:sz w:val="22"/>
        </w:rPr>
        <w:t>. The Serviceable Available Market (SAM) is the European collaborative programmes Airbus DS realistically serves: FCAS, Eurofighter LTE, Eurodrone, MRTT, EDF cyber-resilience calls, and selected exports. The Serviceable Obtainable Market (SOM) is the realistic Airbus-addressable share of the SAM given Pillar 4 leadership, MARS data-model authority, and partner-share constraints.</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Layer</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Estimate (cumulative 2026–2040)</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Method</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Tag</w:t>
            </w:r>
          </w:p>
        </w:tc>
      </w:tr>
      <w:tr>
        <w:tc>
          <w:tcPr>
            <w:tcW w:type="dxa" w:w="2493"/>
            <w:tcBorders>
              <w:top w:val="single" w:sz="4" w:color="DDE5EF"/>
              <w:left w:val="single" w:sz="4" w:color="DDE5EF"/>
              <w:bottom w:val="single" w:sz="4" w:color="DDE5EF"/>
              <w:right w:val="single" w:sz="4" w:color="DDE5EF"/>
            </w:tcBorders>
          </w:tcPr>
          <w:p>
            <w:pPr>
              <w:spacing w:after="0"/>
            </w:pPr>
            <w:r>
              <w:rPr>
                <w:b/>
                <w:sz w:val="22"/>
              </w:rPr>
              <w:t>TAM</w:t>
            </w:r>
            <w:r>
              <w:rPr>
                <w:sz w:val="22"/>
              </w:rPr>
              <w:t xml:space="preserve"> — global mission-aware cyber-trust on distributed tactical combat-air</w:t>
            </w:r>
          </w:p>
        </w:tc>
        <w:tc>
          <w:tcPr>
            <w:tcW w:type="dxa" w:w="2493"/>
            <w:tcBorders>
              <w:top w:val="single" w:sz="4" w:color="DDE5EF"/>
              <w:left w:val="single" w:sz="4" w:color="DDE5EF"/>
              <w:bottom w:val="single" w:sz="4" w:color="DDE5EF"/>
              <w:right w:val="single" w:sz="4" w:color="DDE5EF"/>
            </w:tcBorders>
          </w:tcPr>
          <w:p>
            <w:pPr>
              <w:spacing w:after="0"/>
            </w:pPr>
            <w:r>
              <w:rPr>
                <w:sz w:val="22"/>
              </w:rPr>
              <w:t>€6–10 B</w:t>
            </w:r>
          </w:p>
        </w:tc>
        <w:tc>
          <w:tcPr>
            <w:tcW w:type="dxa" w:w="2493"/>
            <w:tcBorders>
              <w:top w:val="single" w:sz="4" w:color="DDE5EF"/>
              <w:left w:val="single" w:sz="4" w:color="DDE5EF"/>
              <w:bottom w:val="single" w:sz="4" w:color="DDE5EF"/>
              <w:right w:val="single" w:sz="4" w:color="DDE5EF"/>
            </w:tcBorders>
          </w:tcPr>
          <w:p>
            <w:pPr>
              <w:spacing w:after="0"/>
            </w:pPr>
            <w:r>
              <w:rPr>
                <w:sz w:val="22"/>
              </w:rPr>
              <w:t>Top-down from IISS Military Balance combat-air categories [R-3], multiplied by FACE/OMS-anchored mission-aware sub-share [R-19]</w:t>
            </w:r>
          </w:p>
        </w:tc>
        <w:tc>
          <w:tcPr>
            <w:tcW w:type="dxa" w:w="2493"/>
            <w:tcBorders>
              <w:top w:val="single" w:sz="4" w:color="DDE5EF"/>
              <w:left w:val="single" w:sz="4" w:color="DDE5EF"/>
              <w:bottom w:val="single" w:sz="4" w:color="DDE5EF"/>
              <w:right w:val="single" w:sz="4" w:color="DDE5EF"/>
            </w:tcBorders>
          </w:tcPr>
          <w:p>
            <w:pPr>
              <w:spacing w:after="0"/>
            </w:pPr>
          </w:p>
        </w:tc>
      </w:tr>
      <w:tr>
        <w:tc>
          <w:tcPr>
            <w:tcW w:type="dxa" w:w="2493"/>
            <w:tcBorders>
              <w:top w:val="single" w:sz="4" w:color="DDE5EF"/>
              <w:left w:val="single" w:sz="4" w:color="DDE5EF"/>
              <w:bottom w:val="single" w:sz="4" w:color="DDE5EF"/>
              <w:right w:val="single" w:sz="4" w:color="DDE5EF"/>
            </w:tcBorders>
          </w:tcPr>
          <w:p>
            <w:pPr>
              <w:spacing w:after="0"/>
            </w:pPr>
            <w:r>
              <w:rPr>
                <w:b/>
                <w:sz w:val="22"/>
              </w:rPr>
              <w:t>SAM</w:t>
            </w:r>
            <w:r>
              <w:rPr>
                <w:sz w:val="22"/>
              </w:rPr>
              <w:t xml:space="preserve"> — European collaborative programmes Airbus DS realistically serves</w:t>
            </w:r>
          </w:p>
        </w:tc>
        <w:tc>
          <w:tcPr>
            <w:tcW w:type="dxa" w:w="2493"/>
            <w:tcBorders>
              <w:top w:val="single" w:sz="4" w:color="DDE5EF"/>
              <w:left w:val="single" w:sz="4" w:color="DDE5EF"/>
              <w:bottom w:val="single" w:sz="4" w:color="DDE5EF"/>
              <w:right w:val="single" w:sz="4" w:color="DDE5EF"/>
            </w:tcBorders>
          </w:tcPr>
          <w:p>
            <w:pPr>
              <w:spacing w:after="0"/>
            </w:pPr>
            <w:r>
              <w:rPr>
                <w:sz w:val="22"/>
              </w:rPr>
              <w:t>€2.2–3.8 B</w:t>
            </w:r>
          </w:p>
        </w:tc>
        <w:tc>
          <w:tcPr>
            <w:tcW w:type="dxa" w:w="2493"/>
            <w:tcBorders>
              <w:top w:val="single" w:sz="4" w:color="DDE5EF"/>
              <w:left w:val="single" w:sz="4" w:color="DDE5EF"/>
              <w:bottom w:val="single" w:sz="4" w:color="DDE5EF"/>
              <w:right w:val="single" w:sz="4" w:color="DDE5EF"/>
            </w:tcBorders>
          </w:tcPr>
          <w:p>
            <w:pPr>
              <w:spacing w:after="0"/>
            </w:pPr>
            <w:r>
              <w:rPr>
                <w:sz w:val="22"/>
              </w:rPr>
              <w:t>Bottom-up from public FCAS Phase 1B contract value [R-1][R-7], Airbus DS Eurofighter LTE scope [R-2], Eurodrone OCCAR contract [R-2], EDF Work Programme cyber lines [R-8][R-9], NATO FMN export envelope [R-17]</w:t>
            </w:r>
          </w:p>
        </w:tc>
        <w:tc>
          <w:tcPr>
            <w:tcW w:type="dxa" w:w="2493"/>
            <w:tcBorders>
              <w:top w:val="single" w:sz="4" w:color="DDE5EF"/>
              <w:left w:val="single" w:sz="4" w:color="DDE5EF"/>
              <w:bottom w:val="single" w:sz="4" w:color="DDE5EF"/>
              <w:right w:val="single" w:sz="4" w:color="DDE5EF"/>
            </w:tcBorders>
          </w:tcPr>
          <w:p>
            <w:pPr>
              <w:spacing w:after="0"/>
            </w:pPr>
          </w:p>
        </w:tc>
      </w:tr>
      <w:tr>
        <w:tc>
          <w:tcPr>
            <w:tcW w:type="dxa" w:w="2493"/>
            <w:tcBorders>
              <w:top w:val="single" w:sz="4" w:color="DDE5EF"/>
              <w:left w:val="single" w:sz="4" w:color="DDE5EF"/>
              <w:bottom w:val="single" w:sz="4" w:color="DDE5EF"/>
              <w:right w:val="single" w:sz="4" w:color="DDE5EF"/>
            </w:tcBorders>
          </w:tcPr>
          <w:p>
            <w:pPr>
              <w:spacing w:after="0"/>
            </w:pPr>
            <w:r>
              <w:rPr>
                <w:b/>
                <w:sz w:val="22"/>
              </w:rPr>
              <w:t>SOM</w:t>
            </w:r>
            <w:r>
              <w:rPr>
                <w:sz w:val="22"/>
              </w:rPr>
              <w:t xml:space="preserve"> — Airbus-obtainable share of SAM</w:t>
            </w:r>
          </w:p>
        </w:tc>
        <w:tc>
          <w:tcPr>
            <w:tcW w:type="dxa" w:w="2493"/>
            <w:tcBorders>
              <w:top w:val="single" w:sz="4" w:color="DDE5EF"/>
              <w:left w:val="single" w:sz="4" w:color="DDE5EF"/>
              <w:bottom w:val="single" w:sz="4" w:color="DDE5EF"/>
              <w:right w:val="single" w:sz="4" w:color="DDE5EF"/>
            </w:tcBorders>
          </w:tcPr>
          <w:p>
            <w:pPr>
              <w:spacing w:after="0"/>
            </w:pPr>
            <w:r>
              <w:rPr>
                <w:sz w:val="22"/>
              </w:rPr>
              <w:t>€0.55–0.95 B</w:t>
            </w:r>
          </w:p>
        </w:tc>
        <w:tc>
          <w:tcPr>
            <w:tcW w:type="dxa" w:w="2493"/>
            <w:tcBorders>
              <w:top w:val="single" w:sz="4" w:color="DDE5EF"/>
              <w:left w:val="single" w:sz="4" w:color="DDE5EF"/>
              <w:bottom w:val="single" w:sz="4" w:color="DDE5EF"/>
              <w:right w:val="single" w:sz="4" w:color="DDE5EF"/>
            </w:tcBorders>
          </w:tcPr>
          <w:p>
            <w:pPr>
              <w:spacing w:after="0"/>
            </w:pPr>
            <w:r>
              <w:rPr>
                <w:sz w:val="22"/>
              </w:rPr>
              <w:t>SAM × Airbus DS lead-prime share of Pillar 4 (35–45%) × capability-acceptance discount (0.7–0.9) × recurring-attach factor</w:t>
            </w:r>
          </w:p>
        </w:tc>
        <w:tc>
          <w:tcPr>
            <w:tcW w:type="dxa" w:w="2493"/>
            <w:tcBorders>
              <w:top w:val="single" w:sz="4" w:color="DDE5EF"/>
              <w:left w:val="single" w:sz="4" w:color="DDE5EF"/>
              <w:bottom w:val="single" w:sz="4" w:color="DDE5EF"/>
              <w:right w:val="single" w:sz="4" w:color="DDE5EF"/>
            </w:tcBorders>
          </w:tcPr>
          <w:p>
            <w:pPr>
              <w:spacing w:after="0"/>
            </w:pPr>
          </w:p>
        </w:tc>
      </w:tr>
    </w:tbl>
    <w:p>
      <w:pPr>
        <w:spacing w:after="40"/>
      </w:pPr>
    </w:p>
    <w:p>
      <w:pPr>
        <w:pStyle w:val="Heading3"/>
      </w:pPr>
      <w:r>
        <w:t>3.3.2 Customer segments and tiers</w:t>
      </w:r>
    </w:p>
    <w:p>
      <w:pPr>
        <w:spacing w:after="120"/>
      </w:pPr>
      <w:r>
        <w:rPr>
          <w:sz w:val="22"/>
        </w:rPr>
        <w:t xml:space="preserve">Customer segmentation is best framed by buying authority and decision rhythm. Tier 1 buyers are the programme primes and integrators — Airbus DS, Dassault, Indra and BAE-equivalent on adjacent programmes. They buy packages P1, P3 and P5 (Edge Agent software, schema and interface libraries, integration tooling) and they buy on programme-milestone cadence which runs in years. Tier 2 buyers are TSOC operators and national cyber authorities — Airbus Protect as the reference TSOC, sovereign SOCs in France, Germany and Spain. They buy packages P4 and P6 (signed content pipeline subscriptions and identity / key material provisioning) and they buy on operational cadence which runs in days-to-weeks. Tier 3 buyers are platform operators and fleet sustainers — national air forces and OCCAR-managed fleets. They buy training, sustainment and integration tooling on support-contract cycles which run in years. Tier 4 buyers are coalition and export partners, principally through NATO FMN; they buy filtered trust-summary services subject to classification overlays [R-17] </w:t>
      </w:r>
      <w:r>
        <w:rPr>
          <w:sz w:val="22"/>
        </w:rPr>
        <w:t>.</w:t>
      </w:r>
    </w:p>
    <w:p>
      <w:pPr>
        <w:pStyle w:val="Heading3"/>
      </w:pPr>
      <w:r>
        <w:t>3.3.3 Geographic segmentation</w:t>
      </w:r>
    </w:p>
    <w:p>
      <w:pPr>
        <w:spacing w:after="120"/>
      </w:pPr>
      <w:r>
        <w:rPr>
          <w:sz w:val="22"/>
        </w:rPr>
        <w:t xml:space="preserve">Geographic segmentation tracks programme membership rather than abstract demography. The core SAM is France, Germany and Spain — the three FCAS member nations whose national parliaments have voted Phase 1B funding [R-7] </w:t>
      </w:r>
      <w:r>
        <w:rPr>
          <w:sz w:val="22"/>
        </w:rPr>
        <w:t xml:space="preserve">. The adjacent SAM extends to Eurofighter LTE customers (United Kingdom, Italy, Spain, Germany, Austria, Saudi Arabia, Kuwait, Qatar, Oman) [R-2] </w:t>
      </w:r>
      <w:r>
        <w:rPr>
          <w:sz w:val="22"/>
        </w:rPr>
        <w:t xml:space="preserve"> and to Eurodrone partner nations (France, Germany, Spain, Italy) [R-2] </w:t>
      </w:r>
      <w:r>
        <w:rPr>
          <w:sz w:val="22"/>
        </w:rPr>
        <w:t xml:space="preserve">. The export envelope extends to selected EU and NATO partners (Sweden, Finland, Poland) under sovereign-cyber overlays compatible with NATO FMN [R-17] </w:t>
      </w:r>
      <w:r>
        <w:rPr>
          <w:sz w:val="22"/>
        </w:rPr>
        <w:t xml:space="preserve">. Long-term — beyond 2035 — the export envelope may extend to GCAP technical-convergence partners (United Kingdom, Italy, Japan), but that is currently a low-probability upside scenario rather than a base case [R-11] </w:t>
      </w:r>
      <w:r>
        <w:rPr>
          <w:sz w:val="22"/>
        </w:rPr>
        <w:t>.</w:t>
      </w:r>
    </w:p>
    <w:p>
      <w:pPr>
        <w:pStyle w:val="Heading2"/>
      </w:pPr>
      <w:r>
        <w:t>3.4 Competitive Forces</w:t>
      </w:r>
    </w:p>
    <w:p>
      <w:pPr>
        <w:spacing w:after="120"/>
      </w:pPr>
      <w:r>
        <w:rPr>
          <w:sz w:val="22"/>
        </w:rPr>
        <w:t xml:space="preserve">Competitive analysis is structured against Porter's Five Forces convention [R-25] </w:t>
      </w:r>
      <w:r>
        <w:rPr>
          <w:sz w:val="22"/>
        </w:rPr>
        <w:t>. Each force is rated low / medium / high with a short justification and a SPARTA-specific implication.</w:t>
      </w:r>
    </w:p>
    <w:p>
      <w:pPr>
        <w:spacing w:before="120" w:after="40"/>
        <w:jc w:val="center"/>
      </w:pPr>
      <w:r>
        <w:drawing>
          <wp:inline xmlns:a="http://schemas.openxmlformats.org/drawingml/2006/main" xmlns:pic="http://schemas.openxmlformats.org/drawingml/2006/picture">
            <wp:extent cx="5943600" cy="3518926"/>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3518926"/>
                    </a:xfrm>
                    <a:prstGeom prst="rect"/>
                  </pic:spPr>
                </pic:pic>
              </a:graphicData>
            </a:graphic>
          </wp:inline>
        </w:drawing>
      </w:r>
    </w:p>
    <w:p>
      <w:pPr>
        <w:spacing w:before="0" w:after="120"/>
        <w:jc w:val="center"/>
      </w:pPr>
      <w:r>
        <w:rPr>
          <w:i/>
          <w:color w:val="52627A"/>
          <w:sz w:val="19"/>
        </w:rPr>
        <w:t>Figure 1. Five-Forces summary for SPARTA in the European mission-edge cyber market, 2026. Industry rivalry is medium and centred on Indra, Thales (Europe) and US mission-cyber vendors. New-entrant threat is medium-high (US vendors with software-first cultures). Substitute threat is low because enterprise SOC products do not address the tactical-edge decision rhythm. Buyer power is medium (sovereign customers, parliamentary oversight). Supplier power is low-medium (commodity crypto + Airbus Protect internal supply).</w:t>
      </w:r>
    </w:p>
    <w:p>
      <w:pPr>
        <w:pStyle w:val="Heading3"/>
      </w:pPr>
      <w:r>
        <w:t>3.4.1 Threat of new entrants — high</w:t>
      </w:r>
    </w:p>
    <w:p>
      <w:pPr>
        <w:spacing w:after="120"/>
      </w:pPr>
      <w:r>
        <w:rPr>
          <w:sz w:val="22"/>
        </w:rPr>
        <w:t xml:space="preserve">US-origin mission-edge cyber vendors (Anduril, Palantir, Shift5) operate with software-first cultures, rapid release cadences, and aggressive marketing into NATO contexts [R-18] </w:t>
      </w:r>
      <w:r>
        <w:rPr>
          <w:sz w:val="22"/>
        </w:rPr>
        <w:t xml:space="preserve">. They are not natively MARS-compatible and they face sovereign-acceptability friction in FR / DE / ES, but they could establish a de-facto NATO standard if European primes leave the standard unset for too long. The structural mitigation is anchoring SPARTA into the FCAS Combat Cloud schema before the schema freeze window of 2028–2029 closes, supplemented by EDF-co-funded reference architectures that establish SPARTA as the European sovereign answer [R-8][R-9] </w:t>
      </w:r>
      <w:r>
        <w:rPr>
          <w:sz w:val="22"/>
        </w:rPr>
        <w:t>.</w:t>
      </w:r>
    </w:p>
    <w:p>
      <w:pPr>
        <w:spacing w:after="120"/>
      </w:pPr>
      <w:r>
        <w:rPr>
          <w:sz w:val="22"/>
        </w:rPr>
        <w:t>Two German entrants warrant specific attention because they combine the sovereign-acceptability the US vendors lack with the software-first cadence European primes are missing:</w:t>
      </w:r>
    </w:p>
    <w:p>
      <w:pPr>
        <w:spacing w:after="40"/>
        <w:ind w:left="454"/>
      </w:pPr>
      <w:r>
        <w:rPr>
          <w:color w:val="101A2D"/>
          <w:sz w:val="22"/>
        </w:rPr>
        <w:t xml:space="preserve">- </w:t>
      </w:r>
      <w:r>
        <w:rPr>
          <w:b/>
          <w:sz w:val="22"/>
        </w:rPr>
        <w:t>Helsing.AI</w:t>
      </w:r>
      <w:r>
        <w:rPr>
          <w:sz w:val="22"/>
        </w:rPr>
        <w:t xml:space="preserve"> — Munich-based defence-AI start-up founded in 2021, heavily venture-funded, with rapid contract wins in the Bundeswehr ecosystem and explicit FCAS-relevant ambition. Helsing's software-first culture and German sovereignty make it the most credible non-US new entrant that could plausibly contest SPARTA's positioning, particularly on the Bundeswehr side. Helsing's current product focus is AI-driven mission software rather than mission-aware cyber-trust specifically — but the boundary is porous, and Helsing has both the funding and the talent to enter SPARTA's space if the market signal is sufficiently strong.</w:t>
      </w:r>
    </w:p>
    <w:p>
      <w:pPr>
        <w:spacing w:after="40"/>
        <w:ind w:left="454"/>
      </w:pPr>
      <w:r>
        <w:rPr>
          <w:color w:val="101A2D"/>
          <w:sz w:val="22"/>
        </w:rPr>
        <w:t xml:space="preserve">- </w:t>
      </w:r>
      <w:r>
        <w:rPr>
          <w:b/>
          <w:sz w:val="22"/>
        </w:rPr>
        <w:t>BWI GmbH</w:t>
      </w:r>
      <w:r>
        <w:rPr>
          <w:sz w:val="22"/>
        </w:rPr>
        <w:t xml:space="preserve"> — the Bundeswehr's wholly-owned IT services company, with several thousand employees and the institutional inside track on German military IT modernisation. BWI is structurally less likely than Helsing to compete on a product basis (BWI is a services integrator, not a product vendor) but it is in a position to influence Bundeswehr customer requirements and to be designated as the German integrator-of-choice for any SPARTA-equivalent capability the Bundeswehr decides to procure. BWI's role is therefore best understood as a gatekeeper / influencer rather than a direct rival.</w:t>
      </w:r>
    </w:p>
    <w:p>
      <w:pPr>
        <w:spacing w:after="120"/>
      </w:pPr>
      <w:r>
        <w:rPr>
          <w:sz w:val="22"/>
        </w:rPr>
        <w:t>European defence-cyber start-ups (notably France-based, occasionally Germany-based) are a tertiary entrant class; their threat profile is lower than the US and Helsing classes because they typically lack Combat Cloud programme access and venture-scale funding.</w:t>
      </w:r>
    </w:p>
    <w:p>
      <w:pPr>
        <w:pStyle w:val="Heading3"/>
      </w:pPr>
      <w:r>
        <w:t>3.4.2 Bargaining power of buyers — medium</w:t>
      </w:r>
    </w:p>
    <w:p>
      <w:pPr>
        <w:spacing w:after="120"/>
      </w:pPr>
      <w:r>
        <w:rPr>
          <w:sz w:val="22"/>
        </w:rPr>
        <w:t xml:space="preserve">Buyers are sovereign customers operating under parliamentary oversight (Bundestag Haushaltsausschuss, Assemblée Nationale Commission de la Défense, Congreso de los Diputados Comisión de Defensa) [R-7] </w:t>
      </w:r>
      <w:r>
        <w:rPr>
          <w:sz w:val="22"/>
        </w:rPr>
        <w:t>. They are not price-takers but they are also not maximally price-pressuring; defence-cyber budgets are politically protected because cyber is sovereign-essential infrastructure. The medium rating reflects that sovereign buyers can credibly threaten to develop an in-house alternative, but the structural cost of that threat (multi-year sovereign cyber programmes are expensive and politically exposed) limits how often they can credibly invoke it.</w:t>
      </w:r>
    </w:p>
    <w:p>
      <w:pPr>
        <w:pStyle w:val="Heading3"/>
      </w:pPr>
      <w:r>
        <w:t>3.4.3 Bargaining power of suppliers — low-medium</w:t>
      </w:r>
    </w:p>
    <w:p>
      <w:pPr>
        <w:spacing w:after="120"/>
      </w:pPr>
      <w:r>
        <w:rPr>
          <w:sz w:val="22"/>
        </w:rPr>
        <w:t>SPARTA's external suppliers are commodity-grade in most categories: secure-element / TPM hardware, post-quantum-ready cryptographic libraries, open-source dependencies governed by SBOM and SLSA-3 attestation. The two non-commodity suppliers are Airbus Protect (internal, supplies Orion Malware® verdicts via IF-EXT-06 and CymID®-class identity via IF-EXT-05) and the accredited cross-domain sanitizer vendor (IF-EXT-07). Airbus Protect being internal is a structural advantage; it converts a potential single-point-of-supplier-power into a configurable governance arrangement.</w:t>
      </w:r>
    </w:p>
    <w:p>
      <w:pPr>
        <w:pStyle w:val="Heading3"/>
      </w:pPr>
      <w:r>
        <w:t>3.4.4 Threat of substitutes — low</w:t>
      </w:r>
    </w:p>
    <w:p>
      <w:pPr>
        <w:spacing w:after="120"/>
      </w:pPr>
      <w:r>
        <w:rPr>
          <w:sz w:val="22"/>
        </w:rPr>
        <w:t>Enterprise Security Operations Centre (SOC) and Security Information &amp; Event Management (SIEM) products (Thales CYBELS, Splunk-class enterprise platforms) operate on log-time and are not substitutes for tactical-decision-rhythm mission-aware trust. Per-platform integrity monitors (host-based, signature-driven) are partial substitutes for the F3 detection layer but cannot deliver mission-aware reasoning, peer correlation, or coalition-grade authority partitioning. The structural reason substitute threat is low is that SPARTA's value is in the combination of mission-awareness + DDIL tolerance + signed-content lifecycle + advisory authority partition — not in any single function that could be substituted in isolation.</w:t>
      </w:r>
    </w:p>
    <w:p>
      <w:pPr>
        <w:pStyle w:val="Heading3"/>
      </w:pPr>
      <w:r>
        <w:t>3.4.5 Industry rivalry — medium-high</w:t>
      </w:r>
    </w:p>
    <w:p>
      <w:pPr>
        <w:spacing w:after="120"/>
      </w:pPr>
      <w:r>
        <w:rPr>
          <w:sz w:val="22"/>
        </w:rPr>
        <w:t xml:space="preserve">Direct rivals in the European context are Indra (FCAS Pillar 5 sensors prime with sovereign-cyber heritage), Thales (CYBELS cyber-defence product family and Critical National Infrastructure (CNI) cyber heritage), </w:t>
      </w:r>
      <w:r>
        <w:rPr>
          <w:b/>
          <w:sz w:val="22"/>
        </w:rPr>
        <w:t>Helsing.AI</w:t>
      </w:r>
      <w:r>
        <w:rPr>
          <w:sz w:val="22"/>
        </w:rPr>
        <w:t xml:space="preserve"> (German defence-AI start-up with FCAS-adjacent positioning and aggressive Bundeswehr engagement), and to a lesser extent Leonardo within GCAP [R-1][R-11] </w:t>
      </w:r>
      <w:r>
        <w:rPr>
          <w:sz w:val="22"/>
        </w:rPr>
        <w:t xml:space="preserve">. </w:t>
      </w:r>
      <w:r>
        <w:rPr>
          <w:b/>
          <w:sz w:val="22"/>
        </w:rPr>
        <w:t>BWI GmbH</w:t>
      </w:r>
      <w:r>
        <w:rPr>
          <w:sz w:val="22"/>
        </w:rPr>
        <w:t xml:space="preserve"> is a German-specific influencer/gatekeeper that shapes Bundeswehr procurement preferences without being a direct product competitor. Indirect rivals are the US mission-cyber vendors already noted under entrants. The structural reason rivalry is medium-high rather than high is that none of these rivals simultaneously holds the four positions (Combat Cloud primacy, MARS authority, mission-context access, TSOC analyst-workflow ownership) that SPARTA's defensibility depends on — though Helsing.AI is the rival closest to closing the gap, because it combines sovereign acceptability with software-first cadence.</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Player</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Origin</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Closest threat vector</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Why they do not currently hold the four-position moat</w:t>
            </w:r>
          </w:p>
        </w:tc>
      </w:tr>
      <w:tr>
        <w:tc>
          <w:tcPr>
            <w:tcW w:type="dxa" w:w="2493"/>
            <w:tcBorders>
              <w:top w:val="single" w:sz="4" w:color="DDE5EF"/>
              <w:left w:val="single" w:sz="4" w:color="DDE5EF"/>
              <w:bottom w:val="single" w:sz="4" w:color="DDE5EF"/>
              <w:right w:val="single" w:sz="4" w:color="DDE5EF"/>
            </w:tcBorders>
          </w:tcPr>
          <w:p>
            <w:pPr>
              <w:spacing w:after="0"/>
            </w:pPr>
            <w:r>
              <w:rPr>
                <w:sz w:val="22"/>
              </w:rPr>
              <w:t>Indra</w:t>
            </w:r>
          </w:p>
        </w:tc>
        <w:tc>
          <w:tcPr>
            <w:tcW w:type="dxa" w:w="2493"/>
            <w:tcBorders>
              <w:top w:val="single" w:sz="4" w:color="DDE5EF"/>
              <w:left w:val="single" w:sz="4" w:color="DDE5EF"/>
              <w:bottom w:val="single" w:sz="4" w:color="DDE5EF"/>
              <w:right w:val="single" w:sz="4" w:color="DDE5EF"/>
            </w:tcBorders>
          </w:tcPr>
          <w:p>
            <w:pPr>
              <w:spacing w:after="0"/>
            </w:pPr>
            <w:r>
              <w:rPr>
                <w:sz w:val="22"/>
              </w:rPr>
              <w:t>Spain</w:t>
            </w:r>
          </w:p>
        </w:tc>
        <w:tc>
          <w:tcPr>
            <w:tcW w:type="dxa" w:w="2493"/>
            <w:tcBorders>
              <w:top w:val="single" w:sz="4" w:color="DDE5EF"/>
              <w:left w:val="single" w:sz="4" w:color="DDE5EF"/>
              <w:bottom w:val="single" w:sz="4" w:color="DDE5EF"/>
              <w:right w:val="single" w:sz="4" w:color="DDE5EF"/>
            </w:tcBorders>
          </w:tcPr>
          <w:p>
            <w:pPr>
              <w:spacing w:after="0"/>
            </w:pPr>
            <w:r>
              <w:rPr>
                <w:sz w:val="22"/>
              </w:rPr>
              <w:t>Sovereign-cyber heritage; Pillar 5 access</w:t>
            </w:r>
          </w:p>
        </w:tc>
        <w:tc>
          <w:tcPr>
            <w:tcW w:type="dxa" w:w="2493"/>
            <w:tcBorders>
              <w:top w:val="single" w:sz="4" w:color="DDE5EF"/>
              <w:left w:val="single" w:sz="4" w:color="DDE5EF"/>
              <w:bottom w:val="single" w:sz="4" w:color="DDE5EF"/>
              <w:right w:val="single" w:sz="4" w:color="DDE5EF"/>
            </w:tcBorders>
          </w:tcPr>
          <w:p>
            <w:pPr>
              <w:spacing w:after="0"/>
            </w:pPr>
            <w:r>
              <w:rPr>
                <w:sz w:val="22"/>
              </w:rPr>
              <w:t>No Combat Cloud primacy; no MARS authority</w:t>
            </w:r>
          </w:p>
        </w:tc>
      </w:tr>
      <w:tr>
        <w:tc>
          <w:tcPr>
            <w:tcW w:type="dxa" w:w="2493"/>
            <w:tcBorders>
              <w:top w:val="single" w:sz="4" w:color="DDE5EF"/>
              <w:left w:val="single" w:sz="4" w:color="DDE5EF"/>
              <w:bottom w:val="single" w:sz="4" w:color="DDE5EF"/>
              <w:right w:val="single" w:sz="4" w:color="DDE5EF"/>
            </w:tcBorders>
          </w:tcPr>
          <w:p>
            <w:pPr>
              <w:spacing w:after="0"/>
            </w:pPr>
            <w:r>
              <w:rPr>
                <w:sz w:val="22"/>
              </w:rPr>
              <w:t>Thales</w:t>
            </w:r>
          </w:p>
        </w:tc>
        <w:tc>
          <w:tcPr>
            <w:tcW w:type="dxa" w:w="2493"/>
            <w:tcBorders>
              <w:top w:val="single" w:sz="4" w:color="DDE5EF"/>
              <w:left w:val="single" w:sz="4" w:color="DDE5EF"/>
              <w:bottom w:val="single" w:sz="4" w:color="DDE5EF"/>
              <w:right w:val="single" w:sz="4" w:color="DDE5EF"/>
            </w:tcBorders>
          </w:tcPr>
          <w:p>
            <w:pPr>
              <w:spacing w:after="0"/>
            </w:pPr>
            <w:r>
              <w:rPr>
                <w:sz w:val="22"/>
              </w:rPr>
              <w:t>France</w:t>
            </w:r>
          </w:p>
        </w:tc>
        <w:tc>
          <w:tcPr>
            <w:tcW w:type="dxa" w:w="2493"/>
            <w:tcBorders>
              <w:top w:val="single" w:sz="4" w:color="DDE5EF"/>
              <w:left w:val="single" w:sz="4" w:color="DDE5EF"/>
              <w:bottom w:val="single" w:sz="4" w:color="DDE5EF"/>
              <w:right w:val="single" w:sz="4" w:color="DDE5EF"/>
            </w:tcBorders>
          </w:tcPr>
          <w:p>
            <w:pPr>
              <w:spacing w:after="0"/>
            </w:pPr>
            <w:r>
              <w:rPr>
                <w:sz w:val="22"/>
              </w:rPr>
              <w:t>CYBELS enterprise SOC; CNI cyber heritage</w:t>
            </w:r>
          </w:p>
        </w:tc>
        <w:tc>
          <w:tcPr>
            <w:tcW w:type="dxa" w:w="2493"/>
            <w:tcBorders>
              <w:top w:val="single" w:sz="4" w:color="DDE5EF"/>
              <w:left w:val="single" w:sz="4" w:color="DDE5EF"/>
              <w:bottom w:val="single" w:sz="4" w:color="DDE5EF"/>
              <w:right w:val="single" w:sz="4" w:color="DDE5EF"/>
            </w:tcBorders>
          </w:tcPr>
          <w:p>
            <w:pPr>
              <w:spacing w:after="0"/>
            </w:pPr>
            <w:r>
              <w:rPr>
                <w:sz w:val="22"/>
              </w:rPr>
              <w:t>Enterprise-grade, not mission-edge; not Combat Cloud prime</w:t>
            </w:r>
          </w:p>
        </w:tc>
      </w:tr>
      <w:tr>
        <w:tc>
          <w:tcPr>
            <w:tcW w:type="dxa" w:w="2493"/>
            <w:tcBorders>
              <w:top w:val="single" w:sz="4" w:color="DDE5EF"/>
              <w:left w:val="single" w:sz="4" w:color="DDE5EF"/>
              <w:bottom w:val="single" w:sz="4" w:color="DDE5EF"/>
              <w:right w:val="single" w:sz="4" w:color="DDE5EF"/>
            </w:tcBorders>
          </w:tcPr>
          <w:p>
            <w:pPr>
              <w:spacing w:after="0"/>
            </w:pPr>
            <w:r>
              <w:rPr>
                <w:b/>
                <w:sz w:val="22"/>
              </w:rPr>
              <w:t>Helsing.AI</w:t>
            </w:r>
          </w:p>
        </w:tc>
        <w:tc>
          <w:tcPr>
            <w:tcW w:type="dxa" w:w="2493"/>
            <w:tcBorders>
              <w:top w:val="single" w:sz="4" w:color="DDE5EF"/>
              <w:left w:val="single" w:sz="4" w:color="DDE5EF"/>
              <w:bottom w:val="single" w:sz="4" w:color="DDE5EF"/>
              <w:right w:val="single" w:sz="4" w:color="DDE5EF"/>
            </w:tcBorders>
          </w:tcPr>
          <w:p>
            <w:pPr>
              <w:spacing w:after="0"/>
            </w:pPr>
            <w:r>
              <w:rPr>
                <w:sz w:val="22"/>
              </w:rPr>
              <w:t>Germany</w:t>
            </w:r>
          </w:p>
        </w:tc>
        <w:tc>
          <w:tcPr>
            <w:tcW w:type="dxa" w:w="2493"/>
            <w:tcBorders>
              <w:top w:val="single" w:sz="4" w:color="DDE5EF"/>
              <w:left w:val="single" w:sz="4" w:color="DDE5EF"/>
              <w:bottom w:val="single" w:sz="4" w:color="DDE5EF"/>
              <w:right w:val="single" w:sz="4" w:color="DDE5EF"/>
            </w:tcBorders>
          </w:tcPr>
          <w:p>
            <w:pPr>
              <w:spacing w:after="0"/>
            </w:pPr>
            <w:r>
              <w:rPr>
                <w:sz w:val="22"/>
              </w:rPr>
              <w:t>Software-first AI cadence; aggressive Bundeswehr wins; FCAS-adjacent positioning</w:t>
            </w:r>
          </w:p>
        </w:tc>
        <w:tc>
          <w:tcPr>
            <w:tcW w:type="dxa" w:w="2493"/>
            <w:tcBorders>
              <w:top w:val="single" w:sz="4" w:color="DDE5EF"/>
              <w:left w:val="single" w:sz="4" w:color="DDE5EF"/>
              <w:bottom w:val="single" w:sz="4" w:color="DDE5EF"/>
              <w:right w:val="single" w:sz="4" w:color="DDE5EF"/>
            </w:tcBorders>
          </w:tcPr>
          <w:p>
            <w:pPr>
              <w:spacing w:after="0"/>
            </w:pPr>
            <w:r>
              <w:rPr>
                <w:sz w:val="22"/>
              </w:rPr>
              <w:t>No MARS authority; no TSOC workflow ownership; product focus is mission-AI not cyber-trust (today)</w:t>
            </w:r>
          </w:p>
        </w:tc>
      </w:tr>
      <w:tr>
        <w:tc>
          <w:tcPr>
            <w:tcW w:type="dxa" w:w="2493"/>
            <w:tcBorders>
              <w:top w:val="single" w:sz="4" w:color="DDE5EF"/>
              <w:left w:val="single" w:sz="4" w:color="DDE5EF"/>
              <w:bottom w:val="single" w:sz="4" w:color="DDE5EF"/>
              <w:right w:val="single" w:sz="4" w:color="DDE5EF"/>
            </w:tcBorders>
          </w:tcPr>
          <w:p>
            <w:pPr>
              <w:spacing w:after="0"/>
            </w:pPr>
            <w:r>
              <w:rPr>
                <w:b/>
                <w:sz w:val="22"/>
              </w:rPr>
              <w:t>BWI GmbH</w:t>
            </w:r>
          </w:p>
        </w:tc>
        <w:tc>
          <w:tcPr>
            <w:tcW w:type="dxa" w:w="2493"/>
            <w:tcBorders>
              <w:top w:val="single" w:sz="4" w:color="DDE5EF"/>
              <w:left w:val="single" w:sz="4" w:color="DDE5EF"/>
              <w:bottom w:val="single" w:sz="4" w:color="DDE5EF"/>
              <w:right w:val="single" w:sz="4" w:color="DDE5EF"/>
            </w:tcBorders>
          </w:tcPr>
          <w:p>
            <w:pPr>
              <w:spacing w:after="0"/>
            </w:pPr>
            <w:r>
              <w:rPr>
                <w:sz w:val="22"/>
              </w:rPr>
              <w:t>Germany (Bundeswehr-owned)</w:t>
            </w:r>
          </w:p>
        </w:tc>
        <w:tc>
          <w:tcPr>
            <w:tcW w:type="dxa" w:w="2493"/>
            <w:tcBorders>
              <w:top w:val="single" w:sz="4" w:color="DDE5EF"/>
              <w:left w:val="single" w:sz="4" w:color="DDE5EF"/>
              <w:bottom w:val="single" w:sz="4" w:color="DDE5EF"/>
              <w:right w:val="single" w:sz="4" w:color="DDE5EF"/>
            </w:tcBorders>
          </w:tcPr>
          <w:p>
            <w:pPr>
              <w:spacing w:after="0"/>
            </w:pPr>
            <w:r>
              <w:rPr>
                <w:sz w:val="22"/>
              </w:rPr>
              <w:t>Inside track on Bundeswehr IT modernisation; influences procurement</w:t>
            </w:r>
          </w:p>
        </w:tc>
        <w:tc>
          <w:tcPr>
            <w:tcW w:type="dxa" w:w="2493"/>
            <w:tcBorders>
              <w:top w:val="single" w:sz="4" w:color="DDE5EF"/>
              <w:left w:val="single" w:sz="4" w:color="DDE5EF"/>
              <w:bottom w:val="single" w:sz="4" w:color="DDE5EF"/>
              <w:right w:val="single" w:sz="4" w:color="DDE5EF"/>
            </w:tcBorders>
          </w:tcPr>
          <w:p>
            <w:pPr>
              <w:spacing w:after="0"/>
            </w:pPr>
            <w:r>
              <w:rPr>
                <w:sz w:val="22"/>
              </w:rPr>
              <w:t>Services integrator, not a product vendor; structural role is influencer, not direct rival</w:t>
            </w:r>
          </w:p>
        </w:tc>
      </w:tr>
      <w:tr>
        <w:tc>
          <w:tcPr>
            <w:tcW w:type="dxa" w:w="2493"/>
            <w:tcBorders>
              <w:top w:val="single" w:sz="4" w:color="DDE5EF"/>
              <w:left w:val="single" w:sz="4" w:color="DDE5EF"/>
              <w:bottom w:val="single" w:sz="4" w:color="DDE5EF"/>
              <w:right w:val="single" w:sz="4" w:color="DDE5EF"/>
            </w:tcBorders>
          </w:tcPr>
          <w:p>
            <w:pPr>
              <w:spacing w:after="0"/>
            </w:pPr>
            <w:r>
              <w:rPr>
                <w:sz w:val="22"/>
              </w:rPr>
              <w:t>Leonardo (within GCAP)</w:t>
            </w:r>
          </w:p>
        </w:tc>
        <w:tc>
          <w:tcPr>
            <w:tcW w:type="dxa" w:w="2493"/>
            <w:tcBorders>
              <w:top w:val="single" w:sz="4" w:color="DDE5EF"/>
              <w:left w:val="single" w:sz="4" w:color="DDE5EF"/>
              <w:bottom w:val="single" w:sz="4" w:color="DDE5EF"/>
              <w:right w:val="single" w:sz="4" w:color="DDE5EF"/>
            </w:tcBorders>
          </w:tcPr>
          <w:p>
            <w:pPr>
              <w:spacing w:after="0"/>
            </w:pPr>
            <w:r>
              <w:rPr>
                <w:sz w:val="22"/>
              </w:rPr>
              <w:t>Italy</w:t>
            </w:r>
          </w:p>
        </w:tc>
        <w:tc>
          <w:tcPr>
            <w:tcW w:type="dxa" w:w="2493"/>
            <w:tcBorders>
              <w:top w:val="single" w:sz="4" w:color="DDE5EF"/>
              <w:left w:val="single" w:sz="4" w:color="DDE5EF"/>
              <w:bottom w:val="single" w:sz="4" w:color="DDE5EF"/>
              <w:right w:val="single" w:sz="4" w:color="DDE5EF"/>
            </w:tcBorders>
          </w:tcPr>
          <w:p>
            <w:pPr>
              <w:spacing w:after="0"/>
            </w:pPr>
            <w:r>
              <w:rPr>
                <w:sz w:val="22"/>
              </w:rPr>
              <w:t>GCAP partner; mission-system depth</w:t>
            </w:r>
          </w:p>
        </w:tc>
        <w:tc>
          <w:tcPr>
            <w:tcW w:type="dxa" w:w="2493"/>
            <w:tcBorders>
              <w:top w:val="single" w:sz="4" w:color="DDE5EF"/>
              <w:left w:val="single" w:sz="4" w:color="DDE5EF"/>
              <w:bottom w:val="single" w:sz="4" w:color="DDE5EF"/>
              <w:right w:val="single" w:sz="4" w:color="DDE5EF"/>
            </w:tcBorders>
          </w:tcPr>
          <w:p>
            <w:pPr>
              <w:spacing w:after="0"/>
            </w:pPr>
            <w:r>
              <w:rPr>
                <w:sz w:val="22"/>
              </w:rPr>
              <w:t>In a competing programme (GCAP), not in FCAS</w:t>
            </w:r>
          </w:p>
        </w:tc>
      </w:tr>
      <w:tr>
        <w:tc>
          <w:tcPr>
            <w:tcW w:type="dxa" w:w="2493"/>
            <w:tcBorders>
              <w:top w:val="single" w:sz="4" w:color="DDE5EF"/>
              <w:left w:val="single" w:sz="4" w:color="DDE5EF"/>
              <w:bottom w:val="single" w:sz="4" w:color="DDE5EF"/>
              <w:right w:val="single" w:sz="4" w:color="DDE5EF"/>
            </w:tcBorders>
          </w:tcPr>
          <w:p>
            <w:pPr>
              <w:spacing w:after="0"/>
            </w:pPr>
            <w:r>
              <w:rPr>
                <w:sz w:val="22"/>
              </w:rPr>
              <w:t>Anduril / Palantir / Shift5</w:t>
            </w:r>
          </w:p>
        </w:tc>
        <w:tc>
          <w:tcPr>
            <w:tcW w:type="dxa" w:w="2493"/>
            <w:tcBorders>
              <w:top w:val="single" w:sz="4" w:color="DDE5EF"/>
              <w:left w:val="single" w:sz="4" w:color="DDE5EF"/>
              <w:bottom w:val="single" w:sz="4" w:color="DDE5EF"/>
              <w:right w:val="single" w:sz="4" w:color="DDE5EF"/>
            </w:tcBorders>
          </w:tcPr>
          <w:p>
            <w:pPr>
              <w:spacing w:after="0"/>
            </w:pPr>
            <w:r>
              <w:rPr>
                <w:sz w:val="22"/>
              </w:rPr>
              <w:t>US</w:t>
            </w:r>
          </w:p>
        </w:tc>
        <w:tc>
          <w:tcPr>
            <w:tcW w:type="dxa" w:w="2493"/>
            <w:tcBorders>
              <w:top w:val="single" w:sz="4" w:color="DDE5EF"/>
              <w:left w:val="single" w:sz="4" w:color="DDE5EF"/>
              <w:bottom w:val="single" w:sz="4" w:color="DDE5EF"/>
              <w:right w:val="single" w:sz="4" w:color="DDE5EF"/>
            </w:tcBorders>
          </w:tcPr>
          <w:p>
            <w:pPr>
              <w:spacing w:after="0"/>
            </w:pPr>
            <w:r>
              <w:rPr>
                <w:sz w:val="22"/>
              </w:rPr>
              <w:t>Software-first cadence; rapid release</w:t>
            </w:r>
          </w:p>
        </w:tc>
        <w:tc>
          <w:tcPr>
            <w:tcW w:type="dxa" w:w="2493"/>
            <w:tcBorders>
              <w:top w:val="single" w:sz="4" w:color="DDE5EF"/>
              <w:left w:val="single" w:sz="4" w:color="DDE5EF"/>
              <w:bottom w:val="single" w:sz="4" w:color="DDE5EF"/>
              <w:right w:val="single" w:sz="4" w:color="DDE5EF"/>
            </w:tcBorders>
          </w:tcPr>
          <w:p>
            <w:pPr>
              <w:spacing w:after="0"/>
            </w:pPr>
            <w:r>
              <w:rPr>
                <w:sz w:val="22"/>
              </w:rPr>
              <w:t>Sovereign-acceptability friction in FR/DE/ES; not MARS-compatible</w:t>
            </w:r>
          </w:p>
        </w:tc>
      </w:tr>
    </w:tbl>
    <w:p>
      <w:pPr>
        <w:spacing w:after="40"/>
      </w:pPr>
    </w:p>
    <w:p>
      <w:pPr>
        <w:pStyle w:val="Heading2"/>
      </w:pPr>
      <w:r>
        <w:t>3.5 Stakeholder Relationships</w:t>
      </w:r>
    </w:p>
    <w:p>
      <w:pPr>
        <w:spacing w:after="120"/>
      </w:pPr>
      <w:r>
        <w:rPr>
          <w:sz w:val="22"/>
        </w:rPr>
        <w:t>The SPARTA stakeholder ecosystem is mapped on the conventional two-axis influence-versus-interest matrix used by major-programme stakeholder management. The map below identifies the primary stakeholder classes and locates them on the matrix.</w:t>
      </w:r>
    </w:p>
    <w:p>
      <w:pPr>
        <w:spacing w:before="120" w:after="40"/>
        <w:jc w:val="center"/>
      </w:pPr>
      <w:r>
        <w:drawing>
          <wp:inline xmlns:a="http://schemas.openxmlformats.org/drawingml/2006/main" xmlns:pic="http://schemas.openxmlformats.org/drawingml/2006/picture">
            <wp:extent cx="5943600" cy="3605382"/>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3605382"/>
                    </a:xfrm>
                    <a:prstGeom prst="rect"/>
                  </pic:spPr>
                </pic:pic>
              </a:graphicData>
            </a:graphic>
          </wp:inline>
        </w:drawing>
      </w:r>
    </w:p>
    <w:p>
      <w:pPr>
        <w:spacing w:before="0" w:after="120"/>
        <w:jc w:val="center"/>
      </w:pPr>
      <w:r>
        <w:rPr>
          <w:i/>
          <w:color w:val="52627A"/>
          <w:sz w:val="19"/>
        </w:rPr>
        <w:t>Figure 2. SPARTA stakeholder influence × interest matrix. High-influence high-interest stakeholders (top-right) must be managed closely with explicit engagement plans; high-influence low-interest stakeholders (top-left) must be kept satisfied to avoid blocking; low-influence high-interest (bottom-right) should be kept informed and harnessed as advocates; low-influence low-interest (bottom-left) should be monitored. This map is the basis for the engagement plan in §3.5.2.</w:t>
      </w:r>
    </w:p>
    <w:p>
      <w:pPr>
        <w:pStyle w:val="Heading3"/>
      </w:pPr>
      <w:r>
        <w:t>3.5.1 Stakeholder classes</w:t>
      </w:r>
    </w:p>
    <w:p>
      <w:pPr>
        <w:spacing w:after="120"/>
      </w:pPr>
      <w:r>
        <w:rPr>
          <w:sz w:val="22"/>
        </w:rPr>
        <w:t>The principal stakeholder classes are: the Airbus DS programme sponsor and FCAS Combat Cloud architecture board (high influence, high interest — the buying authority); the national accreditation authorities (high influence, high interest — they can refuse to certify); Airbus Protect as the reference TSOC operator (high influence, high interest — they own the analyst workflow and the malware-verdict / identity services); Dassault Aviation, DGA / BAAINBw / DGAM contracting authorities, and parliamentary oversight bodies (high influence, lower-but-non-trivial interest — they must be kept satisfied); Indra Sistemas as the Pillar 5 sensors prime (medium influence, high interest — potential rival, potential partner); OCCAR for the Eurodrone customer relationship and the EDF cyber-resilience programme office (medium influence, high interest); NATO FMN and the NCIA channels (medium influence, high interest); Thales as a potential interface partner on TSOC backend (low-medium influence, medium interest); and the broader academic and industry-press ecosystem (low influence, variable interest). Each class has a distinct engagement plan in the programme stakeholder register, refreshed quarterly.</w:t>
      </w:r>
    </w:p>
    <w:p>
      <w:pPr>
        <w:pStyle w:val="Heading3"/>
      </w:pPr>
      <w:r>
        <w:t>3.5.2 Engagement model</w:t>
      </w:r>
    </w:p>
    <w:p>
      <w:pPr>
        <w:spacing w:after="120"/>
      </w:pPr>
      <w:r>
        <w:rPr>
          <w:sz w:val="22"/>
        </w:rPr>
        <w:t>For the top-right "manage closely" quadrant, SPARTA leadership holds quarterly bilaterals with the Airbus DS programme sponsor and the FCAS Combat Cloud architecture board, monthly working meetings with Airbus Protect, and dedicated engagement cycles with each national accreditation authority anchored on the published methodology guides [R-15][R-16]. For the top-left "keep satisfied" quadrant, the engagement model is information-driven and event-based: parliamentary oversight is engaged through the customary Airbus DS Annual Report channel and through programme milestone press releases; Dassault engagement is structured through the existing FCAS Industrial Steering rhythm. For the bottom-right "keep informed" quadrant, the engagement model includes joint demonstrations (Indra), customer-side engagement plans (OCCAR), and a regular EDF call-cycle. For the bottom-left "monitor" quadrant, the engagement model is light-touch but deliberate: briefings to IISS, RUSI, SIPRI, IFRI and CCD-COE analyst networks ensure the strategic narrative is well-formed in the broader European policy ecosystem [R-3][R-22][R-23][R-24][R-21].</w:t>
      </w:r>
    </w:p>
    <w:p>
      <w:pPr>
        <w:pStyle w:val="Heading2"/>
      </w:pPr>
      <w:r>
        <w:t>3.6 Distribution Channels</w:t>
      </w:r>
    </w:p>
    <w:p>
      <w:pPr>
        <w:spacing w:after="120"/>
      </w:pPr>
      <w:r>
        <w:rPr>
          <w:sz w:val="22"/>
        </w:rPr>
        <w:t>SPARTA reaches its customers through five concurrent channels, each matched to one or more customer tiers identified in §3.3.2.</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Channel</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Tier(s) served</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Mechanism</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Cost profile</w:t>
            </w:r>
          </w:p>
        </w:tc>
      </w:tr>
      <w:tr>
        <w:tc>
          <w:tcPr>
            <w:tcW w:type="dxa" w:w="2493"/>
            <w:tcBorders>
              <w:top w:val="single" w:sz="4" w:color="DDE5EF"/>
              <w:left w:val="single" w:sz="4" w:color="DDE5EF"/>
              <w:bottom w:val="single" w:sz="4" w:color="DDE5EF"/>
              <w:right w:val="single" w:sz="4" w:color="DDE5EF"/>
            </w:tcBorders>
          </w:tcPr>
          <w:p>
            <w:pPr>
              <w:spacing w:after="0"/>
            </w:pPr>
            <w:r>
              <w:rPr>
                <w:sz w:val="22"/>
              </w:rPr>
              <w:t>Direct via Airbus DS Pillar 4 programme office</w:t>
            </w:r>
          </w:p>
        </w:tc>
        <w:tc>
          <w:tcPr>
            <w:tcW w:type="dxa" w:w="2493"/>
            <w:tcBorders>
              <w:top w:val="single" w:sz="4" w:color="DDE5EF"/>
              <w:left w:val="single" w:sz="4" w:color="DDE5EF"/>
              <w:bottom w:val="single" w:sz="4" w:color="DDE5EF"/>
              <w:right w:val="single" w:sz="4" w:color="DDE5EF"/>
            </w:tcBorders>
          </w:tcPr>
          <w:p>
            <w:pPr>
              <w:spacing w:after="0"/>
            </w:pPr>
            <w:r>
              <w:rPr>
                <w:sz w:val="22"/>
              </w:rPr>
              <w:t>Tier 1 (programme primes / integrators)</w:t>
            </w:r>
          </w:p>
        </w:tc>
        <w:tc>
          <w:tcPr>
            <w:tcW w:type="dxa" w:w="2493"/>
            <w:tcBorders>
              <w:top w:val="single" w:sz="4" w:color="DDE5EF"/>
              <w:left w:val="single" w:sz="4" w:color="DDE5EF"/>
              <w:bottom w:val="single" w:sz="4" w:color="DDE5EF"/>
              <w:right w:val="single" w:sz="4" w:color="DDE5EF"/>
            </w:tcBorders>
          </w:tcPr>
          <w:p>
            <w:pPr>
              <w:spacing w:after="0"/>
            </w:pPr>
            <w:r>
              <w:rPr>
                <w:sz w:val="22"/>
              </w:rPr>
              <w:t>Primary FCAS revenue path; SPARTA delivered as a workshare inside Pillar 4</w:t>
            </w:r>
          </w:p>
        </w:tc>
        <w:tc>
          <w:tcPr>
            <w:tcW w:type="dxa" w:w="2493"/>
            <w:tcBorders>
              <w:top w:val="single" w:sz="4" w:color="DDE5EF"/>
              <w:left w:val="single" w:sz="4" w:color="DDE5EF"/>
              <w:bottom w:val="single" w:sz="4" w:color="DDE5EF"/>
              <w:right w:val="single" w:sz="4" w:color="DDE5EF"/>
            </w:tcBorders>
          </w:tcPr>
          <w:p>
            <w:pPr>
              <w:spacing w:after="0"/>
            </w:pPr>
            <w:r>
              <w:rPr>
                <w:sz w:val="22"/>
              </w:rPr>
              <w:t>Embedded in existing programme overhead; low marginal SG&amp;A cost</w:t>
            </w:r>
          </w:p>
        </w:tc>
      </w:tr>
      <w:tr>
        <w:tc>
          <w:tcPr>
            <w:tcW w:type="dxa" w:w="2493"/>
            <w:tcBorders>
              <w:top w:val="single" w:sz="4" w:color="DDE5EF"/>
              <w:left w:val="single" w:sz="4" w:color="DDE5EF"/>
              <w:bottom w:val="single" w:sz="4" w:color="DDE5EF"/>
              <w:right w:val="single" w:sz="4" w:color="DDE5EF"/>
            </w:tcBorders>
          </w:tcPr>
          <w:p>
            <w:pPr>
              <w:spacing w:after="0"/>
            </w:pPr>
            <w:r>
              <w:rPr>
                <w:sz w:val="22"/>
              </w:rPr>
              <w:t>Direct via Airbus DS adjacent programmes (Eurodrone, Eurofighter LTE, MRTT, A400M)</w:t>
            </w:r>
          </w:p>
        </w:tc>
        <w:tc>
          <w:tcPr>
            <w:tcW w:type="dxa" w:w="2493"/>
            <w:tcBorders>
              <w:top w:val="single" w:sz="4" w:color="DDE5EF"/>
              <w:left w:val="single" w:sz="4" w:color="DDE5EF"/>
              <w:bottom w:val="single" w:sz="4" w:color="DDE5EF"/>
              <w:right w:val="single" w:sz="4" w:color="DDE5EF"/>
            </w:tcBorders>
          </w:tcPr>
          <w:p>
            <w:pPr>
              <w:spacing w:after="0"/>
            </w:pPr>
            <w:r>
              <w:rPr>
                <w:sz w:val="22"/>
              </w:rPr>
              <w:t>Tier 1, Tier 3</w:t>
            </w:r>
          </w:p>
        </w:tc>
        <w:tc>
          <w:tcPr>
            <w:tcW w:type="dxa" w:w="2493"/>
            <w:tcBorders>
              <w:top w:val="single" w:sz="4" w:color="DDE5EF"/>
              <w:left w:val="single" w:sz="4" w:color="DDE5EF"/>
              <w:bottom w:val="single" w:sz="4" w:color="DDE5EF"/>
              <w:right w:val="single" w:sz="4" w:color="DDE5EF"/>
            </w:tcBorders>
          </w:tcPr>
          <w:p>
            <w:pPr>
              <w:spacing w:after="0"/>
            </w:pPr>
            <w:r>
              <w:rPr>
                <w:sz w:val="22"/>
              </w:rPr>
              <w:t>Platform-upgrade NRE + per-platform integration; SPARTA as a mission-system upgrade module</w:t>
            </w:r>
          </w:p>
        </w:tc>
        <w:tc>
          <w:tcPr>
            <w:tcW w:type="dxa" w:w="2493"/>
            <w:tcBorders>
              <w:top w:val="single" w:sz="4" w:color="DDE5EF"/>
              <w:left w:val="single" w:sz="4" w:color="DDE5EF"/>
              <w:bottom w:val="single" w:sz="4" w:color="DDE5EF"/>
              <w:right w:val="single" w:sz="4" w:color="DDE5EF"/>
            </w:tcBorders>
          </w:tcPr>
          <w:p>
            <w:pPr>
              <w:spacing w:after="0"/>
            </w:pPr>
            <w:r>
              <w:rPr>
                <w:sz w:val="22"/>
              </w:rPr>
              <w:t>Medium SG&amp;A (programme bid teams)</w:t>
            </w:r>
          </w:p>
        </w:tc>
      </w:tr>
      <w:tr>
        <w:tc>
          <w:tcPr>
            <w:tcW w:type="dxa" w:w="2493"/>
            <w:tcBorders>
              <w:top w:val="single" w:sz="4" w:color="DDE5EF"/>
              <w:left w:val="single" w:sz="4" w:color="DDE5EF"/>
              <w:bottom w:val="single" w:sz="4" w:color="DDE5EF"/>
              <w:right w:val="single" w:sz="4" w:color="DDE5EF"/>
            </w:tcBorders>
          </w:tcPr>
          <w:p>
            <w:pPr>
              <w:spacing w:after="0"/>
            </w:pPr>
            <w:r>
              <w:rPr>
                <w:sz w:val="22"/>
              </w:rPr>
              <w:t>Partnership via Airbus Protect for TSOC content services</w:t>
            </w:r>
          </w:p>
        </w:tc>
        <w:tc>
          <w:tcPr>
            <w:tcW w:type="dxa" w:w="2493"/>
            <w:tcBorders>
              <w:top w:val="single" w:sz="4" w:color="DDE5EF"/>
              <w:left w:val="single" w:sz="4" w:color="DDE5EF"/>
              <w:bottom w:val="single" w:sz="4" w:color="DDE5EF"/>
              <w:right w:val="single" w:sz="4" w:color="DDE5EF"/>
            </w:tcBorders>
          </w:tcPr>
          <w:p>
            <w:pPr>
              <w:spacing w:after="0"/>
            </w:pPr>
            <w:r>
              <w:rPr>
                <w:sz w:val="22"/>
              </w:rPr>
              <w:t>Tier 2 (TSOC operators)</w:t>
            </w:r>
          </w:p>
        </w:tc>
        <w:tc>
          <w:tcPr>
            <w:tcW w:type="dxa" w:w="2493"/>
            <w:tcBorders>
              <w:top w:val="single" w:sz="4" w:color="DDE5EF"/>
              <w:left w:val="single" w:sz="4" w:color="DDE5EF"/>
              <w:bottom w:val="single" w:sz="4" w:color="DDE5EF"/>
              <w:right w:val="single" w:sz="4" w:color="DDE5EF"/>
            </w:tcBorders>
          </w:tcPr>
          <w:p>
            <w:pPr>
              <w:spacing w:after="0"/>
            </w:pPr>
            <w:r>
              <w:rPr>
                <w:sz w:val="22"/>
              </w:rPr>
              <w:t>Joint go-to-market for signed-content pipeline; Airbus Protect supplies Orion Malware® and CymID® services consumed by SPARTA via IF-EXT-05 / IF-EXT-06</w:t>
            </w:r>
          </w:p>
        </w:tc>
        <w:tc>
          <w:tcPr>
            <w:tcW w:type="dxa" w:w="2493"/>
            <w:tcBorders>
              <w:top w:val="single" w:sz="4" w:color="DDE5EF"/>
              <w:left w:val="single" w:sz="4" w:color="DDE5EF"/>
              <w:bottom w:val="single" w:sz="4" w:color="DDE5EF"/>
              <w:right w:val="single" w:sz="4" w:color="DDE5EF"/>
            </w:tcBorders>
          </w:tcPr>
          <w:p>
            <w:pPr>
              <w:spacing w:after="0"/>
            </w:pPr>
            <w:r>
              <w:rPr>
                <w:sz w:val="22"/>
              </w:rPr>
              <w:t>Shared SG&amp;A with Airbus Protect</w:t>
            </w:r>
          </w:p>
        </w:tc>
      </w:tr>
      <w:tr>
        <w:tc>
          <w:tcPr>
            <w:tcW w:type="dxa" w:w="2493"/>
            <w:tcBorders>
              <w:top w:val="single" w:sz="4" w:color="DDE5EF"/>
              <w:left w:val="single" w:sz="4" w:color="DDE5EF"/>
              <w:bottom w:val="single" w:sz="4" w:color="DDE5EF"/>
              <w:right w:val="single" w:sz="4" w:color="DDE5EF"/>
            </w:tcBorders>
          </w:tcPr>
          <w:p>
            <w:pPr>
              <w:spacing w:after="0"/>
            </w:pPr>
            <w:r>
              <w:rPr>
                <w:sz w:val="22"/>
              </w:rPr>
              <w:t>Consortium via EDF cyber-resilience calls</w:t>
            </w:r>
          </w:p>
        </w:tc>
        <w:tc>
          <w:tcPr>
            <w:tcW w:type="dxa" w:w="2493"/>
            <w:tcBorders>
              <w:top w:val="single" w:sz="4" w:color="DDE5EF"/>
              <w:left w:val="single" w:sz="4" w:color="DDE5EF"/>
              <w:bottom w:val="single" w:sz="4" w:color="DDE5EF"/>
              <w:right w:val="single" w:sz="4" w:color="DDE5EF"/>
            </w:tcBorders>
          </w:tcPr>
          <w:p>
            <w:pPr>
              <w:spacing w:after="0"/>
            </w:pPr>
            <w:r>
              <w:rPr>
                <w:sz w:val="22"/>
              </w:rPr>
              <w:t>Tier 1, Tier 4</w:t>
            </w:r>
          </w:p>
        </w:tc>
        <w:tc>
          <w:tcPr>
            <w:tcW w:type="dxa" w:w="2493"/>
            <w:tcBorders>
              <w:top w:val="single" w:sz="4" w:color="DDE5EF"/>
              <w:left w:val="single" w:sz="4" w:color="DDE5EF"/>
              <w:bottom w:val="single" w:sz="4" w:color="DDE5EF"/>
              <w:right w:val="single" w:sz="4" w:color="DDE5EF"/>
            </w:tcBorders>
          </w:tcPr>
          <w:p>
            <w:pPr>
              <w:spacing w:after="0"/>
            </w:pPr>
            <w:r>
              <w:rPr>
                <w:sz w:val="22"/>
              </w:rPr>
              <w:t>Airbus DS leads multi-nation consortia in EDF Annual Work Programmes (2027 and 2030 target windows); co-funded demonstrators</w:t>
            </w:r>
          </w:p>
        </w:tc>
        <w:tc>
          <w:tcPr>
            <w:tcW w:type="dxa" w:w="2493"/>
            <w:tcBorders>
              <w:top w:val="single" w:sz="4" w:color="DDE5EF"/>
              <w:left w:val="single" w:sz="4" w:color="DDE5EF"/>
              <w:bottom w:val="single" w:sz="4" w:color="DDE5EF"/>
              <w:right w:val="single" w:sz="4" w:color="DDE5EF"/>
            </w:tcBorders>
          </w:tcPr>
          <w:p>
            <w:pPr>
              <w:spacing w:after="0"/>
            </w:pPr>
            <w:r>
              <w:rPr>
                <w:sz w:val="22"/>
              </w:rPr>
              <w:t>Subsidised by EDF co-funding [R-8][R-9]</w:t>
            </w:r>
          </w:p>
        </w:tc>
      </w:tr>
      <w:tr>
        <w:tc>
          <w:tcPr>
            <w:tcW w:type="dxa" w:w="2493"/>
            <w:tcBorders>
              <w:top w:val="single" w:sz="4" w:color="DDE5EF"/>
              <w:left w:val="single" w:sz="4" w:color="DDE5EF"/>
              <w:bottom w:val="single" w:sz="4" w:color="DDE5EF"/>
              <w:right w:val="single" w:sz="4" w:color="DDE5EF"/>
            </w:tcBorders>
          </w:tcPr>
          <w:p>
            <w:pPr>
              <w:spacing w:after="0"/>
            </w:pPr>
            <w:r>
              <w:rPr>
                <w:sz w:val="22"/>
              </w:rPr>
              <w:t>Onboarding via NATO FMN / NCIA</w:t>
            </w:r>
          </w:p>
        </w:tc>
        <w:tc>
          <w:tcPr>
            <w:tcW w:type="dxa" w:w="2493"/>
            <w:tcBorders>
              <w:top w:val="single" w:sz="4" w:color="DDE5EF"/>
              <w:left w:val="single" w:sz="4" w:color="DDE5EF"/>
              <w:bottom w:val="single" w:sz="4" w:color="DDE5EF"/>
              <w:right w:val="single" w:sz="4" w:color="DDE5EF"/>
            </w:tcBorders>
          </w:tcPr>
          <w:p>
            <w:pPr>
              <w:spacing w:after="0"/>
            </w:pPr>
            <w:r>
              <w:rPr>
                <w:sz w:val="22"/>
              </w:rPr>
              <w:t>Tier 4 (coalition / export partners)</w:t>
            </w:r>
          </w:p>
        </w:tc>
        <w:tc>
          <w:tcPr>
            <w:tcW w:type="dxa" w:w="2493"/>
            <w:tcBorders>
              <w:top w:val="single" w:sz="4" w:color="DDE5EF"/>
              <w:left w:val="single" w:sz="4" w:color="DDE5EF"/>
              <w:bottom w:val="single" w:sz="4" w:color="DDE5EF"/>
              <w:right w:val="single" w:sz="4" w:color="DDE5EF"/>
            </w:tcBorders>
          </w:tcPr>
          <w:p>
            <w:pPr>
              <w:spacing w:after="0"/>
            </w:pPr>
            <w:r>
              <w:rPr>
                <w:sz w:val="22"/>
              </w:rPr>
              <w:t>Filtered trust-summary services subject to classification overlays; cross-domain release via IF-EXT-07</w:t>
            </w:r>
          </w:p>
        </w:tc>
        <w:tc>
          <w:tcPr>
            <w:tcW w:type="dxa" w:w="2493"/>
            <w:tcBorders>
              <w:top w:val="single" w:sz="4" w:color="DDE5EF"/>
              <w:left w:val="single" w:sz="4" w:color="DDE5EF"/>
              <w:bottom w:val="single" w:sz="4" w:color="DDE5EF"/>
              <w:right w:val="single" w:sz="4" w:color="DDE5EF"/>
            </w:tcBorders>
          </w:tcPr>
          <w:p>
            <w:pPr>
              <w:spacing w:after="0"/>
            </w:pPr>
            <w:r>
              <w:rPr>
                <w:sz w:val="22"/>
              </w:rPr>
              <w:t>Low marginal cost once core capability is mature</w:t>
            </w:r>
          </w:p>
        </w:tc>
      </w:tr>
    </w:tbl>
    <w:p>
      <w:pPr>
        <w:spacing w:after="40"/>
      </w:pPr>
    </w:p>
    <w:p>
      <w:pPr>
        <w:spacing w:after="120"/>
      </w:pPr>
      <w:r>
        <w:rPr>
          <w:sz w:val="22"/>
        </w:rPr>
        <w:t>The five-channel structure is deliberate. Channel concentration on Pillar 4 alone would create a single-point-of-failure dependency on FCAS Phase 2 timing; channel diversification across adjacent programmes and the EDF rail decouples revenue from any single programme's critical path. The recurring-services channel through Airbus Protect is the highest-leverage in the long run because its revenue compounds, but it is also the slowest to mature because it depends on a stable accredited TSOC analyst workflow which is not the gating step for first-of-class revenue. The pragmatic sequencing is therefore: anchor on Pillar 4, derisk on Eurodrone, scale through Airbus Protect.</w:t>
      </w:r>
    </w:p>
    <w:p>
      <w:r>
        <w:br/>
      </w:r>
    </w:p>
    <w:p>
      <w:pPr>
        <w:pStyle w:val="Heading1"/>
      </w:pPr>
      <w:r>
        <w:t>4. Capabilities Analysis</w:t>
      </w:r>
    </w:p>
    <w:p>
      <w:pPr>
        <w:pStyle w:val="Heading2"/>
      </w:pPr>
      <w:r>
        <w:t>4.1 Resources &amp; Core Capabilities</w:t>
      </w:r>
    </w:p>
    <w:p>
      <w:pPr>
        <w:spacing w:after="120"/>
      </w:pPr>
      <w:r>
        <w:rPr>
          <w:sz w:val="22"/>
        </w:rPr>
        <w:t>The resource-based view of competitive advantage [R-25] holds that durable competitive position derives from resources that are valuable, rare, imperfectly imitable, and supported by organisational structures that can deploy them. The SPARTA opportunity rests on six resources and three core capabilities that satisfy that test.</w:t>
      </w:r>
    </w:p>
    <w:p>
      <w:pPr>
        <w:pStyle w:val="Heading3"/>
      </w:pPr>
      <w:r>
        <w:t>4.1.1 Tangible resources</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Resource</w:t>
            </w:r>
          </w:p>
        </w:tc>
        <w:tc>
          <w:tcPr>
            <w:tcW w:type="dxa" w:w="332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Description</w:t>
            </w:r>
          </w:p>
        </w:tc>
        <w:tc>
          <w:tcPr>
            <w:tcW w:type="dxa" w:w="332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Defensibility</w:t>
            </w:r>
          </w:p>
        </w:tc>
      </w:tr>
      <w:tr>
        <w:tc>
          <w:tcPr>
            <w:tcW w:type="dxa" w:w="3324"/>
            <w:tcBorders>
              <w:top w:val="single" w:sz="4" w:color="DDE5EF"/>
              <w:left w:val="single" w:sz="4" w:color="DDE5EF"/>
              <w:bottom w:val="single" w:sz="4" w:color="DDE5EF"/>
              <w:right w:val="single" w:sz="4" w:color="DDE5EF"/>
            </w:tcBorders>
          </w:tcPr>
          <w:p>
            <w:pPr>
              <w:spacing w:after="0"/>
            </w:pPr>
            <w:r>
              <w:rPr>
                <w:sz w:val="22"/>
              </w:rPr>
              <w:t>MARS open reference architecture</w:t>
            </w:r>
          </w:p>
        </w:tc>
        <w:tc>
          <w:tcPr>
            <w:tcW w:type="dxa" w:w="3324"/>
            <w:tcBorders>
              <w:top w:val="single" w:sz="4" w:color="DDE5EF"/>
              <w:left w:val="single" w:sz="4" w:color="DDE5EF"/>
              <w:bottom w:val="single" w:sz="4" w:color="DDE5EF"/>
              <w:right w:val="single" w:sz="4" w:color="DDE5EF"/>
            </w:tcBorders>
          </w:tcPr>
          <w:p>
            <w:pPr>
              <w:spacing w:after="0"/>
            </w:pPr>
            <w:r>
              <w:rPr>
                <w:sz w:val="22"/>
              </w:rPr>
              <w:t>Airbus DS published open, model-based, modular reference architecture for combat-cloud-enabled mission systems [R-2]</w:t>
            </w:r>
          </w:p>
        </w:tc>
        <w:tc>
          <w:tcPr>
            <w:tcW w:type="dxa" w:w="3324"/>
            <w:tcBorders>
              <w:top w:val="single" w:sz="4" w:color="DDE5EF"/>
              <w:left w:val="single" w:sz="4" w:color="DDE5EF"/>
              <w:bottom w:val="single" w:sz="4" w:color="DDE5EF"/>
              <w:right w:val="single" w:sz="4" w:color="DDE5EF"/>
            </w:tcBorders>
          </w:tcPr>
          <w:p>
            <w:pPr>
              <w:spacing w:after="0"/>
            </w:pPr>
            <w:r>
              <w:rPr>
                <w:sz w:val="22"/>
              </w:rPr>
              <w:t>Schema authority — every Combat Cloud participant must conform</w:t>
            </w:r>
          </w:p>
        </w:tc>
      </w:tr>
      <w:tr>
        <w:tc>
          <w:tcPr>
            <w:tcW w:type="dxa" w:w="3324"/>
            <w:tcBorders>
              <w:top w:val="single" w:sz="4" w:color="DDE5EF"/>
              <w:left w:val="single" w:sz="4" w:color="DDE5EF"/>
              <w:bottom w:val="single" w:sz="4" w:color="DDE5EF"/>
              <w:right w:val="single" w:sz="4" w:color="DDE5EF"/>
            </w:tcBorders>
          </w:tcPr>
          <w:p>
            <w:pPr>
              <w:spacing w:after="0"/>
            </w:pPr>
            <w:r>
              <w:rPr>
                <w:sz w:val="22"/>
              </w:rPr>
              <w:t>FCAS Pillar 4 contracted workshare</w:t>
            </w:r>
          </w:p>
        </w:tc>
        <w:tc>
          <w:tcPr>
            <w:tcW w:type="dxa" w:w="3324"/>
            <w:tcBorders>
              <w:top w:val="single" w:sz="4" w:color="DDE5EF"/>
              <w:left w:val="single" w:sz="4" w:color="DDE5EF"/>
              <w:bottom w:val="single" w:sz="4" w:color="DDE5EF"/>
              <w:right w:val="single" w:sz="4" w:color="DDE5EF"/>
            </w:tcBorders>
          </w:tcPr>
          <w:p>
            <w:pPr>
              <w:spacing w:after="0"/>
            </w:pPr>
            <w:r>
              <w:rPr>
                <w:sz w:val="22"/>
              </w:rPr>
              <w:t>Airbus DS holds Combat Cloud prime status; contracted under Phase 1A (Feb 2020) and Phase 1B (Dec 2022) [R-1][R-7]</w:t>
            </w:r>
          </w:p>
        </w:tc>
        <w:tc>
          <w:tcPr>
            <w:tcW w:type="dxa" w:w="3324"/>
            <w:tcBorders>
              <w:top w:val="single" w:sz="4" w:color="DDE5EF"/>
              <w:left w:val="single" w:sz="4" w:color="DDE5EF"/>
              <w:bottom w:val="single" w:sz="4" w:color="DDE5EF"/>
              <w:right w:val="single" w:sz="4" w:color="DDE5EF"/>
            </w:tcBorders>
          </w:tcPr>
          <w:p>
            <w:pPr>
              <w:spacing w:after="0"/>
            </w:pPr>
            <w:r>
              <w:rPr>
                <w:sz w:val="22"/>
              </w:rPr>
              <w:t>Programme-anchored; difficult to dislodge without re-opening Phase 1B workshare</w:t>
            </w:r>
          </w:p>
        </w:tc>
      </w:tr>
      <w:tr>
        <w:tc>
          <w:tcPr>
            <w:tcW w:type="dxa" w:w="3324"/>
            <w:tcBorders>
              <w:top w:val="single" w:sz="4" w:color="DDE5EF"/>
              <w:left w:val="single" w:sz="4" w:color="DDE5EF"/>
              <w:bottom w:val="single" w:sz="4" w:color="DDE5EF"/>
              <w:right w:val="single" w:sz="4" w:color="DDE5EF"/>
            </w:tcBorders>
          </w:tcPr>
          <w:p>
            <w:pPr>
              <w:spacing w:after="0"/>
            </w:pPr>
            <w:r>
              <w:rPr>
                <w:sz w:val="22"/>
              </w:rPr>
              <w:t>SPARTA CDR-ready technical baseline (Draft C.4)</w:t>
            </w:r>
          </w:p>
        </w:tc>
        <w:tc>
          <w:tcPr>
            <w:tcW w:type="dxa" w:w="3324"/>
            <w:tcBorders>
              <w:top w:val="single" w:sz="4" w:color="DDE5EF"/>
              <w:left w:val="single" w:sz="4" w:color="DDE5EF"/>
              <w:bottom w:val="single" w:sz="4" w:color="DDE5EF"/>
              <w:right w:val="single" w:sz="4" w:color="DDE5EF"/>
            </w:tcBorders>
          </w:tcPr>
          <w:p>
            <w:pPr>
              <w:spacing w:after="0"/>
            </w:pPr>
            <w:r>
              <w:rPr>
                <w:sz w:val="22"/>
              </w:rPr>
              <w:t>56 SYS-* requirements; 7 IF-EXT and 7 IF-INT; 10-function FBS; assurance case skeleton; negative-test plan NT-01..NT-22; CDR closure criteria C-01..C-15 [Datapack D01–D06]</w:t>
            </w:r>
          </w:p>
        </w:tc>
        <w:tc>
          <w:tcPr>
            <w:tcW w:type="dxa" w:w="3324"/>
            <w:tcBorders>
              <w:top w:val="single" w:sz="4" w:color="DDE5EF"/>
              <w:left w:val="single" w:sz="4" w:color="DDE5EF"/>
              <w:bottom w:val="single" w:sz="4" w:color="DDE5EF"/>
              <w:right w:val="single" w:sz="4" w:color="DDE5EF"/>
            </w:tcBorders>
          </w:tcPr>
          <w:p>
            <w:pPr>
              <w:spacing w:after="0"/>
            </w:pPr>
            <w:r>
              <w:rPr>
                <w:sz w:val="22"/>
              </w:rPr>
              <w:t>Engineering depth that no greenfield competitor can match in &lt; 18–24 months</w:t>
            </w:r>
          </w:p>
        </w:tc>
      </w:tr>
      <w:tr>
        <w:tc>
          <w:tcPr>
            <w:tcW w:type="dxa" w:w="3324"/>
            <w:tcBorders>
              <w:top w:val="single" w:sz="4" w:color="DDE5EF"/>
              <w:left w:val="single" w:sz="4" w:color="DDE5EF"/>
              <w:bottom w:val="single" w:sz="4" w:color="DDE5EF"/>
              <w:right w:val="single" w:sz="4" w:color="DDE5EF"/>
            </w:tcBorders>
          </w:tcPr>
          <w:p>
            <w:pPr>
              <w:spacing w:after="0"/>
            </w:pPr>
            <w:r>
              <w:rPr>
                <w:sz w:val="22"/>
              </w:rPr>
              <w:t xml:space="preserve">Airbus Protect accredited services backbone </w:t>
            </w:r>
            <w:r>
              <w:rPr>
                <w:i/>
                <w:sz w:val="22"/>
              </w:rPr>
              <w:t>(strengthened)</w:t>
            </w:r>
          </w:p>
        </w:tc>
        <w:tc>
          <w:tcPr>
            <w:tcW w:type="dxa" w:w="3324"/>
            <w:tcBorders>
              <w:top w:val="single" w:sz="4" w:color="DDE5EF"/>
              <w:left w:val="single" w:sz="4" w:color="DDE5EF"/>
              <w:bottom w:val="single" w:sz="4" w:color="DDE5EF"/>
              <w:right w:val="single" w:sz="4" w:color="DDE5EF"/>
            </w:tcBorders>
          </w:tcPr>
          <w:p>
            <w:pPr>
              <w:spacing w:after="0"/>
            </w:pPr>
            <w:r>
              <w:rPr>
                <w:sz w:val="22"/>
              </w:rPr>
              <w:t>Orion Malware® file analysis, CymID®-class identity / PKI services, and — critically — operational cyber-defence experience earned by defending Airbus DS itself against real-world advanced adversaries. This is a threat profile that sits immediately below that of actual military operators, and gives Airbus Protect a depth of practical cyber-defence experience that no commercial managed-security-service provider, and few European defence-cyber competitors, can match [R-2]</w:t>
            </w:r>
          </w:p>
        </w:tc>
        <w:tc>
          <w:tcPr>
            <w:tcW w:type="dxa" w:w="3324"/>
            <w:tcBorders>
              <w:top w:val="single" w:sz="4" w:color="DDE5EF"/>
              <w:left w:val="single" w:sz="4" w:color="DDE5EF"/>
              <w:bottom w:val="single" w:sz="4" w:color="DDE5EF"/>
              <w:right w:val="single" w:sz="4" w:color="DDE5EF"/>
            </w:tcBorders>
          </w:tcPr>
          <w:p>
            <w:pPr>
              <w:spacing w:after="0"/>
            </w:pPr>
            <w:r>
              <w:rPr>
                <w:sz w:val="22"/>
              </w:rPr>
              <w:t>Sovereign-accredited; switching cost prohibitive for accredited customers; *and* a moat dimension that cannot be acquired by hiring — only by operating</w:t>
            </w:r>
          </w:p>
        </w:tc>
      </w:tr>
      <w:tr>
        <w:tc>
          <w:tcPr>
            <w:tcW w:type="dxa" w:w="3324"/>
            <w:tcBorders>
              <w:top w:val="single" w:sz="4" w:color="DDE5EF"/>
              <w:left w:val="single" w:sz="4" w:color="DDE5EF"/>
              <w:bottom w:val="single" w:sz="4" w:color="DDE5EF"/>
              <w:right w:val="single" w:sz="4" w:color="DDE5EF"/>
            </w:tcBorders>
          </w:tcPr>
          <w:p>
            <w:pPr>
              <w:spacing w:after="0"/>
            </w:pPr>
            <w:r>
              <w:rPr>
                <w:sz w:val="22"/>
              </w:rPr>
              <w:t xml:space="preserve">Privileged platform ownership and access </w:t>
            </w:r>
            <w:r>
              <w:rPr>
                <w:i/>
                <w:sz w:val="22"/>
              </w:rPr>
              <w:t>(strengthened)</w:t>
            </w:r>
          </w:p>
        </w:tc>
        <w:tc>
          <w:tcPr>
            <w:tcW w:type="dxa" w:w="3324"/>
            <w:tcBorders>
              <w:top w:val="single" w:sz="4" w:color="DDE5EF"/>
              <w:left w:val="single" w:sz="4" w:color="DDE5EF"/>
              <w:bottom w:val="single" w:sz="4" w:color="DDE5EF"/>
              <w:right w:val="single" w:sz="4" w:color="DDE5EF"/>
            </w:tcBorders>
          </w:tcPr>
          <w:p>
            <w:pPr>
              <w:spacing w:after="0"/>
            </w:pPr>
            <w:r>
              <w:rPr>
                <w:sz w:val="22"/>
              </w:rPr>
              <w:t>Airbus DS owns or has direct privileged engineering access to the host platforms on which SPARTA must run: Eurodrone (prime), Eurofighter (co-prime), A400M (prime), MRTT (prime), Tiger / NH90 (prime / co-prime). This conveys deep platform-systems expertise — avionics-bus, comms-stack, SWaP, certification path — that an outside vendor must spend years acquiring through integration projects [R-2]</w:t>
            </w:r>
          </w:p>
        </w:tc>
        <w:tc>
          <w:tcPr>
            <w:tcW w:type="dxa" w:w="3324"/>
            <w:tcBorders>
              <w:top w:val="single" w:sz="4" w:color="DDE5EF"/>
              <w:left w:val="single" w:sz="4" w:color="DDE5EF"/>
              <w:bottom w:val="single" w:sz="4" w:color="DDE5EF"/>
              <w:right w:val="single" w:sz="4" w:color="DDE5EF"/>
            </w:tcBorders>
          </w:tcPr>
          <w:p>
            <w:pPr>
              <w:spacing w:after="0"/>
            </w:pPr>
            <w:r>
              <w:rPr>
                <w:sz w:val="22"/>
              </w:rPr>
              <w:t>Captive deployment surface to derisk SPARTA outside the FCAS critical path; engineering expertise that no greenfield competitor can replicate inside the 2028–2029 window</w:t>
            </w:r>
          </w:p>
        </w:tc>
      </w:tr>
      <w:tr>
        <w:tc>
          <w:tcPr>
            <w:tcW w:type="dxa" w:w="3324"/>
            <w:tcBorders>
              <w:top w:val="single" w:sz="4" w:color="DDE5EF"/>
              <w:left w:val="single" w:sz="4" w:color="DDE5EF"/>
              <w:bottom w:val="single" w:sz="4" w:color="DDE5EF"/>
              <w:right w:val="single" w:sz="4" w:color="DDE5EF"/>
            </w:tcBorders>
          </w:tcPr>
          <w:p>
            <w:pPr>
              <w:spacing w:after="0"/>
            </w:pPr>
            <w:r>
              <w:rPr>
                <w:sz w:val="22"/>
              </w:rPr>
              <w:t xml:space="preserve">FCAS membership and standard-setting credibility </w:t>
            </w:r>
            <w:r>
              <w:rPr>
                <w:i/>
                <w:sz w:val="22"/>
              </w:rPr>
              <w:t>(new)</w:t>
            </w:r>
          </w:p>
        </w:tc>
        <w:tc>
          <w:tcPr>
            <w:tcW w:type="dxa" w:w="3324"/>
            <w:tcBorders>
              <w:top w:val="single" w:sz="4" w:color="DDE5EF"/>
              <w:left w:val="single" w:sz="4" w:color="DDE5EF"/>
              <w:bottom w:val="single" w:sz="4" w:color="DDE5EF"/>
              <w:right w:val="single" w:sz="4" w:color="DDE5EF"/>
            </w:tcBorders>
          </w:tcPr>
          <w:p>
            <w:pPr>
              <w:spacing w:after="0"/>
            </w:pPr>
            <w:r>
              <w:rPr>
                <w:sz w:val="22"/>
              </w:rPr>
              <w:t xml:space="preserve">Airbus DS is already inside FCAS as the Pillar 4 (Combat Cloud) prime. This confers institutional credibility to </w:t>
            </w:r>
            <w:r>
              <w:rPr>
                <w:i/>
                <w:sz w:val="22"/>
              </w:rPr>
              <w:t>define</w:t>
            </w:r>
            <w:r>
              <w:rPr>
                <w:sz w:val="22"/>
              </w:rPr>
              <w:t xml:space="preserve"> standards, not merely to comply with them — the MARS schema-board, the FCAS Industrial Steering Committee, and the Combat Cloud architecture board are all forums in which Airbus DS has standing seats [R-1][R-2]</w:t>
            </w:r>
          </w:p>
        </w:tc>
        <w:tc>
          <w:tcPr>
            <w:tcW w:type="dxa" w:w="3324"/>
            <w:tcBorders>
              <w:top w:val="single" w:sz="4" w:color="DDE5EF"/>
              <w:left w:val="single" w:sz="4" w:color="DDE5EF"/>
              <w:bottom w:val="single" w:sz="4" w:color="DDE5EF"/>
              <w:right w:val="single" w:sz="4" w:color="DDE5EF"/>
            </w:tcBorders>
          </w:tcPr>
          <w:p>
            <w:pPr>
              <w:spacing w:after="0"/>
            </w:pPr>
            <w:r>
              <w:rPr>
                <w:sz w:val="22"/>
              </w:rPr>
              <w:t>Standard-setter position is structurally non-replicable: a competitor would have to be admitted to FCAS as a prime before they could even contest it</w:t>
            </w:r>
          </w:p>
        </w:tc>
      </w:tr>
      <w:tr>
        <w:tc>
          <w:tcPr>
            <w:tcW w:type="dxa" w:w="3324"/>
            <w:tcBorders>
              <w:top w:val="single" w:sz="4" w:color="DDE5EF"/>
              <w:left w:val="single" w:sz="4" w:color="DDE5EF"/>
              <w:bottom w:val="single" w:sz="4" w:color="DDE5EF"/>
              <w:right w:val="single" w:sz="4" w:color="DDE5EF"/>
            </w:tcBorders>
          </w:tcPr>
          <w:p>
            <w:pPr>
              <w:spacing w:after="0"/>
            </w:pPr>
            <w:r>
              <w:rPr>
                <w:sz w:val="22"/>
              </w:rPr>
              <w:t>Identity / key custody infrastructure</w:t>
            </w:r>
          </w:p>
        </w:tc>
        <w:tc>
          <w:tcPr>
            <w:tcW w:type="dxa" w:w="3324"/>
            <w:tcBorders>
              <w:top w:val="single" w:sz="4" w:color="DDE5EF"/>
              <w:left w:val="single" w:sz="4" w:color="DDE5EF"/>
              <w:bottom w:val="single" w:sz="4" w:color="DDE5EF"/>
              <w:right w:val="single" w:sz="4" w:color="DDE5EF"/>
            </w:tcBorders>
          </w:tcPr>
          <w:p>
            <w:pPr>
              <w:spacing w:after="0"/>
            </w:pPr>
            <w:r>
              <w:rPr>
                <w:sz w:val="22"/>
              </w:rPr>
              <w:t>P6 identity and key material per node, anchored on the accredited identity provider (IF-EXT-05)</w:t>
            </w:r>
          </w:p>
        </w:tc>
        <w:tc>
          <w:tcPr>
            <w:tcW w:type="dxa" w:w="3324"/>
            <w:tcBorders>
              <w:top w:val="single" w:sz="4" w:color="DDE5EF"/>
              <w:left w:val="single" w:sz="4" w:color="DDE5EF"/>
              <w:bottom w:val="single" w:sz="4" w:color="DDE5EF"/>
              <w:right w:val="single" w:sz="4" w:color="DDE5EF"/>
            </w:tcBorders>
          </w:tcPr>
          <w:p>
            <w:pPr>
              <w:spacing w:after="0"/>
            </w:pPr>
            <w:r>
              <w:rPr>
                <w:sz w:val="22"/>
              </w:rPr>
              <w:t>Trust chain; cannot be retro-fitted</w:t>
            </w:r>
          </w:p>
        </w:tc>
      </w:tr>
    </w:tbl>
    <w:p>
      <w:pPr>
        <w:spacing w:after="40"/>
      </w:pPr>
    </w:p>
    <w:p>
      <w:pPr>
        <w:pStyle w:val="Heading3"/>
      </w:pPr>
      <w:r>
        <w:t>4.1.2 Intangible resources</w:t>
      </w:r>
    </w:p>
    <w:p>
      <w:pPr>
        <w:spacing w:after="40"/>
        <w:ind w:left="454"/>
      </w:pPr>
      <w:r>
        <w:rPr>
          <w:color w:val="101A2D"/>
          <w:sz w:val="22"/>
        </w:rPr>
        <w:t xml:space="preserve">- </w:t>
      </w:r>
      <w:r>
        <w:rPr>
          <w:b/>
          <w:sz w:val="22"/>
        </w:rPr>
        <w:t>Brand and accreditation reputation</w:t>
      </w:r>
      <w:r>
        <w:rPr>
          <w:sz w:val="22"/>
        </w:rPr>
        <w:t xml:space="preserve"> — Airbus DS has multi-decade accreditation track record across A400M, MRTT, Eurofighter, Tiger and Eurodrone mission systems [R-2] </w:t>
      </w:r>
      <w:r>
        <w:rPr>
          <w:sz w:val="22"/>
        </w:rPr>
        <w:t>. This is a non-trivial barrier for a greenfield mission-edge cyber vendor to clear.</w:t>
      </w:r>
    </w:p>
    <w:p>
      <w:pPr>
        <w:spacing w:after="40"/>
        <w:ind w:left="454"/>
      </w:pPr>
      <w:r>
        <w:rPr>
          <w:color w:val="101A2D"/>
          <w:sz w:val="22"/>
        </w:rPr>
        <w:t xml:space="preserve">- </w:t>
      </w:r>
      <w:r>
        <w:rPr>
          <w:b/>
          <w:sz w:val="22"/>
        </w:rPr>
        <w:t>Programme management heritage</w:t>
      </w:r>
      <w:r>
        <w:rPr>
          <w:sz w:val="22"/>
        </w:rPr>
        <w:t xml:space="preserve"> — Airbus DS has demonstrable depth in managing multi-nation, multi-currency, multi-accreditation programmes through OCCAR and DGA / BAAINBw / DGAM contracting [R-7] </w:t>
      </w:r>
      <w:r>
        <w:rPr>
          <w:sz w:val="22"/>
        </w:rPr>
        <w:t>.</w:t>
      </w:r>
    </w:p>
    <w:p>
      <w:pPr>
        <w:spacing w:after="40"/>
        <w:ind w:left="454"/>
      </w:pPr>
      <w:r>
        <w:rPr>
          <w:color w:val="101A2D"/>
          <w:sz w:val="22"/>
        </w:rPr>
        <w:t xml:space="preserve">- </w:t>
      </w:r>
      <w:r>
        <w:rPr>
          <w:b/>
          <w:sz w:val="22"/>
        </w:rPr>
        <w:t>Open-architecture credibility</w:t>
      </w:r>
      <w:r>
        <w:rPr>
          <w:sz w:val="22"/>
        </w:rPr>
        <w:t xml:space="preserve"> — Airbus DS has publicly committed to MARS as an open, model-based reference architecture since 2018 [R-2] </w:t>
      </w:r>
      <w:r>
        <w:rPr>
          <w:sz w:val="22"/>
        </w:rPr>
        <w:t>. Competitors that attempted to claim openness retroactively would face an "open in name only" critique that Airbus DS does not face.</w:t>
      </w:r>
    </w:p>
    <w:p>
      <w:pPr>
        <w:spacing w:after="40"/>
        <w:ind w:left="454"/>
      </w:pPr>
      <w:r>
        <w:rPr>
          <w:color w:val="101A2D"/>
          <w:sz w:val="22"/>
        </w:rPr>
        <w:t xml:space="preserve">- </w:t>
      </w:r>
      <w:r>
        <w:rPr>
          <w:b/>
          <w:sz w:val="22"/>
        </w:rPr>
        <w:t>Sovereign-trust posture</w:t>
      </w:r>
      <w:r>
        <w:rPr>
          <w:sz w:val="22"/>
        </w:rPr>
        <w:t xml:space="preserve"> — Airbus DS is European-headquartered with national-rooted operations in FR / DE / ES, which is a structural advantage versus US mission-cyber vendors for sovereign-accreditation customers.</w:t>
      </w:r>
    </w:p>
    <w:p>
      <w:pPr>
        <w:pStyle w:val="Heading3"/>
      </w:pPr>
      <w:r>
        <w:t>4.1.3 Human resources and core capabilities</w:t>
      </w:r>
    </w:p>
    <w:p>
      <w:pPr>
        <w:spacing w:after="120"/>
      </w:pPr>
      <w:r>
        <w:rPr>
          <w:sz w:val="22"/>
        </w:rPr>
        <w:t>SPARTA is delivered as integration and refinement on top of existing Airbus DS and Airbus Protect assets — not as a greenfield programme. The realistic staffing strategy is therefore a small, focused SPARTA-specific team supplemented by part-time allocation from existing pools (Airbus Protect content cell, CymID® PKI operations, FCAS Programme Office, platform-integration teams, connectivity team).</w:t>
      </w:r>
    </w:p>
    <w:p>
      <w:pPr>
        <w:spacing w:after="120"/>
      </w:pPr>
      <w:r>
        <w:rPr>
          <w:sz w:val="22"/>
        </w:rPr>
        <w:t xml:space="preserve">SPARTA's </w:t>
      </w:r>
      <w:r>
        <w:rPr>
          <w:b/>
          <w:sz w:val="22"/>
        </w:rPr>
        <w:t>dedicated</w:t>
      </w:r>
      <w:r>
        <w:rPr>
          <w:sz w:val="22"/>
        </w:rPr>
        <w:t xml:space="preserve"> steady-state team is approximately </w:t>
      </w:r>
      <w:r>
        <w:rPr>
          <w:b/>
          <w:sz w:val="22"/>
        </w:rPr>
        <w:t>20 FTE</w:t>
      </w:r>
      <w:r>
        <w:rPr>
          <w:sz w:val="22"/>
        </w:rPr>
        <w:t xml:space="preserve">, distributed across Edge-Agent engineering (~6 FTE), Cyber-content authors (~3 FTE), Accreditation experts (~2–3 FTE), Programme management &amp; partnership leads (~2–3 FTE), Test/integration/tooling (~2 FTE), Data-contract experts (~1–2 FTE), Identity &amp; key-material specialist (~1 FTE), and the Tactical Correlator post-CDR extension (~0–2 FTE, contingent on board authorisation of the Mode-B-peer extension). A further </w:t>
      </w:r>
      <w:r>
        <w:rPr>
          <w:b/>
          <w:sz w:val="22"/>
        </w:rPr>
        <w:t>~8 FTE-equivalent</w:t>
      </w:r>
      <w:r>
        <w:rPr>
          <w:sz w:val="22"/>
        </w:rPr>
        <w:t xml:space="preserve"> of allocated time from existing Airbus DS / Airbus Protect teams supports the dedicated team without net-new headcount.</w:t>
      </w:r>
    </w:p>
    <w:p>
      <w:pPr>
        <w:spacing w:after="120"/>
      </w:pPr>
      <w:r>
        <w:rPr>
          <w:sz w:val="22"/>
        </w:rPr>
        <w:t xml:space="preserve">The ramp profile of the dedicated team is approximately </w:t>
      </w:r>
      <w:r>
        <w:rPr>
          <w:b/>
          <w:sz w:val="22"/>
        </w:rPr>
        <w:t>11 FTE in 2026–2027</w:t>
      </w:r>
      <w:r>
        <w:rPr>
          <w:sz w:val="22"/>
        </w:rPr>
        <w:t xml:space="preserve"> (stand-up phase) growing to </w:t>
      </w:r>
      <w:r>
        <w:rPr>
          <w:b/>
          <w:sz w:val="22"/>
        </w:rPr>
        <w:t>18 FTE by 2028–2029</w:t>
      </w:r>
      <w:r>
        <w:rPr>
          <w:sz w:val="22"/>
        </w:rPr>
        <w:t xml:space="preserve"> (build &amp; demonstrate), </w:t>
      </w:r>
      <w:r>
        <w:rPr>
          <w:b/>
          <w:sz w:val="22"/>
        </w:rPr>
        <w:t>21 FTE by 2030–2032</w:t>
      </w:r>
      <w:r>
        <w:rPr>
          <w:sz w:val="22"/>
        </w:rPr>
        <w:t xml:space="preserve"> (industrialise), and stabilising at </w:t>
      </w:r>
      <w:r>
        <w:rPr>
          <w:b/>
          <w:sz w:val="22"/>
        </w:rPr>
        <w:t>~19 FTE from 2032 onward</w:t>
      </w:r>
      <w:r>
        <w:rPr>
          <w:sz w:val="22"/>
        </w:rPr>
        <w:t xml:space="preserve"> (sustain &amp; grow), with two of those FTE conditional on the post-CDR Mode-B-peer extension being authorised.</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Component</w:t>
            </w:r>
          </w:p>
        </w:tc>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P1 stand-up</w:t>
            </w:r>
            <w:r>
              <w:rPr>
                <w:b/>
                <w:color w:val="1F4E79"/>
                <w:sz w:val="20"/>
              </w:rPr>
              <w:br/>
            </w:r>
            <w:r>
              <w:rPr>
                <w:b/>
                <w:color w:val="1F4E79"/>
                <w:sz w:val="20"/>
              </w:rPr>
              <w:t>(2026–2027)</w:t>
            </w:r>
          </w:p>
        </w:tc>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P2 build &amp; demonstrate</w:t>
            </w:r>
            <w:r>
              <w:rPr>
                <w:b/>
                <w:color w:val="1F4E79"/>
                <w:sz w:val="20"/>
              </w:rPr>
              <w:br/>
            </w:r>
            <w:r>
              <w:rPr>
                <w:b/>
                <w:color w:val="1F4E79"/>
                <w:sz w:val="20"/>
              </w:rPr>
              <w:t>(2028–2029)</w:t>
            </w:r>
          </w:p>
        </w:tc>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P3 industrialise</w:t>
            </w:r>
            <w:r>
              <w:rPr>
                <w:b/>
                <w:color w:val="1F4E79"/>
                <w:sz w:val="20"/>
              </w:rPr>
              <w:br/>
            </w:r>
            <w:r>
              <w:rPr>
                <w:b/>
                <w:color w:val="1F4E79"/>
                <w:sz w:val="20"/>
              </w:rPr>
              <w:t>(2030–2032)</w:t>
            </w:r>
          </w:p>
        </w:tc>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P4 sustain &amp; grow</w:t>
            </w:r>
            <w:r>
              <w:rPr>
                <w:b/>
                <w:color w:val="1F4E79"/>
                <w:sz w:val="20"/>
              </w:rPr>
              <w:br/>
            </w:r>
            <w:r>
              <w:rPr>
                <w:b/>
                <w:color w:val="1F4E79"/>
                <w:sz w:val="20"/>
              </w:rPr>
              <w:t>(2032–2040)</w:t>
            </w:r>
          </w:p>
        </w:tc>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ROM justification</w:t>
            </w:r>
          </w:p>
        </w:tc>
      </w:tr>
      <w:tr>
        <w:tc>
          <w:tcPr>
            <w:tcW w:type="dxa" w:w="1662"/>
            <w:tcBorders>
              <w:top w:val="single" w:sz="4" w:color="DDE5EF"/>
              <w:left w:val="single" w:sz="4" w:color="DDE5EF"/>
              <w:bottom w:val="single" w:sz="4" w:color="DDE5EF"/>
              <w:right w:val="single" w:sz="4" w:color="DDE5EF"/>
            </w:tcBorders>
          </w:tcPr>
          <w:p>
            <w:pPr>
              <w:spacing w:after="0"/>
            </w:pPr>
            <w:r>
              <w:rPr>
                <w:sz w:val="22"/>
              </w:rPr>
              <w:t>Edge-Agent engineering</w:t>
            </w:r>
          </w:p>
        </w:tc>
        <w:tc>
          <w:tcPr>
            <w:tcW w:type="dxa" w:w="1662"/>
            <w:tcBorders>
              <w:top w:val="single" w:sz="4" w:color="DDE5EF"/>
              <w:left w:val="single" w:sz="4" w:color="DDE5EF"/>
              <w:bottom w:val="single" w:sz="4" w:color="DDE5EF"/>
              <w:right w:val="single" w:sz="4" w:color="DDE5EF"/>
            </w:tcBorders>
          </w:tcPr>
          <w:p>
            <w:pPr>
              <w:spacing w:after="0"/>
            </w:pPr>
            <w:r>
              <w:rPr>
                <w:sz w:val="22"/>
              </w:rPr>
              <w:t>3</w:t>
            </w:r>
          </w:p>
        </w:tc>
        <w:tc>
          <w:tcPr>
            <w:tcW w:type="dxa" w:w="1662"/>
            <w:tcBorders>
              <w:top w:val="single" w:sz="4" w:color="DDE5EF"/>
              <w:left w:val="single" w:sz="4" w:color="DDE5EF"/>
              <w:bottom w:val="single" w:sz="4" w:color="DDE5EF"/>
              <w:right w:val="single" w:sz="4" w:color="DDE5EF"/>
            </w:tcBorders>
          </w:tcPr>
          <w:p>
            <w:pPr>
              <w:spacing w:after="0"/>
            </w:pPr>
            <w:r>
              <w:rPr>
                <w:sz w:val="22"/>
              </w:rPr>
              <w:t>5</w:t>
            </w:r>
          </w:p>
        </w:tc>
        <w:tc>
          <w:tcPr>
            <w:tcW w:type="dxa" w:w="1662"/>
            <w:tcBorders>
              <w:top w:val="single" w:sz="4" w:color="DDE5EF"/>
              <w:left w:val="single" w:sz="4" w:color="DDE5EF"/>
              <w:bottom w:val="single" w:sz="4" w:color="DDE5EF"/>
              <w:right w:val="single" w:sz="4" w:color="DDE5EF"/>
            </w:tcBorders>
          </w:tcPr>
          <w:p>
            <w:pPr>
              <w:spacing w:after="0"/>
            </w:pPr>
            <w:r>
              <w:rPr>
                <w:sz w:val="22"/>
              </w:rPr>
              <w:t>6</w:t>
            </w:r>
          </w:p>
        </w:tc>
        <w:tc>
          <w:tcPr>
            <w:tcW w:type="dxa" w:w="1662"/>
            <w:tcBorders>
              <w:top w:val="single" w:sz="4" w:color="DDE5EF"/>
              <w:left w:val="single" w:sz="4" w:color="DDE5EF"/>
              <w:bottom w:val="single" w:sz="4" w:color="DDE5EF"/>
              <w:right w:val="single" w:sz="4" w:color="DDE5EF"/>
            </w:tcBorders>
          </w:tcPr>
          <w:p>
            <w:pPr>
              <w:spacing w:after="0"/>
            </w:pPr>
            <w:r>
              <w:rPr>
                <w:sz w:val="22"/>
              </w:rPr>
              <w:t>6</w:t>
            </w:r>
          </w:p>
        </w:tc>
        <w:tc>
          <w:tcPr>
            <w:tcW w:type="dxa" w:w="1662"/>
            <w:tcBorders>
              <w:top w:val="single" w:sz="4" w:color="DDE5EF"/>
              <w:left w:val="single" w:sz="4" w:color="DDE5EF"/>
              <w:bottom w:val="single" w:sz="4" w:color="DDE5EF"/>
              <w:right w:val="single" w:sz="4" w:color="DDE5EF"/>
            </w:tcBorders>
          </w:tcPr>
          <w:p>
            <w:pPr>
              <w:spacing w:after="0"/>
            </w:pPr>
            <w:r>
              <w:rPr>
                <w:sz w:val="22"/>
              </w:rPr>
              <w:t>Reuses Airbus DS embedded-software platform; SPARTA-specific dev is the detection/triage/transmit pipeline plus integration adapters.</w:t>
            </w:r>
          </w:p>
        </w:tc>
      </w:tr>
      <w:tr>
        <w:tc>
          <w:tcPr>
            <w:tcW w:type="dxa" w:w="1662"/>
            <w:tcBorders>
              <w:top w:val="single" w:sz="4" w:color="DDE5EF"/>
              <w:left w:val="single" w:sz="4" w:color="DDE5EF"/>
              <w:bottom w:val="single" w:sz="4" w:color="DDE5EF"/>
              <w:right w:val="single" w:sz="4" w:color="DDE5EF"/>
            </w:tcBorders>
          </w:tcPr>
          <w:p>
            <w:pPr>
              <w:spacing w:after="0"/>
            </w:pPr>
            <w:r>
              <w:rPr>
                <w:sz w:val="22"/>
              </w:rPr>
              <w:t>Cyber-content authors (SPARTA overlay on Airbus Protect)</w:t>
            </w:r>
          </w:p>
        </w:tc>
        <w:tc>
          <w:tcPr>
            <w:tcW w:type="dxa" w:w="1662"/>
            <w:tcBorders>
              <w:top w:val="single" w:sz="4" w:color="DDE5EF"/>
              <w:left w:val="single" w:sz="4" w:color="DDE5EF"/>
              <w:bottom w:val="single" w:sz="4" w:color="DDE5EF"/>
              <w:right w:val="single" w:sz="4" w:color="DDE5EF"/>
            </w:tcBorders>
          </w:tcPr>
          <w:p>
            <w:pPr>
              <w:spacing w:after="0"/>
            </w:pPr>
            <w:r>
              <w:rPr>
                <w:sz w:val="22"/>
              </w:rPr>
              <w:t>1</w:t>
            </w:r>
          </w:p>
        </w:tc>
        <w:tc>
          <w:tcPr>
            <w:tcW w:type="dxa" w:w="1662"/>
            <w:tcBorders>
              <w:top w:val="single" w:sz="4" w:color="DDE5EF"/>
              <w:left w:val="single" w:sz="4" w:color="DDE5EF"/>
              <w:bottom w:val="single" w:sz="4" w:color="DDE5EF"/>
              <w:right w:val="single" w:sz="4" w:color="DDE5EF"/>
            </w:tcBorders>
          </w:tcPr>
          <w:p>
            <w:pPr>
              <w:spacing w:after="0"/>
            </w:pPr>
            <w:r>
              <w:rPr>
                <w:sz w:val="22"/>
              </w:rPr>
              <w:t>2</w:t>
            </w:r>
          </w:p>
        </w:tc>
        <w:tc>
          <w:tcPr>
            <w:tcW w:type="dxa" w:w="1662"/>
            <w:tcBorders>
              <w:top w:val="single" w:sz="4" w:color="DDE5EF"/>
              <w:left w:val="single" w:sz="4" w:color="DDE5EF"/>
              <w:bottom w:val="single" w:sz="4" w:color="DDE5EF"/>
              <w:right w:val="single" w:sz="4" w:color="DDE5EF"/>
            </w:tcBorders>
          </w:tcPr>
          <w:p>
            <w:pPr>
              <w:spacing w:after="0"/>
            </w:pPr>
            <w:r>
              <w:rPr>
                <w:sz w:val="22"/>
              </w:rPr>
              <w:t>3</w:t>
            </w:r>
          </w:p>
        </w:tc>
        <w:tc>
          <w:tcPr>
            <w:tcW w:type="dxa" w:w="1662"/>
            <w:tcBorders>
              <w:top w:val="single" w:sz="4" w:color="DDE5EF"/>
              <w:left w:val="single" w:sz="4" w:color="DDE5EF"/>
              <w:bottom w:val="single" w:sz="4" w:color="DDE5EF"/>
              <w:right w:val="single" w:sz="4" w:color="DDE5EF"/>
            </w:tcBorders>
          </w:tcPr>
          <w:p>
            <w:pPr>
              <w:spacing w:after="0"/>
            </w:pPr>
            <w:r>
              <w:rPr>
                <w:sz w:val="22"/>
              </w:rPr>
              <w:t>3</w:t>
            </w:r>
          </w:p>
        </w:tc>
        <w:tc>
          <w:tcPr>
            <w:tcW w:type="dxa" w:w="1662"/>
            <w:tcBorders>
              <w:top w:val="single" w:sz="4" w:color="DDE5EF"/>
              <w:left w:val="single" w:sz="4" w:color="DDE5EF"/>
              <w:bottom w:val="single" w:sz="4" w:color="DDE5EF"/>
              <w:right w:val="single" w:sz="4" w:color="DDE5EF"/>
            </w:tcBorders>
          </w:tcPr>
          <w:p>
            <w:pPr>
              <w:spacing w:after="0"/>
            </w:pPr>
            <w:r>
              <w:rPr>
                <w:sz w:val="22"/>
              </w:rPr>
              <w:t>Operational-cadence content production (one signed release per week) requires a sustained dual-shift team; Protect handles signing infrastructure.</w:t>
            </w:r>
          </w:p>
        </w:tc>
      </w:tr>
      <w:tr>
        <w:tc>
          <w:tcPr>
            <w:tcW w:type="dxa" w:w="1662"/>
            <w:tcBorders>
              <w:top w:val="single" w:sz="4" w:color="DDE5EF"/>
              <w:left w:val="single" w:sz="4" w:color="DDE5EF"/>
              <w:bottom w:val="single" w:sz="4" w:color="DDE5EF"/>
              <w:right w:val="single" w:sz="4" w:color="DDE5EF"/>
            </w:tcBorders>
          </w:tcPr>
          <w:p>
            <w:pPr>
              <w:spacing w:after="0"/>
            </w:pPr>
            <w:r>
              <w:rPr>
                <w:sz w:val="22"/>
              </w:rPr>
              <w:t>Accreditation experts</w:t>
            </w:r>
          </w:p>
        </w:tc>
        <w:tc>
          <w:tcPr>
            <w:tcW w:type="dxa" w:w="1662"/>
            <w:tcBorders>
              <w:top w:val="single" w:sz="4" w:color="DDE5EF"/>
              <w:left w:val="single" w:sz="4" w:color="DDE5EF"/>
              <w:bottom w:val="single" w:sz="4" w:color="DDE5EF"/>
              <w:right w:val="single" w:sz="4" w:color="DDE5EF"/>
            </w:tcBorders>
          </w:tcPr>
          <w:p>
            <w:pPr>
              <w:spacing w:after="0"/>
            </w:pPr>
            <w:r>
              <w:rPr>
                <w:sz w:val="22"/>
              </w:rPr>
              <w:t>2</w:t>
            </w:r>
          </w:p>
        </w:tc>
        <w:tc>
          <w:tcPr>
            <w:tcW w:type="dxa" w:w="1662"/>
            <w:tcBorders>
              <w:top w:val="single" w:sz="4" w:color="DDE5EF"/>
              <w:left w:val="single" w:sz="4" w:color="DDE5EF"/>
              <w:bottom w:val="single" w:sz="4" w:color="DDE5EF"/>
              <w:right w:val="single" w:sz="4" w:color="DDE5EF"/>
            </w:tcBorders>
          </w:tcPr>
          <w:p>
            <w:pPr>
              <w:spacing w:after="0"/>
            </w:pPr>
            <w:r>
              <w:rPr>
                <w:sz w:val="22"/>
              </w:rPr>
              <w:t>3</w:t>
            </w:r>
          </w:p>
        </w:tc>
        <w:tc>
          <w:tcPr>
            <w:tcW w:type="dxa" w:w="1662"/>
            <w:tcBorders>
              <w:top w:val="single" w:sz="4" w:color="DDE5EF"/>
              <w:left w:val="single" w:sz="4" w:color="DDE5EF"/>
              <w:bottom w:val="single" w:sz="4" w:color="DDE5EF"/>
              <w:right w:val="single" w:sz="4" w:color="DDE5EF"/>
            </w:tcBorders>
          </w:tcPr>
          <w:p>
            <w:pPr>
              <w:spacing w:after="0"/>
            </w:pPr>
            <w:r>
              <w:rPr>
                <w:sz w:val="22"/>
              </w:rPr>
              <w:t>3</w:t>
            </w:r>
          </w:p>
        </w:tc>
        <w:tc>
          <w:tcPr>
            <w:tcW w:type="dxa" w:w="1662"/>
            <w:tcBorders>
              <w:top w:val="single" w:sz="4" w:color="DDE5EF"/>
              <w:left w:val="single" w:sz="4" w:color="DDE5EF"/>
              <w:bottom w:val="single" w:sz="4" w:color="DDE5EF"/>
              <w:right w:val="single" w:sz="4" w:color="DDE5EF"/>
            </w:tcBorders>
          </w:tcPr>
          <w:p>
            <w:pPr>
              <w:spacing w:after="0"/>
            </w:pPr>
            <w:r>
              <w:rPr>
                <w:sz w:val="22"/>
              </w:rPr>
              <w:t>2</w:t>
            </w:r>
          </w:p>
        </w:tc>
        <w:tc>
          <w:tcPr>
            <w:tcW w:type="dxa" w:w="1662"/>
            <w:tcBorders>
              <w:top w:val="single" w:sz="4" w:color="DDE5EF"/>
              <w:left w:val="single" w:sz="4" w:color="DDE5EF"/>
              <w:bottom w:val="single" w:sz="4" w:color="DDE5EF"/>
              <w:right w:val="single" w:sz="4" w:color="DDE5EF"/>
            </w:tcBorders>
          </w:tcPr>
          <w:p>
            <w:pPr>
              <w:spacing w:after="0"/>
            </w:pPr>
            <w:r>
              <w:rPr>
                <w:sz w:val="22"/>
              </w:rPr>
              <w:t>One lead per national authority (DGA-MI / BSI / CCN) during certification cycles; drops back once certifications are achieved.</w:t>
            </w:r>
          </w:p>
        </w:tc>
      </w:tr>
      <w:tr>
        <w:tc>
          <w:tcPr>
            <w:tcW w:type="dxa" w:w="1662"/>
            <w:tcBorders>
              <w:top w:val="single" w:sz="4" w:color="DDE5EF"/>
              <w:left w:val="single" w:sz="4" w:color="DDE5EF"/>
              <w:bottom w:val="single" w:sz="4" w:color="DDE5EF"/>
              <w:right w:val="single" w:sz="4" w:color="DDE5EF"/>
            </w:tcBorders>
          </w:tcPr>
          <w:p>
            <w:pPr>
              <w:spacing w:after="0"/>
            </w:pPr>
            <w:r>
              <w:rPr>
                <w:sz w:val="22"/>
              </w:rPr>
              <w:t>Programme management &amp; partnership leads</w:t>
            </w:r>
          </w:p>
        </w:tc>
        <w:tc>
          <w:tcPr>
            <w:tcW w:type="dxa" w:w="1662"/>
            <w:tcBorders>
              <w:top w:val="single" w:sz="4" w:color="DDE5EF"/>
              <w:left w:val="single" w:sz="4" w:color="DDE5EF"/>
              <w:bottom w:val="single" w:sz="4" w:color="DDE5EF"/>
              <w:right w:val="single" w:sz="4" w:color="DDE5EF"/>
            </w:tcBorders>
          </w:tcPr>
          <w:p>
            <w:pPr>
              <w:spacing w:after="0"/>
            </w:pPr>
            <w:r>
              <w:rPr>
                <w:sz w:val="22"/>
              </w:rPr>
              <w:t>2</w:t>
            </w:r>
          </w:p>
        </w:tc>
        <w:tc>
          <w:tcPr>
            <w:tcW w:type="dxa" w:w="1662"/>
            <w:tcBorders>
              <w:top w:val="single" w:sz="4" w:color="DDE5EF"/>
              <w:left w:val="single" w:sz="4" w:color="DDE5EF"/>
              <w:bottom w:val="single" w:sz="4" w:color="DDE5EF"/>
              <w:right w:val="single" w:sz="4" w:color="DDE5EF"/>
            </w:tcBorders>
          </w:tcPr>
          <w:p>
            <w:pPr>
              <w:spacing w:after="0"/>
            </w:pPr>
            <w:r>
              <w:rPr>
                <w:sz w:val="22"/>
              </w:rPr>
              <w:t>3</w:t>
            </w:r>
          </w:p>
        </w:tc>
        <w:tc>
          <w:tcPr>
            <w:tcW w:type="dxa" w:w="1662"/>
            <w:tcBorders>
              <w:top w:val="single" w:sz="4" w:color="DDE5EF"/>
              <w:left w:val="single" w:sz="4" w:color="DDE5EF"/>
              <w:bottom w:val="single" w:sz="4" w:color="DDE5EF"/>
              <w:right w:val="single" w:sz="4" w:color="DDE5EF"/>
            </w:tcBorders>
          </w:tcPr>
          <w:p>
            <w:pPr>
              <w:spacing w:after="0"/>
            </w:pPr>
            <w:r>
              <w:rPr>
                <w:sz w:val="22"/>
              </w:rPr>
              <w:t>3</w:t>
            </w:r>
          </w:p>
        </w:tc>
        <w:tc>
          <w:tcPr>
            <w:tcW w:type="dxa" w:w="1662"/>
            <w:tcBorders>
              <w:top w:val="single" w:sz="4" w:color="DDE5EF"/>
              <w:left w:val="single" w:sz="4" w:color="DDE5EF"/>
              <w:bottom w:val="single" w:sz="4" w:color="DDE5EF"/>
              <w:right w:val="single" w:sz="4" w:color="DDE5EF"/>
            </w:tcBorders>
          </w:tcPr>
          <w:p>
            <w:pPr>
              <w:spacing w:after="0"/>
            </w:pPr>
            <w:r>
              <w:rPr>
                <w:sz w:val="22"/>
              </w:rPr>
              <w:t>2</w:t>
            </w:r>
          </w:p>
        </w:tc>
        <w:tc>
          <w:tcPr>
            <w:tcW w:type="dxa" w:w="1662"/>
            <w:tcBorders>
              <w:top w:val="single" w:sz="4" w:color="DDE5EF"/>
              <w:left w:val="single" w:sz="4" w:color="DDE5EF"/>
              <w:bottom w:val="single" w:sz="4" w:color="DDE5EF"/>
              <w:right w:val="single" w:sz="4" w:color="DDE5EF"/>
            </w:tcBorders>
          </w:tcPr>
          <w:p>
            <w:pPr>
              <w:spacing w:after="0"/>
            </w:pPr>
            <w:r>
              <w:rPr>
                <w:sz w:val="22"/>
              </w:rPr>
              <w:t>Manages FCAS, Indra, OCCAR, EDF, NATO FMN concurrently; plugs into existing FCAS Programme Office.</w:t>
            </w:r>
          </w:p>
        </w:tc>
      </w:tr>
      <w:tr>
        <w:tc>
          <w:tcPr>
            <w:tcW w:type="dxa" w:w="1662"/>
            <w:tcBorders>
              <w:top w:val="single" w:sz="4" w:color="DDE5EF"/>
              <w:left w:val="single" w:sz="4" w:color="DDE5EF"/>
              <w:bottom w:val="single" w:sz="4" w:color="DDE5EF"/>
              <w:right w:val="single" w:sz="4" w:color="DDE5EF"/>
            </w:tcBorders>
          </w:tcPr>
          <w:p>
            <w:pPr>
              <w:spacing w:after="0"/>
            </w:pPr>
            <w:r>
              <w:rPr>
                <w:sz w:val="22"/>
              </w:rPr>
              <w:t>Test, integration &amp; tooling</w:t>
            </w:r>
          </w:p>
        </w:tc>
        <w:tc>
          <w:tcPr>
            <w:tcW w:type="dxa" w:w="1662"/>
            <w:tcBorders>
              <w:top w:val="single" w:sz="4" w:color="DDE5EF"/>
              <w:left w:val="single" w:sz="4" w:color="DDE5EF"/>
              <w:bottom w:val="single" w:sz="4" w:color="DDE5EF"/>
              <w:right w:val="single" w:sz="4" w:color="DDE5EF"/>
            </w:tcBorders>
          </w:tcPr>
          <w:p>
            <w:pPr>
              <w:spacing w:after="0"/>
            </w:pPr>
            <w:r>
              <w:rPr>
                <w:sz w:val="22"/>
              </w:rPr>
              <w:t>1</w:t>
            </w:r>
          </w:p>
        </w:tc>
        <w:tc>
          <w:tcPr>
            <w:tcW w:type="dxa" w:w="1662"/>
            <w:tcBorders>
              <w:top w:val="single" w:sz="4" w:color="DDE5EF"/>
              <w:left w:val="single" w:sz="4" w:color="DDE5EF"/>
              <w:bottom w:val="single" w:sz="4" w:color="DDE5EF"/>
              <w:right w:val="single" w:sz="4" w:color="DDE5EF"/>
            </w:tcBorders>
          </w:tcPr>
          <w:p>
            <w:pPr>
              <w:spacing w:after="0"/>
            </w:pPr>
            <w:r>
              <w:rPr>
                <w:sz w:val="22"/>
              </w:rPr>
              <w:t>2</w:t>
            </w:r>
          </w:p>
        </w:tc>
        <w:tc>
          <w:tcPr>
            <w:tcW w:type="dxa" w:w="1662"/>
            <w:tcBorders>
              <w:top w:val="single" w:sz="4" w:color="DDE5EF"/>
              <w:left w:val="single" w:sz="4" w:color="DDE5EF"/>
              <w:bottom w:val="single" w:sz="4" w:color="DDE5EF"/>
              <w:right w:val="single" w:sz="4" w:color="DDE5EF"/>
            </w:tcBorders>
          </w:tcPr>
          <w:p>
            <w:pPr>
              <w:spacing w:after="0"/>
            </w:pPr>
            <w:r>
              <w:rPr>
                <w:sz w:val="22"/>
              </w:rPr>
              <w:t>2</w:t>
            </w:r>
          </w:p>
        </w:tc>
        <w:tc>
          <w:tcPr>
            <w:tcW w:type="dxa" w:w="1662"/>
            <w:tcBorders>
              <w:top w:val="single" w:sz="4" w:color="DDE5EF"/>
              <w:left w:val="single" w:sz="4" w:color="DDE5EF"/>
              <w:bottom w:val="single" w:sz="4" w:color="DDE5EF"/>
              <w:right w:val="single" w:sz="4" w:color="DDE5EF"/>
            </w:tcBorders>
          </w:tcPr>
          <w:p>
            <w:pPr>
              <w:spacing w:after="0"/>
            </w:pPr>
            <w:r>
              <w:rPr>
                <w:sz w:val="22"/>
              </w:rPr>
              <w:t>2</w:t>
            </w:r>
          </w:p>
        </w:tc>
        <w:tc>
          <w:tcPr>
            <w:tcW w:type="dxa" w:w="1662"/>
            <w:tcBorders>
              <w:top w:val="single" w:sz="4" w:color="DDE5EF"/>
              <w:left w:val="single" w:sz="4" w:color="DDE5EF"/>
              <w:bottom w:val="single" w:sz="4" w:color="DDE5EF"/>
              <w:right w:val="single" w:sz="4" w:color="DDE5EF"/>
            </w:tcBorders>
          </w:tcPr>
          <w:p>
            <w:pPr>
              <w:spacing w:after="0"/>
            </w:pPr>
            <w:r>
              <w:rPr>
                <w:sz w:val="22"/>
              </w:rPr>
              <w:t>Orchestrates access to existing Airbus DS HIL / NETEM labs; supports multi-platform integration cycles.</w:t>
            </w:r>
          </w:p>
        </w:tc>
      </w:tr>
      <w:tr>
        <w:tc>
          <w:tcPr>
            <w:tcW w:type="dxa" w:w="1662"/>
            <w:tcBorders>
              <w:top w:val="single" w:sz="4" w:color="DDE5EF"/>
              <w:left w:val="single" w:sz="4" w:color="DDE5EF"/>
              <w:bottom w:val="single" w:sz="4" w:color="DDE5EF"/>
              <w:right w:val="single" w:sz="4" w:color="DDE5EF"/>
            </w:tcBorders>
          </w:tcPr>
          <w:p>
            <w:pPr>
              <w:spacing w:after="0"/>
            </w:pPr>
            <w:r>
              <w:rPr>
                <w:sz w:val="22"/>
              </w:rPr>
              <w:t>Data-contract experts</w:t>
            </w:r>
          </w:p>
        </w:tc>
        <w:tc>
          <w:tcPr>
            <w:tcW w:type="dxa" w:w="1662"/>
            <w:tcBorders>
              <w:top w:val="single" w:sz="4" w:color="DDE5EF"/>
              <w:left w:val="single" w:sz="4" w:color="DDE5EF"/>
              <w:bottom w:val="single" w:sz="4" w:color="DDE5EF"/>
              <w:right w:val="single" w:sz="4" w:color="DDE5EF"/>
            </w:tcBorders>
          </w:tcPr>
          <w:p>
            <w:pPr>
              <w:spacing w:after="0"/>
            </w:pPr>
            <w:r>
              <w:rPr>
                <w:sz w:val="22"/>
              </w:rPr>
              <w:t>2</w:t>
            </w:r>
          </w:p>
        </w:tc>
        <w:tc>
          <w:tcPr>
            <w:tcW w:type="dxa" w:w="1662"/>
            <w:tcBorders>
              <w:top w:val="single" w:sz="4" w:color="DDE5EF"/>
              <w:left w:val="single" w:sz="4" w:color="DDE5EF"/>
              <w:bottom w:val="single" w:sz="4" w:color="DDE5EF"/>
              <w:right w:val="single" w:sz="4" w:color="DDE5EF"/>
            </w:tcBorders>
          </w:tcPr>
          <w:p>
            <w:pPr>
              <w:spacing w:after="0"/>
            </w:pPr>
            <w:r>
              <w:rPr>
                <w:sz w:val="22"/>
              </w:rPr>
              <w:t>2</w:t>
            </w:r>
          </w:p>
        </w:tc>
        <w:tc>
          <w:tcPr>
            <w:tcW w:type="dxa" w:w="1662"/>
            <w:tcBorders>
              <w:top w:val="single" w:sz="4" w:color="DDE5EF"/>
              <w:left w:val="single" w:sz="4" w:color="DDE5EF"/>
              <w:bottom w:val="single" w:sz="4" w:color="DDE5EF"/>
              <w:right w:val="single" w:sz="4" w:color="DDE5EF"/>
            </w:tcBorders>
          </w:tcPr>
          <w:p>
            <w:pPr>
              <w:spacing w:after="0"/>
            </w:pPr>
            <w:r>
              <w:rPr>
                <w:sz w:val="22"/>
              </w:rPr>
              <w:t>2</w:t>
            </w:r>
          </w:p>
        </w:tc>
        <w:tc>
          <w:tcPr>
            <w:tcW w:type="dxa" w:w="1662"/>
            <w:tcBorders>
              <w:top w:val="single" w:sz="4" w:color="DDE5EF"/>
              <w:left w:val="single" w:sz="4" w:color="DDE5EF"/>
              <w:bottom w:val="single" w:sz="4" w:color="DDE5EF"/>
              <w:right w:val="single" w:sz="4" w:color="DDE5EF"/>
            </w:tcBorders>
          </w:tcPr>
          <w:p>
            <w:pPr>
              <w:spacing w:after="0"/>
            </w:pPr>
            <w:r>
              <w:rPr>
                <w:sz w:val="22"/>
              </w:rPr>
              <w:t>1</w:t>
            </w:r>
          </w:p>
        </w:tc>
        <w:tc>
          <w:tcPr>
            <w:tcW w:type="dxa" w:w="1662"/>
            <w:tcBorders>
              <w:top w:val="single" w:sz="4" w:color="DDE5EF"/>
              <w:left w:val="single" w:sz="4" w:color="DDE5EF"/>
              <w:bottom w:val="single" w:sz="4" w:color="DDE5EF"/>
              <w:right w:val="single" w:sz="4" w:color="DDE5EF"/>
            </w:tcBorders>
          </w:tcPr>
          <w:p>
            <w:pPr>
              <w:spacing w:after="0"/>
            </w:pPr>
            <w:r>
              <w:rPr>
                <w:sz w:val="22"/>
              </w:rPr>
              <w:t>Critical during the 2028–2029 schema-freeze window; minor-version maintenance only from P4.</w:t>
            </w:r>
          </w:p>
        </w:tc>
      </w:tr>
      <w:tr>
        <w:tc>
          <w:tcPr>
            <w:tcW w:type="dxa" w:w="1662"/>
            <w:tcBorders>
              <w:top w:val="single" w:sz="4" w:color="DDE5EF"/>
              <w:left w:val="single" w:sz="4" w:color="DDE5EF"/>
              <w:bottom w:val="single" w:sz="4" w:color="DDE5EF"/>
              <w:right w:val="single" w:sz="4" w:color="DDE5EF"/>
            </w:tcBorders>
          </w:tcPr>
          <w:p>
            <w:pPr>
              <w:spacing w:after="0"/>
            </w:pPr>
            <w:r>
              <w:rPr>
                <w:sz w:val="22"/>
              </w:rPr>
              <w:t>Identity &amp; key-material specialist</w:t>
            </w:r>
          </w:p>
        </w:tc>
        <w:tc>
          <w:tcPr>
            <w:tcW w:type="dxa" w:w="1662"/>
            <w:tcBorders>
              <w:top w:val="single" w:sz="4" w:color="DDE5EF"/>
              <w:left w:val="single" w:sz="4" w:color="DDE5EF"/>
              <w:bottom w:val="single" w:sz="4" w:color="DDE5EF"/>
              <w:right w:val="single" w:sz="4" w:color="DDE5EF"/>
            </w:tcBorders>
          </w:tcPr>
          <w:p>
            <w:pPr>
              <w:spacing w:after="0"/>
            </w:pPr>
            <w:r>
              <w:rPr>
                <w:sz w:val="22"/>
              </w:rPr>
              <w:t>0</w:t>
            </w:r>
          </w:p>
        </w:tc>
        <w:tc>
          <w:tcPr>
            <w:tcW w:type="dxa" w:w="1662"/>
            <w:tcBorders>
              <w:top w:val="single" w:sz="4" w:color="DDE5EF"/>
              <w:left w:val="single" w:sz="4" w:color="DDE5EF"/>
              <w:bottom w:val="single" w:sz="4" w:color="DDE5EF"/>
              <w:right w:val="single" w:sz="4" w:color="DDE5EF"/>
            </w:tcBorders>
          </w:tcPr>
          <w:p>
            <w:pPr>
              <w:spacing w:after="0"/>
            </w:pPr>
            <w:r>
              <w:rPr>
                <w:sz w:val="22"/>
              </w:rPr>
              <w:t>1</w:t>
            </w:r>
          </w:p>
        </w:tc>
        <w:tc>
          <w:tcPr>
            <w:tcW w:type="dxa" w:w="1662"/>
            <w:tcBorders>
              <w:top w:val="single" w:sz="4" w:color="DDE5EF"/>
              <w:left w:val="single" w:sz="4" w:color="DDE5EF"/>
              <w:bottom w:val="single" w:sz="4" w:color="DDE5EF"/>
              <w:right w:val="single" w:sz="4" w:color="DDE5EF"/>
            </w:tcBorders>
          </w:tcPr>
          <w:p>
            <w:pPr>
              <w:spacing w:after="0"/>
            </w:pPr>
            <w:r>
              <w:rPr>
                <w:sz w:val="22"/>
              </w:rPr>
              <w:t>1</w:t>
            </w:r>
          </w:p>
        </w:tc>
        <w:tc>
          <w:tcPr>
            <w:tcW w:type="dxa" w:w="1662"/>
            <w:tcBorders>
              <w:top w:val="single" w:sz="4" w:color="DDE5EF"/>
              <w:left w:val="single" w:sz="4" w:color="DDE5EF"/>
              <w:bottom w:val="single" w:sz="4" w:color="DDE5EF"/>
              <w:right w:val="single" w:sz="4" w:color="DDE5EF"/>
            </w:tcBorders>
          </w:tcPr>
          <w:p>
            <w:pPr>
              <w:spacing w:after="0"/>
            </w:pPr>
            <w:r>
              <w:rPr>
                <w:sz w:val="22"/>
              </w:rPr>
              <w:t>1</w:t>
            </w:r>
          </w:p>
        </w:tc>
        <w:tc>
          <w:tcPr>
            <w:tcW w:type="dxa" w:w="1662"/>
            <w:tcBorders>
              <w:top w:val="single" w:sz="4" w:color="DDE5EF"/>
              <w:left w:val="single" w:sz="4" w:color="DDE5EF"/>
              <w:bottom w:val="single" w:sz="4" w:color="DDE5EF"/>
              <w:right w:val="single" w:sz="4" w:color="DDE5EF"/>
            </w:tcBorders>
          </w:tcPr>
          <w:p>
            <w:pPr>
              <w:spacing w:after="0"/>
            </w:pPr>
            <w:r>
              <w:rPr>
                <w:sz w:val="22"/>
              </w:rPr>
              <w:t>Configures SPARTA scope within CymID; underlying PKI service is operated by Airbus Protect.</w:t>
            </w:r>
          </w:p>
        </w:tc>
      </w:tr>
      <w:tr>
        <w:tc>
          <w:tcPr>
            <w:tcW w:type="dxa" w:w="1662"/>
            <w:tcBorders>
              <w:top w:val="single" w:sz="4" w:color="DDE5EF"/>
              <w:left w:val="single" w:sz="4" w:color="DDE5EF"/>
              <w:bottom w:val="single" w:sz="4" w:color="DDE5EF"/>
              <w:right w:val="single" w:sz="4" w:color="DDE5EF"/>
            </w:tcBorders>
          </w:tcPr>
          <w:p>
            <w:pPr>
              <w:spacing w:after="0"/>
            </w:pPr>
            <w:r>
              <w:rPr>
                <w:sz w:val="22"/>
              </w:rPr>
              <w:t>Tactical Correlator (Mode-B-peer ext., contingent)</w:t>
            </w:r>
          </w:p>
        </w:tc>
        <w:tc>
          <w:tcPr>
            <w:tcW w:type="dxa" w:w="1662"/>
            <w:tcBorders>
              <w:top w:val="single" w:sz="4" w:color="DDE5EF"/>
              <w:left w:val="single" w:sz="4" w:color="DDE5EF"/>
              <w:bottom w:val="single" w:sz="4" w:color="DDE5EF"/>
              <w:right w:val="single" w:sz="4" w:color="DDE5EF"/>
            </w:tcBorders>
          </w:tcPr>
          <w:p>
            <w:pPr>
              <w:spacing w:after="0"/>
            </w:pPr>
            <w:r>
              <w:rPr>
                <w:sz w:val="22"/>
              </w:rPr>
              <w:t>0</w:t>
            </w:r>
          </w:p>
        </w:tc>
        <w:tc>
          <w:tcPr>
            <w:tcW w:type="dxa" w:w="1662"/>
            <w:tcBorders>
              <w:top w:val="single" w:sz="4" w:color="DDE5EF"/>
              <w:left w:val="single" w:sz="4" w:color="DDE5EF"/>
              <w:bottom w:val="single" w:sz="4" w:color="DDE5EF"/>
              <w:right w:val="single" w:sz="4" w:color="DDE5EF"/>
            </w:tcBorders>
          </w:tcPr>
          <w:p>
            <w:pPr>
              <w:spacing w:after="0"/>
            </w:pPr>
            <w:r>
              <w:rPr>
                <w:sz w:val="22"/>
              </w:rPr>
              <w:t>0</w:t>
            </w:r>
          </w:p>
        </w:tc>
        <w:tc>
          <w:tcPr>
            <w:tcW w:type="dxa" w:w="1662"/>
            <w:tcBorders>
              <w:top w:val="single" w:sz="4" w:color="DDE5EF"/>
              <w:left w:val="single" w:sz="4" w:color="DDE5EF"/>
              <w:bottom w:val="single" w:sz="4" w:color="DDE5EF"/>
              <w:right w:val="single" w:sz="4" w:color="DDE5EF"/>
            </w:tcBorders>
          </w:tcPr>
          <w:p>
            <w:pPr>
              <w:spacing w:after="0"/>
            </w:pPr>
            <w:r>
              <w:rPr>
                <w:sz w:val="22"/>
              </w:rPr>
              <w:t>1</w:t>
            </w:r>
          </w:p>
        </w:tc>
        <w:tc>
          <w:tcPr>
            <w:tcW w:type="dxa" w:w="1662"/>
            <w:tcBorders>
              <w:top w:val="single" w:sz="4" w:color="DDE5EF"/>
              <w:left w:val="single" w:sz="4" w:color="DDE5EF"/>
              <w:bottom w:val="single" w:sz="4" w:color="DDE5EF"/>
              <w:right w:val="single" w:sz="4" w:color="DDE5EF"/>
            </w:tcBorders>
          </w:tcPr>
          <w:p>
            <w:pPr>
              <w:spacing w:after="0"/>
            </w:pPr>
            <w:r>
              <w:rPr>
                <w:sz w:val="22"/>
              </w:rPr>
              <w:t>2</w:t>
            </w:r>
          </w:p>
        </w:tc>
        <w:tc>
          <w:tcPr>
            <w:tcW w:type="dxa" w:w="1662"/>
            <w:tcBorders>
              <w:top w:val="single" w:sz="4" w:color="DDE5EF"/>
              <w:left w:val="single" w:sz="4" w:color="DDE5EF"/>
              <w:bottom w:val="single" w:sz="4" w:color="DDE5EF"/>
              <w:right w:val="single" w:sz="4" w:color="DDE5EF"/>
            </w:tcBorders>
          </w:tcPr>
          <w:p>
            <w:pPr>
              <w:spacing w:after="0"/>
            </w:pPr>
            <w:r>
              <w:rPr>
                <w:sz w:val="22"/>
              </w:rPr>
              <w:t>Post-CDR scope only; specialist nucleus prepares the extension, scales only if board authorises.</w:t>
            </w:r>
          </w:p>
        </w:tc>
      </w:tr>
      <w:tr>
        <w:tc>
          <w:tcPr>
            <w:tcW w:type="dxa" w:w="1662"/>
            <w:tcBorders>
              <w:top w:val="single" w:sz="4" w:color="DDE5EF"/>
              <w:left w:val="single" w:sz="4" w:color="DDE5EF"/>
              <w:bottom w:val="single" w:sz="4" w:color="DDE5EF"/>
              <w:right w:val="single" w:sz="4" w:color="DDE5EF"/>
            </w:tcBorders>
          </w:tcPr>
          <w:p>
            <w:pPr>
              <w:spacing w:after="0"/>
            </w:pPr>
            <w:r>
              <w:rPr>
                <w:b/>
                <w:sz w:val="22"/>
              </w:rPr>
              <w:t>Dedicated SPARTA team</w:t>
            </w:r>
          </w:p>
        </w:tc>
        <w:tc>
          <w:tcPr>
            <w:tcW w:type="dxa" w:w="1662"/>
            <w:tcBorders>
              <w:top w:val="single" w:sz="4" w:color="DDE5EF"/>
              <w:left w:val="single" w:sz="4" w:color="DDE5EF"/>
              <w:bottom w:val="single" w:sz="4" w:color="DDE5EF"/>
              <w:right w:val="single" w:sz="4" w:color="DDE5EF"/>
            </w:tcBorders>
          </w:tcPr>
          <w:p>
            <w:pPr>
              <w:spacing w:after="0"/>
            </w:pPr>
            <w:r>
              <w:rPr>
                <w:b/>
                <w:sz w:val="22"/>
              </w:rPr>
              <w:t>11</w:t>
            </w:r>
          </w:p>
        </w:tc>
        <w:tc>
          <w:tcPr>
            <w:tcW w:type="dxa" w:w="1662"/>
            <w:tcBorders>
              <w:top w:val="single" w:sz="4" w:color="DDE5EF"/>
              <w:left w:val="single" w:sz="4" w:color="DDE5EF"/>
              <w:bottom w:val="single" w:sz="4" w:color="DDE5EF"/>
              <w:right w:val="single" w:sz="4" w:color="DDE5EF"/>
            </w:tcBorders>
          </w:tcPr>
          <w:p>
            <w:pPr>
              <w:spacing w:after="0"/>
            </w:pPr>
            <w:r>
              <w:rPr>
                <w:b/>
                <w:sz w:val="22"/>
              </w:rPr>
              <w:t>18</w:t>
            </w:r>
          </w:p>
        </w:tc>
        <w:tc>
          <w:tcPr>
            <w:tcW w:type="dxa" w:w="1662"/>
            <w:tcBorders>
              <w:top w:val="single" w:sz="4" w:color="DDE5EF"/>
              <w:left w:val="single" w:sz="4" w:color="DDE5EF"/>
              <w:bottom w:val="single" w:sz="4" w:color="DDE5EF"/>
              <w:right w:val="single" w:sz="4" w:color="DDE5EF"/>
            </w:tcBorders>
          </w:tcPr>
          <w:p>
            <w:pPr>
              <w:spacing w:after="0"/>
            </w:pPr>
            <w:r>
              <w:rPr>
                <w:b/>
                <w:sz w:val="22"/>
              </w:rPr>
              <w:t>21</w:t>
            </w:r>
          </w:p>
        </w:tc>
        <w:tc>
          <w:tcPr>
            <w:tcW w:type="dxa" w:w="1662"/>
            <w:tcBorders>
              <w:top w:val="single" w:sz="4" w:color="DDE5EF"/>
              <w:left w:val="single" w:sz="4" w:color="DDE5EF"/>
              <w:bottom w:val="single" w:sz="4" w:color="DDE5EF"/>
              <w:right w:val="single" w:sz="4" w:color="DDE5EF"/>
            </w:tcBorders>
          </w:tcPr>
          <w:p>
            <w:pPr>
              <w:spacing w:after="0"/>
            </w:pPr>
            <w:r>
              <w:rPr>
                <w:b/>
                <w:sz w:val="22"/>
              </w:rPr>
              <w:t>19</w:t>
            </w:r>
          </w:p>
        </w:tc>
        <w:tc>
          <w:tcPr>
            <w:tcW w:type="dxa" w:w="1662"/>
            <w:tcBorders>
              <w:top w:val="single" w:sz="4" w:color="DDE5EF"/>
              <w:left w:val="single" w:sz="4" w:color="DDE5EF"/>
              <w:bottom w:val="single" w:sz="4" w:color="DDE5EF"/>
              <w:right w:val="single" w:sz="4" w:color="DDE5EF"/>
            </w:tcBorders>
          </w:tcPr>
          <w:p>
            <w:pPr>
              <w:spacing w:after="0"/>
            </w:pPr>
            <w:r>
              <w:rPr>
                <w:sz w:val="22"/>
              </w:rPr>
              <w:t>Steady-state at ~20 FTE; –68% versus the original 63-FTE estimate.</w:t>
            </w:r>
          </w:p>
        </w:tc>
      </w:tr>
      <w:tr>
        <w:tc>
          <w:tcPr>
            <w:tcW w:type="dxa" w:w="1662"/>
            <w:tcBorders>
              <w:top w:val="single" w:sz="4" w:color="DDE5EF"/>
              <w:left w:val="single" w:sz="4" w:color="DDE5EF"/>
              <w:bottom w:val="single" w:sz="4" w:color="DDE5EF"/>
              <w:right w:val="single" w:sz="4" w:color="DDE5EF"/>
            </w:tcBorders>
          </w:tcPr>
          <w:p>
            <w:pPr>
              <w:spacing w:after="0"/>
            </w:pPr>
            <w:r>
              <w:rPr>
                <w:sz w:val="22"/>
              </w:rPr>
              <w:t>Allocated help from existing Airbus DS / Airbus Protect teams (FTE-equivalent)</w:t>
            </w:r>
          </w:p>
        </w:tc>
        <w:tc>
          <w:tcPr>
            <w:tcW w:type="dxa" w:w="1662"/>
            <w:tcBorders>
              <w:top w:val="single" w:sz="4" w:color="DDE5EF"/>
              <w:left w:val="single" w:sz="4" w:color="DDE5EF"/>
              <w:bottom w:val="single" w:sz="4" w:color="DDE5EF"/>
              <w:right w:val="single" w:sz="4" w:color="DDE5EF"/>
            </w:tcBorders>
          </w:tcPr>
          <w:p>
            <w:pPr>
              <w:spacing w:after="0"/>
            </w:pPr>
            <w:r>
              <w:rPr>
                <w:sz w:val="22"/>
              </w:rPr>
              <w:t>~4</w:t>
            </w:r>
          </w:p>
        </w:tc>
        <w:tc>
          <w:tcPr>
            <w:tcW w:type="dxa" w:w="1662"/>
            <w:tcBorders>
              <w:top w:val="single" w:sz="4" w:color="DDE5EF"/>
              <w:left w:val="single" w:sz="4" w:color="DDE5EF"/>
              <w:bottom w:val="single" w:sz="4" w:color="DDE5EF"/>
              <w:right w:val="single" w:sz="4" w:color="DDE5EF"/>
            </w:tcBorders>
          </w:tcPr>
          <w:p>
            <w:pPr>
              <w:spacing w:after="0"/>
            </w:pPr>
            <w:r>
              <w:rPr>
                <w:sz w:val="22"/>
              </w:rPr>
              <w:t>~7</w:t>
            </w:r>
          </w:p>
        </w:tc>
        <w:tc>
          <w:tcPr>
            <w:tcW w:type="dxa" w:w="1662"/>
            <w:tcBorders>
              <w:top w:val="single" w:sz="4" w:color="DDE5EF"/>
              <w:left w:val="single" w:sz="4" w:color="DDE5EF"/>
              <w:bottom w:val="single" w:sz="4" w:color="DDE5EF"/>
              <w:right w:val="single" w:sz="4" w:color="DDE5EF"/>
            </w:tcBorders>
          </w:tcPr>
          <w:p>
            <w:pPr>
              <w:spacing w:after="0"/>
            </w:pPr>
            <w:r>
              <w:rPr>
                <w:sz w:val="22"/>
              </w:rPr>
              <w:t>~8</w:t>
            </w:r>
          </w:p>
        </w:tc>
        <w:tc>
          <w:tcPr>
            <w:tcW w:type="dxa" w:w="1662"/>
            <w:tcBorders>
              <w:top w:val="single" w:sz="4" w:color="DDE5EF"/>
              <w:left w:val="single" w:sz="4" w:color="DDE5EF"/>
              <w:bottom w:val="single" w:sz="4" w:color="DDE5EF"/>
              <w:right w:val="single" w:sz="4" w:color="DDE5EF"/>
            </w:tcBorders>
          </w:tcPr>
          <w:p>
            <w:pPr>
              <w:spacing w:after="0"/>
            </w:pPr>
            <w:r>
              <w:rPr>
                <w:sz w:val="22"/>
              </w:rPr>
              <w:t>~8</w:t>
            </w:r>
          </w:p>
        </w:tc>
        <w:tc>
          <w:tcPr>
            <w:tcW w:type="dxa" w:w="1662"/>
            <w:tcBorders>
              <w:top w:val="single" w:sz="4" w:color="DDE5EF"/>
              <w:left w:val="single" w:sz="4" w:color="DDE5EF"/>
              <w:bottom w:val="single" w:sz="4" w:color="DDE5EF"/>
              <w:right w:val="single" w:sz="4" w:color="DDE5EF"/>
            </w:tcBorders>
          </w:tcPr>
          <w:p>
            <w:pPr>
              <w:spacing w:after="0"/>
            </w:pPr>
            <w:r>
              <w:rPr>
                <w:sz w:val="22"/>
              </w:rPr>
              <w:t>Scales with deployment intensity; carried by existing payrolls on a cost-allocation basis.</w:t>
            </w:r>
          </w:p>
        </w:tc>
      </w:tr>
      <w:tr>
        <w:tc>
          <w:tcPr>
            <w:tcW w:type="dxa" w:w="1662"/>
            <w:tcBorders>
              <w:top w:val="single" w:sz="4" w:color="DDE5EF"/>
              <w:left w:val="single" w:sz="4" w:color="DDE5EF"/>
              <w:bottom w:val="single" w:sz="4" w:color="DDE5EF"/>
              <w:right w:val="single" w:sz="4" w:color="DDE5EF"/>
            </w:tcBorders>
          </w:tcPr>
          <w:p>
            <w:pPr>
              <w:spacing w:after="0"/>
            </w:pPr>
            <w:r>
              <w:rPr>
                <w:b/>
                <w:sz w:val="22"/>
              </w:rPr>
              <w:t>Total effort</w:t>
            </w:r>
          </w:p>
        </w:tc>
        <w:tc>
          <w:tcPr>
            <w:tcW w:type="dxa" w:w="1662"/>
            <w:tcBorders>
              <w:top w:val="single" w:sz="4" w:color="DDE5EF"/>
              <w:left w:val="single" w:sz="4" w:color="DDE5EF"/>
              <w:bottom w:val="single" w:sz="4" w:color="DDE5EF"/>
              <w:right w:val="single" w:sz="4" w:color="DDE5EF"/>
            </w:tcBorders>
          </w:tcPr>
          <w:p>
            <w:pPr>
              <w:spacing w:after="0"/>
            </w:pPr>
            <w:r>
              <w:rPr>
                <w:b/>
                <w:sz w:val="22"/>
              </w:rPr>
              <w:t>~15</w:t>
            </w:r>
          </w:p>
        </w:tc>
        <w:tc>
          <w:tcPr>
            <w:tcW w:type="dxa" w:w="1662"/>
            <w:tcBorders>
              <w:top w:val="single" w:sz="4" w:color="DDE5EF"/>
              <w:left w:val="single" w:sz="4" w:color="DDE5EF"/>
              <w:bottom w:val="single" w:sz="4" w:color="DDE5EF"/>
              <w:right w:val="single" w:sz="4" w:color="DDE5EF"/>
            </w:tcBorders>
          </w:tcPr>
          <w:p>
            <w:pPr>
              <w:spacing w:after="0"/>
            </w:pPr>
            <w:r>
              <w:rPr>
                <w:b/>
                <w:sz w:val="22"/>
              </w:rPr>
              <w:t>~25</w:t>
            </w:r>
          </w:p>
        </w:tc>
        <w:tc>
          <w:tcPr>
            <w:tcW w:type="dxa" w:w="1662"/>
            <w:tcBorders>
              <w:top w:val="single" w:sz="4" w:color="DDE5EF"/>
              <w:left w:val="single" w:sz="4" w:color="DDE5EF"/>
              <w:bottom w:val="single" w:sz="4" w:color="DDE5EF"/>
              <w:right w:val="single" w:sz="4" w:color="DDE5EF"/>
            </w:tcBorders>
          </w:tcPr>
          <w:p>
            <w:pPr>
              <w:spacing w:after="0"/>
            </w:pPr>
            <w:r>
              <w:rPr>
                <w:b/>
                <w:sz w:val="22"/>
              </w:rPr>
              <w:t>~29</w:t>
            </w:r>
          </w:p>
        </w:tc>
        <w:tc>
          <w:tcPr>
            <w:tcW w:type="dxa" w:w="1662"/>
            <w:tcBorders>
              <w:top w:val="single" w:sz="4" w:color="DDE5EF"/>
              <w:left w:val="single" w:sz="4" w:color="DDE5EF"/>
              <w:bottom w:val="single" w:sz="4" w:color="DDE5EF"/>
              <w:right w:val="single" w:sz="4" w:color="DDE5EF"/>
            </w:tcBorders>
          </w:tcPr>
          <w:p>
            <w:pPr>
              <w:spacing w:after="0"/>
            </w:pPr>
            <w:r>
              <w:rPr>
                <w:b/>
                <w:sz w:val="22"/>
              </w:rPr>
              <w:t>~27</w:t>
            </w:r>
          </w:p>
        </w:tc>
        <w:tc>
          <w:tcPr>
            <w:tcW w:type="dxa" w:w="1662"/>
            <w:tcBorders>
              <w:top w:val="single" w:sz="4" w:color="DDE5EF"/>
              <w:left w:val="single" w:sz="4" w:color="DDE5EF"/>
              <w:bottom w:val="single" w:sz="4" w:color="DDE5EF"/>
              <w:right w:val="single" w:sz="4" w:color="DDE5EF"/>
            </w:tcBorders>
          </w:tcPr>
          <w:p>
            <w:pPr>
              <w:spacing w:after="0"/>
            </w:pPr>
            <w:r>
              <w:rPr>
                <w:sz w:val="22"/>
              </w:rPr>
              <w:t>Plateaus at ~28 FTE-equivalent total effort from P3 onward.</w:t>
            </w:r>
          </w:p>
        </w:tc>
      </w:tr>
    </w:tbl>
    <w:p>
      <w:pPr>
        <w:spacing w:after="40"/>
      </w:pPr>
    </w:p>
    <w:p>
      <w:pPr>
        <w:spacing w:after="120"/>
      </w:pPr>
      <w:r>
        <w:rPr>
          <w:sz w:val="22"/>
        </w:rPr>
        <w:t xml:space="preserve">At a blended European defence-engineering rate of </w:t>
      </w:r>
      <w:r>
        <w:rPr>
          <w:b/>
          <w:sz w:val="22"/>
        </w:rPr>
        <w:t>€140 k per FTE-year</w:t>
      </w:r>
      <w:r>
        <w:rPr>
          <w:sz w:val="22"/>
        </w:rPr>
        <w:t xml:space="preserve"> (fully loaded), the annual labour cost rises from approximately </w:t>
      </w:r>
      <w:r>
        <w:rPr>
          <w:b/>
          <w:sz w:val="22"/>
        </w:rPr>
        <w:t>€2.2 M/yr in P1</w:t>
      </w:r>
      <w:r>
        <w:rPr>
          <w:sz w:val="22"/>
        </w:rPr>
        <w:t xml:space="preserve"> to </w:t>
      </w:r>
      <w:r>
        <w:rPr>
          <w:b/>
          <w:sz w:val="22"/>
        </w:rPr>
        <w:t>€3.7 M/yr in P2</w:t>
      </w:r>
      <w:r>
        <w:rPr>
          <w:sz w:val="22"/>
        </w:rPr>
        <w:t xml:space="preserve">, peaks at </w:t>
      </w:r>
      <w:r>
        <w:rPr>
          <w:b/>
          <w:sz w:val="22"/>
        </w:rPr>
        <w:t>€4.2 M/yr in P3</w:t>
      </w:r>
      <w:r>
        <w:rPr>
          <w:sz w:val="22"/>
        </w:rPr>
        <w:t xml:space="preserve">, and settles at </w:t>
      </w:r>
      <w:r>
        <w:rPr>
          <w:b/>
          <w:sz w:val="22"/>
        </w:rPr>
        <w:t>€3.9 M/yr in steady state</w:t>
      </w:r>
      <w:r>
        <w:rPr>
          <w:sz w:val="22"/>
        </w:rPr>
        <w:t xml:space="preserve">. The cumulative labour cost across the 15-year horizon is approximately </w:t>
      </w:r>
      <w:r>
        <w:rPr>
          <w:b/>
          <w:sz w:val="22"/>
        </w:rPr>
        <w:t>€55 M</w:t>
      </w:r>
      <w:r>
        <w:rPr>
          <w:sz w:val="22"/>
        </w:rPr>
        <w:t>, distributed between the one-time engineering envelope (§5.1.1), recurring operating cost (§5.1.1), and revenue cost-of-goods-sold absorbed into S1 / S2 gross margin (§5.2).</w:t>
      </w:r>
    </w:p>
    <w:p>
      <w:pPr>
        <w:spacing w:after="120"/>
      </w:pPr>
      <w:r>
        <w:rPr>
          <w:b/>
          <w:sz w:val="22"/>
        </w:rPr>
        <w:t>Security-clearance constraint.</w:t>
      </w:r>
      <w:r>
        <w:rPr>
          <w:sz w:val="22"/>
        </w:rPr>
        <w:t xml:space="preserve"> Approximately two-thirds of the dedicated team requires national Secret-level clearance or higher (DGA-MI / Secret Défense in France, BSI / Geheim in Germany, CNI / Secreto in Spain), with two roles at national Top Secret + NATO Cosmic Top Secret. National clearance lead times (6–12 months in FR/DE, 6–9 months in ES) make hiring net-new staff from outside Airbus DS structurally slow. The staffing strategy therefore relies on transferring already-cleared staff from existing Airbus DS / Airbus Protect programmes (A400M, MRTT, Eurofighter, Eurodrone) — this is itself a competitive advantage that no greenfield European or US vendor can replicate.</w:t>
      </w:r>
    </w:p>
    <w:p>
      <w:pPr>
        <w:spacing w:after="120"/>
      </w:pPr>
      <w:r>
        <w:rPr>
          <w:sz w:val="22"/>
        </w:rPr>
        <w:t xml:space="preserve">Three core capabilities (in the strict resource-based sense) emerge from this combination of tangible, intangible and human resources. The first is </w:t>
      </w:r>
      <w:r>
        <w:rPr>
          <w:b/>
          <w:sz w:val="22"/>
        </w:rPr>
        <w:t>schema authority</w:t>
      </w:r>
      <w:r>
        <w:rPr>
          <w:sz w:val="22"/>
        </w:rPr>
        <w:t xml:space="preserve">: the ability to define and govern the canonical trust-object data contract that every Combat Cloud participant must conform to. The second is </w:t>
      </w:r>
      <w:r>
        <w:rPr>
          <w:b/>
          <w:sz w:val="22"/>
        </w:rPr>
        <w:t>signed-content production</w:t>
      </w:r>
      <w:r>
        <w:rPr>
          <w:sz w:val="22"/>
        </w:rPr>
        <w:t xml:space="preserve">: the ability to produce signed, monotonically versioned, auditable detection content at operational cadence (days–weeks) while preserving accredited software-baseline integrity. The third is </w:t>
      </w:r>
      <w:r>
        <w:rPr>
          <w:b/>
          <w:sz w:val="22"/>
        </w:rPr>
        <w:t>accredited authority partitioning</w:t>
      </w:r>
      <w:r>
        <w:rPr>
          <w:sz w:val="22"/>
        </w:rPr>
        <w:t>: the ability to design, defend and operationally maintain the strict advisory-only authority envelope that makes SPARTA accreditable in jurisdictions where unbounded autonomous cyber action is not permitted. Each of these three capabilities is rare in the European defence-cyber industry — and the combination of all three is structurally Airbus-only.</w:t>
      </w:r>
    </w:p>
    <w:p>
      <w:pPr>
        <w:pStyle w:val="Heading2"/>
      </w:pPr>
      <w:r>
        <w:t>4.2 Value Activities &amp; Processes</w:t>
      </w:r>
    </w:p>
    <w:p>
      <w:pPr>
        <w:spacing w:after="120"/>
      </w:pPr>
      <w:r>
        <w:rPr>
          <w:sz w:val="22"/>
        </w:rPr>
        <w:t>Value-chain analysis follows Porter's conventional structure [R-25] of five primary activities (inbound logistics, operations, outbound logistics, marketing and sales, service) and four support activities (firm infrastructure, human resource management, technology development, procurement). The SPARTA value chain below is mapped to that structure, with the dual-cadence architecture (accredited software baseline vs operational content pipeline) reflected explicitly.</w:t>
      </w:r>
    </w:p>
    <w:p>
      <w:pPr>
        <w:spacing w:before="120" w:after="40"/>
        <w:jc w:val="center"/>
      </w:pPr>
      <w:r>
        <w:drawing>
          <wp:inline xmlns:a="http://schemas.openxmlformats.org/drawingml/2006/main" xmlns:pic="http://schemas.openxmlformats.org/drawingml/2006/picture">
            <wp:extent cx="5943600" cy="2399779"/>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943600" cy="2399779"/>
                    </a:xfrm>
                    <a:prstGeom prst="rect"/>
                  </pic:spPr>
                </pic:pic>
              </a:graphicData>
            </a:graphic>
          </wp:inline>
        </w:drawing>
      </w:r>
    </w:p>
    <w:p>
      <w:pPr>
        <w:spacing w:before="0" w:after="120"/>
        <w:jc w:val="center"/>
      </w:pPr>
      <w:r>
        <w:rPr>
          <w:i/>
          <w:color w:val="52627A"/>
          <w:sz w:val="19"/>
        </w:rPr>
        <w:t>Figure 3. SPARTA value chain. Primary activities sequence raw inputs (threat intelligence, customer requirements, operator feedback) into deployed trust-content services. Support activities deliver the configuration discipline, talent, technology development and procurement governance that make the primary chain repeatable and auditable.</w:t>
      </w:r>
    </w:p>
    <w:p>
      <w:pPr>
        <w:pStyle w:val="Heading3"/>
      </w:pPr>
      <w:r>
        <w:t>4.2.1 Primary activities — process detail</w:t>
      </w:r>
    </w:p>
    <w:p>
      <w:pPr>
        <w:spacing w:after="120"/>
      </w:pPr>
      <w:r>
        <w:rPr>
          <w:b/>
          <w:sz w:val="22"/>
        </w:rPr>
        <w:t>Inbound logistics</w:t>
      </w:r>
      <w:r>
        <w:rPr>
          <w:sz w:val="22"/>
        </w:rPr>
        <w:t xml:space="preserve"> are the capture of threat intelligence, customer requirements and operator feedback into the SPARTA content-authoring queue. The inbound chain is institutionalised through the TSOC analyst cell at Airbus Protect, supplemented by external threat-intel from sovereign cyber agencies (DGA-MI, BSI, CCN-CERT [R-15][R-16]) under bilaterally-governed sharing agreements.</w:t>
      </w:r>
    </w:p>
    <w:p>
      <w:pPr>
        <w:spacing w:after="120"/>
      </w:pPr>
      <w:r>
        <w:rPr>
          <w:b/>
          <w:sz w:val="22"/>
        </w:rPr>
        <w:t>Operations</w:t>
      </w:r>
      <w:r>
        <w:rPr>
          <w:sz w:val="22"/>
        </w:rPr>
        <w:t xml:space="preserve"> are SPARTA's core production activities: Edge Agent software development under the accredited cadence, signed-content pipeline operations under the operational cadence, integration testing under the multi-node HIL discipline (Deliv. 04 §8), and schema governance under the joint MARS / TSOC / SPARTA configuration control board.</w:t>
      </w:r>
    </w:p>
    <w:p>
      <w:pPr>
        <w:spacing w:after="120"/>
      </w:pPr>
      <w:r>
        <w:rPr>
          <w:b/>
          <w:sz w:val="22"/>
        </w:rPr>
        <w:t>Outbound logistics</w:t>
      </w:r>
      <w:r>
        <w:rPr>
          <w:sz w:val="22"/>
        </w:rPr>
        <w:t xml:space="preserve"> are signed-bundle distribution (signed images for the accredited software baseline; signed PolicyBundles for the content pipeline), deployment to platforms via Airbus DS integration teams, and the production of signed commissioning evidence archived with each deployed instance (Deliv. 04 §8.3).</w:t>
      </w:r>
    </w:p>
    <w:p>
      <w:pPr>
        <w:spacing w:after="120"/>
      </w:pPr>
      <w:r>
        <w:rPr>
          <w:b/>
          <w:sz w:val="22"/>
        </w:rPr>
        <w:t>Marketing and sales</w:t>
      </w:r>
      <w:r>
        <w:rPr>
          <w:sz w:val="22"/>
        </w:rPr>
        <w:t xml:space="preserve"> follow the channel structure of §3.6 and include the public-facing reference architecture publications, programme-press positioning, analyst engagement (IISS, RUSI, SIPRI, IFRI, CCD-COE) [R-3][R-21][R-22][R-23][R-24], EDF consortium leadership, and joint Airbus DS / Airbus Protect exhibit presence.</w:t>
      </w:r>
    </w:p>
    <w:p>
      <w:pPr>
        <w:spacing w:after="120"/>
      </w:pPr>
      <w:r>
        <w:rPr>
          <w:b/>
          <w:sz w:val="22"/>
        </w:rPr>
        <w:t>Service</w:t>
      </w:r>
      <w:r>
        <w:rPr>
          <w:sz w:val="22"/>
        </w:rPr>
        <w:t xml:space="preserve"> is the recurring revenue engine: operator and analyst training, sustainment and content refresh, incident-loop closure with auditable artefacts, and the fleet-learning feedback loop documented in Deliv. 04 §9.0.</w:t>
      </w:r>
    </w:p>
    <w:p>
      <w:pPr>
        <w:pStyle w:val="Heading3"/>
      </w:pPr>
      <w:r>
        <w:t>4.2.2 Support activities — process detail</w:t>
      </w:r>
    </w:p>
    <w:p>
      <w:pPr>
        <w:spacing w:after="120"/>
      </w:pPr>
      <w:r>
        <w:rPr>
          <w:b/>
          <w:sz w:val="22"/>
        </w:rPr>
        <w:t>Firm infrastructure</w:t>
      </w:r>
      <w:r>
        <w:rPr>
          <w:sz w:val="22"/>
        </w:rPr>
        <w:t xml:space="preserve"> is provided by Airbus DS programme management and the configuration control board (CCB), which is jointly chaired for the content pipeline by Airbus DS and Airbus Protect. </w:t>
      </w:r>
      <w:r>
        <w:rPr>
          <w:b/>
          <w:sz w:val="22"/>
        </w:rPr>
        <w:t>Human resource management</w:t>
      </w:r>
      <w:r>
        <w:rPr>
          <w:sz w:val="22"/>
        </w:rPr>
        <w:t xml:space="preserve"> includes the talent partnerships with NATO CCD-COE [R-21] and selected European university research labs, plus a rotation programme between the engineering and content cells to keep the dual-cadence architecture culturally coherent. </w:t>
      </w:r>
      <w:r>
        <w:rPr>
          <w:b/>
          <w:sz w:val="22"/>
        </w:rPr>
        <w:t>Technology development</w:t>
      </w:r>
      <w:r>
        <w:rPr>
          <w:sz w:val="22"/>
        </w:rPr>
        <w:t xml:space="preserve"> covers the engineering of the Edge Agent, the Triage Engine, the F7.4 hot-swap chain, ML detector retraining infrastructure, and the post-quantum cryptographic-profile evolution required by the long horizon. </w:t>
      </w:r>
      <w:r>
        <w:rPr>
          <w:b/>
          <w:sz w:val="22"/>
        </w:rPr>
        <w:t>Procurement</w:t>
      </w:r>
      <w:r>
        <w:rPr>
          <w:sz w:val="22"/>
        </w:rPr>
        <w:t xml:space="preserve"> covers hardware (secure-element / TPM) and open-source dependencies governed by SBOM and SLSA-3 attestation, plus the accredited cross-domain sanitizer (IF-EXT-07) sourced from an external vendor under the accreditation envelope.</w:t>
      </w:r>
    </w:p>
    <w:p>
      <w:pPr>
        <w:pStyle w:val="Heading2"/>
      </w:pPr>
      <w:r>
        <w:t>4.3 Key Suppliers, Partnerships, Network, Ecosystem</w:t>
      </w:r>
    </w:p>
    <w:p>
      <w:pPr>
        <w:spacing w:after="120"/>
      </w:pPr>
      <w:r>
        <w:rPr>
          <w:sz w:val="22"/>
        </w:rPr>
        <w:t>SPARTA operates inside a defined ecosystem of suppliers, partners and end-customer institutions. The ecosystem map below (Figure 4) places SPARTA at the centre of three concentric layers: the inner Airbus boundary (Airbus DS programme office, Airbus Protect, Airbus Group internal supply); the European programme layer (FCAS partners, OCCAR, EDF); and the institutional / regulatory layer (national accreditation authorities, NATO, think-tank networks). Each ecosystem actor has a defined relationship class and a structural role in either the value chain or the political legitimisation of SPARTA's strategic position.</w:t>
      </w:r>
    </w:p>
    <w:p>
      <w:pPr>
        <w:spacing w:before="120" w:after="40"/>
        <w:jc w:val="center"/>
      </w:pPr>
      <w:r>
        <w:drawing>
          <wp:inline xmlns:a="http://schemas.openxmlformats.org/drawingml/2006/main" xmlns:pic="http://schemas.openxmlformats.org/drawingml/2006/picture">
            <wp:extent cx="5943600" cy="4079025"/>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943600" cy="4079025"/>
                    </a:xfrm>
                    <a:prstGeom prst="rect"/>
                  </pic:spPr>
                </pic:pic>
              </a:graphicData>
            </a:graphic>
          </wp:inline>
        </w:drawing>
      </w:r>
    </w:p>
    <w:p>
      <w:pPr>
        <w:spacing w:before="0" w:after="120"/>
        <w:jc w:val="center"/>
      </w:pPr>
      <w:r>
        <w:rPr>
          <w:i/>
          <w:color w:val="52627A"/>
          <w:sz w:val="19"/>
        </w:rPr>
        <w:t>Figure 4. Concentric SPARTA ecosystem. Inner ring is the Airbus boundary (programme office, Protect, Skynet connectivity, configuration control, identity / malware services). Middle ring is the European programme layer (Dassault, Indra, OCCAR, EDF, Eumet, EDA). Outer ring is the institutional and regulatory layer (NATO, national accreditation authorities, think-tank network).</w:t>
      </w:r>
    </w:p>
    <w:p>
      <w:pPr>
        <w:pStyle w:val="Heading3"/>
      </w:pPr>
      <w:r>
        <w:t>4.3.1 Key suppliers</w:t>
      </w:r>
    </w:p>
    <w:p>
      <w:pPr>
        <w:spacing w:after="120"/>
      </w:pPr>
      <w:r>
        <w:rPr>
          <w:sz w:val="22"/>
        </w:rPr>
        <w:t xml:space="preserve">SPARTA's key suppliers fall into four classes. </w:t>
      </w:r>
      <w:r>
        <w:rPr>
          <w:b/>
          <w:sz w:val="22"/>
        </w:rPr>
        <w:t>Internal Airbus suppliers</w:t>
      </w:r>
      <w:r>
        <w:rPr>
          <w:sz w:val="22"/>
        </w:rPr>
        <w:t xml:space="preserve">: Airbus Protect supplies the Orion Malware® file-analysis service (consumed via the sixth external interface IF-EXT-06) and the CymID®-class accredited identity / Public-Key Infrastructure (PKI) provider (consumed via IF-EXT-05) [R-2]. Airbus Skynet and Network for the Sky provide the connectivity rail for IF-EXT-02. </w:t>
      </w:r>
      <w:r>
        <w:rPr>
          <w:b/>
          <w:sz w:val="22"/>
        </w:rPr>
        <w:t>Hardware suppliers</w:t>
      </w:r>
      <w:r>
        <w:rPr>
          <w:sz w:val="22"/>
        </w:rPr>
        <w:t xml:space="preserve">: secure-element and Trusted Platform Module (TPM) hardware vendors, post-quantum-capable cryptographic library suppliers, and the accredited cross-domain sanitizer vendor for the seventh external interface IF-EXT-07. </w:t>
      </w:r>
      <w:r>
        <w:rPr>
          <w:b/>
          <w:sz w:val="22"/>
        </w:rPr>
        <w:t>Open-source supply chain</w:t>
      </w:r>
      <w:r>
        <w:rPr>
          <w:sz w:val="22"/>
        </w:rPr>
        <w:t xml:space="preserve">: governed by SBOM and SLSA-3 attestation under the SYS-DC-005 signed hot-swap discipline. </w:t>
      </w:r>
      <w:r>
        <w:rPr>
          <w:b/>
          <w:sz w:val="22"/>
        </w:rPr>
        <w:t>Threat-intelligence suppliers</w:t>
      </w:r>
      <w:r>
        <w:rPr>
          <w:sz w:val="22"/>
        </w:rPr>
        <w:t>: sovereign cyber agencies (DGA-MI, BSI, CCN-CERT) under bilaterally-governed sharing agreements [R-15][R-16].</w:t>
      </w:r>
    </w:p>
    <w:p>
      <w:pPr>
        <w:pStyle w:val="Heading3"/>
      </w:pPr>
      <w:r>
        <w:t>4.3.2 Partnerships</w:t>
      </w:r>
    </w:p>
    <w:p>
      <w:pPr>
        <w:spacing w:after="120"/>
      </w:pPr>
      <w:r>
        <w:rPr>
          <w:sz w:val="22"/>
        </w:rPr>
        <w:t xml:space="preserve">SPARTA's principal partnerships are structured by purpose. The </w:t>
      </w:r>
      <w:r>
        <w:rPr>
          <w:b/>
          <w:sz w:val="22"/>
        </w:rPr>
        <w:t>Indra partnership</w:t>
      </w:r>
      <w:r>
        <w:rPr>
          <w:sz w:val="22"/>
        </w:rPr>
        <w:t xml:space="preserve"> on the TSOC adjudication interface neutralises Spanish sovereign-cyber pushback (§3.5) and converts a potential rival into a downstream complement; the partnership is structured around a joint demonstrator scheduled for Q3 2026. The </w:t>
      </w:r>
      <w:r>
        <w:rPr>
          <w:b/>
          <w:sz w:val="22"/>
        </w:rPr>
        <w:t>Thales partnership</w:t>
      </w:r>
      <w:r>
        <w:rPr>
          <w:sz w:val="22"/>
        </w:rPr>
        <w:t xml:space="preserve"> is exploratory and aimed at the TSOC backend integration with CYBELS-class enterprise platforms, defining TSOC as an interface contract rather than a product. The </w:t>
      </w:r>
      <w:r>
        <w:rPr>
          <w:b/>
          <w:sz w:val="22"/>
        </w:rPr>
        <w:t>OCCAR partnership</w:t>
      </w:r>
      <w:r>
        <w:rPr>
          <w:sz w:val="22"/>
        </w:rPr>
        <w:t xml:space="preserve"> supports Eurodrone customer-side anchoring and serves as the parallel-derisking path outside the FCAS critical path. The </w:t>
      </w:r>
      <w:r>
        <w:rPr>
          <w:b/>
          <w:sz w:val="22"/>
        </w:rPr>
        <w:t>NATO CCD-COE partnership</w:t>
      </w:r>
      <w:r>
        <w:rPr>
          <w:sz w:val="22"/>
        </w:rPr>
        <w:t xml:space="preserve"> (Tallinn) [R-21] provides independent review of the threat-model methodology and red-team campaign artefacts.</w:t>
      </w:r>
    </w:p>
    <w:p>
      <w:pPr>
        <w:pStyle w:val="Heading3"/>
      </w:pPr>
      <w:r>
        <w:t>4.3.3 Network and ecosystem effects</w:t>
      </w:r>
    </w:p>
    <w:p>
      <w:pPr>
        <w:spacing w:after="120"/>
      </w:pPr>
      <w:r>
        <w:rPr>
          <w:sz w:val="22"/>
        </w:rPr>
        <w:t>The signed-content pipeline (P4) exhibits modest but real positive network effects: each additional adopting fleet contributes operational learning that improves detection content for the whole network. The fleet-learning loop (Deliv. 04 §9.0) institutionalises that effect. The MARS data-contract authority exhibits a stronger network effect: each additional FCAS participant that emits NodeStatus / TrustAssessment objects raises the switching cost for any prospective entrant. These two network effects together explain why anchoring SPARTA in 2026 produces durable defensibility through to FCAS IOC in approximately 2040.</w:t>
      </w:r>
    </w:p>
    <w:p>
      <w:r>
        <w:br/>
      </w:r>
    </w:p>
    <w:p>
      <w:pPr>
        <w:pStyle w:val="Heading1"/>
      </w:pPr>
      <w:r>
        <w:t>5. Financial Analysis</w:t>
      </w:r>
    </w:p>
    <w:tbl>
      <w:tblPr>
        <w:tblW w:type="auto" w:w="0"/>
        <w:jc w:val="center"/>
        <w:tblLook w:firstColumn="1" w:firstRow="1" w:lastColumn="0" w:lastRow="0" w:noHBand="0" w:noVBand="1" w:val="04A0"/>
      </w:tblPr>
      <w:tblGrid>
        <w:gridCol w:w="9972"/>
      </w:tblGrid>
      <w:tr>
        <w:tc>
          <w:tcPr>
            <w:tcW w:type="dxa" w:w="9972"/>
            <w:tcBorders>
              <w:top w:val="single" w:sz="4" w:color="513C8C"/>
              <w:left w:val="single" w:sz="32" w:color="513C8C"/>
              <w:bottom w:val="single" w:sz="4" w:color="513C8C"/>
              <w:right w:val="single" w:sz="4" w:color="513C8C"/>
            </w:tcBorders>
            <w:shd w:val="clear" w:color="auto" w:fill="F4F0FF"/>
          </w:tcPr>
          <w:p>
            <w:pPr>
              <w:spacing w:after="40"/>
            </w:pPr>
            <w:r>
              <w:rPr>
                <w:b/>
                <w:color w:val="101A2D"/>
                <w:sz w:val="22"/>
              </w:rPr>
              <w:t>Model discipline</w:t>
            </w:r>
          </w:p>
          <w:p>
            <w:pPr>
              <w:spacing w:after="80"/>
            </w:pPr>
            <w:r>
              <w:rPr>
                <w:sz w:val="22"/>
              </w:rPr>
              <w:t xml:space="preserve">Figures in this section are </w:t>
            </w:r>
            <w:r>
              <w:rPr>
                <w:b/>
                <w:sz w:val="22"/>
              </w:rPr>
              <w:t>analyst estimates</w:t>
            </w:r>
            <w:r>
              <w:rPr>
                <w:sz w:val="22"/>
              </w:rPr>
              <w:t xml:space="preserve"> produced for internal review-board discussion, not validated Airbus DS Finance numbers. All monetary figures are in constant 2026 € (real terms). An 8.0% nominal WACC and 2.0% long-run inflation are assumed [R-2] </w:t>
            </w:r>
            <w:r>
              <w:rPr>
                <w:sz w:val="22"/>
              </w:rPr>
              <w:t xml:space="preserve">. </w:t>
            </w:r>
            <w:r>
              <w:rPr>
                <w:b/>
                <w:sz w:val="22"/>
              </w:rPr>
              <w:t>Before external use, the model must be re-run with Airbus DS Strategy &amp; Finance P&amp;L-grade inputs (OP-STRAT-01 closure).</w:t>
            </w:r>
          </w:p>
        </w:tc>
      </w:tr>
    </w:tbl>
    <w:p>
      <w:pPr>
        <w:spacing w:after="40"/>
      </w:pPr>
    </w:p>
    <w:p>
      <w:pPr>
        <w:pStyle w:val="Heading2"/>
      </w:pPr>
      <w:r>
        <w:t>5.1 Cost Structure</w:t>
      </w:r>
    </w:p>
    <w:p>
      <w:pPr>
        <w:pStyle w:val="Heading3"/>
      </w:pPr>
      <w:r>
        <w:t>5.1.1 Non-recurring investment envelope</w:t>
      </w:r>
    </w:p>
    <w:p>
      <w:pPr>
        <w:spacing w:after="120"/>
      </w:pPr>
      <w:r>
        <w:rPr>
          <w:sz w:val="22"/>
        </w:rPr>
        <w:t>SPARTA's non-recurring engineering (NRE) envelope is €58–88 M cumulative 2026–2038, phased across four sub-envelopes. The Phase 1B R&amp;T contribution inside Pillar 4 is €18–26 M (2026–2029), allocated within the existing Phase 1B contracted workshare and not requiring additional approval from FR / DE / ES funding parliaments. The Phase 2 demonstrator integration is €28–42 M (2027–2032) and covers multi-node HIL stand-up, MARS schema integration, NETEM-based DDIL test rig, and the first multi-platform integration cycle. Production industrialisation is €12–20 M (2032–2038) and covers tooling, commissioning harness, training systems, and the operational stand-up of the signed-content pipeline. Sustainment stand-up cost is €4–8 M per year run-rate from 2034 onward and is treated as operating cost rather than NRE.</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Cost category</w:t>
            </w:r>
          </w:p>
        </w:tc>
        <w:tc>
          <w:tcPr>
            <w:tcW w:type="dxa" w:w="199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2026–2029 (€M)</w:t>
            </w:r>
          </w:p>
        </w:tc>
        <w:tc>
          <w:tcPr>
            <w:tcW w:type="dxa" w:w="199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2030–2034 (€M)</w:t>
            </w:r>
          </w:p>
        </w:tc>
        <w:tc>
          <w:tcPr>
            <w:tcW w:type="dxa" w:w="199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2035–2040 (€M)</w:t>
            </w:r>
          </w:p>
        </w:tc>
        <w:tc>
          <w:tcPr>
            <w:tcW w:type="dxa" w:w="199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Notes</w:t>
            </w:r>
          </w:p>
        </w:tc>
      </w:tr>
      <w:tr>
        <w:tc>
          <w:tcPr>
            <w:tcW w:type="dxa" w:w="1994"/>
            <w:tcBorders>
              <w:top w:val="single" w:sz="4" w:color="DDE5EF"/>
              <w:left w:val="single" w:sz="4" w:color="DDE5EF"/>
              <w:bottom w:val="single" w:sz="4" w:color="DDE5EF"/>
              <w:right w:val="single" w:sz="4" w:color="DDE5EF"/>
            </w:tcBorders>
          </w:tcPr>
          <w:p>
            <w:pPr>
              <w:spacing w:after="0"/>
            </w:pPr>
            <w:r>
              <w:rPr>
                <w:sz w:val="22"/>
              </w:rPr>
              <w:t>R&amp;T engineering (Phase 1B SPARTA slice)</w:t>
            </w:r>
          </w:p>
        </w:tc>
        <w:tc>
          <w:tcPr>
            <w:tcW w:type="dxa" w:w="1994"/>
            <w:tcBorders>
              <w:top w:val="single" w:sz="4" w:color="DDE5EF"/>
              <w:left w:val="single" w:sz="4" w:color="DDE5EF"/>
              <w:bottom w:val="single" w:sz="4" w:color="DDE5EF"/>
              <w:right w:val="single" w:sz="4" w:color="DDE5EF"/>
            </w:tcBorders>
          </w:tcPr>
          <w:p>
            <w:pPr>
              <w:spacing w:after="0"/>
            </w:pPr>
            <w:r>
              <w:rPr>
                <w:sz w:val="22"/>
              </w:rPr>
              <w:t>18–26</w:t>
            </w:r>
          </w:p>
        </w:tc>
        <w:tc>
          <w:tcPr>
            <w:tcW w:type="dxa" w:w="1994"/>
            <w:tcBorders>
              <w:top w:val="single" w:sz="4" w:color="DDE5EF"/>
              <w:left w:val="single" w:sz="4" w:color="DDE5EF"/>
              <w:bottom w:val="single" w:sz="4" w:color="DDE5EF"/>
              <w:right w:val="single" w:sz="4" w:color="DDE5EF"/>
            </w:tcBorders>
          </w:tcPr>
          <w:p>
            <w:pPr>
              <w:spacing w:after="0"/>
            </w:pPr>
            <w:r>
              <w:rPr>
                <w:sz w:val="22"/>
              </w:rPr>
              <w:t>8–12</w:t>
            </w:r>
          </w:p>
        </w:tc>
        <w:tc>
          <w:tcPr>
            <w:tcW w:type="dxa" w:w="1994"/>
            <w:tcBorders>
              <w:top w:val="single" w:sz="4" w:color="DDE5EF"/>
              <w:left w:val="single" w:sz="4" w:color="DDE5EF"/>
              <w:bottom w:val="single" w:sz="4" w:color="DDE5EF"/>
              <w:right w:val="single" w:sz="4" w:color="DDE5EF"/>
            </w:tcBorders>
          </w:tcPr>
          <w:p>
            <w:pPr>
              <w:spacing w:after="0"/>
            </w:pPr>
            <w:r>
              <w:rPr>
                <w:sz w:val="22"/>
              </w:rPr>
              <w:t>4–8</w:t>
            </w:r>
          </w:p>
        </w:tc>
        <w:tc>
          <w:tcPr>
            <w:tcW w:type="dxa" w:w="1994"/>
            <w:tcBorders>
              <w:top w:val="single" w:sz="4" w:color="DDE5EF"/>
              <w:left w:val="single" w:sz="4" w:color="DDE5EF"/>
              <w:bottom w:val="single" w:sz="4" w:color="DDE5EF"/>
              <w:right w:val="single" w:sz="4" w:color="DDE5EF"/>
            </w:tcBorders>
          </w:tcPr>
          <w:p>
            <w:pPr>
              <w:spacing w:after="0"/>
            </w:pPr>
            <w:r>
              <w:rPr>
                <w:sz w:val="22"/>
              </w:rPr>
              <w:t>Inside Pillar 4 contracted envelope</w:t>
            </w:r>
          </w:p>
        </w:tc>
      </w:tr>
      <w:tr>
        <w:tc>
          <w:tcPr>
            <w:tcW w:type="dxa" w:w="1994"/>
            <w:tcBorders>
              <w:top w:val="single" w:sz="4" w:color="DDE5EF"/>
              <w:left w:val="single" w:sz="4" w:color="DDE5EF"/>
              <w:bottom w:val="single" w:sz="4" w:color="DDE5EF"/>
              <w:right w:val="single" w:sz="4" w:color="DDE5EF"/>
            </w:tcBorders>
          </w:tcPr>
          <w:p>
            <w:pPr>
              <w:spacing w:after="0"/>
            </w:pPr>
            <w:r>
              <w:rPr>
                <w:sz w:val="22"/>
              </w:rPr>
              <w:t>Demonstrator integration (Phase 2)</w:t>
            </w:r>
          </w:p>
        </w:tc>
        <w:tc>
          <w:tcPr>
            <w:tcW w:type="dxa" w:w="1994"/>
            <w:tcBorders>
              <w:top w:val="single" w:sz="4" w:color="DDE5EF"/>
              <w:left w:val="single" w:sz="4" w:color="DDE5EF"/>
              <w:bottom w:val="single" w:sz="4" w:color="DDE5EF"/>
              <w:right w:val="single" w:sz="4" w:color="DDE5EF"/>
            </w:tcBorders>
          </w:tcPr>
          <w:p>
            <w:pPr>
              <w:spacing w:after="0"/>
            </w:pPr>
            <w:r>
              <w:rPr>
                <w:sz w:val="22"/>
              </w:rPr>
              <w:t>4–8</w:t>
            </w:r>
          </w:p>
        </w:tc>
        <w:tc>
          <w:tcPr>
            <w:tcW w:type="dxa" w:w="1994"/>
            <w:tcBorders>
              <w:top w:val="single" w:sz="4" w:color="DDE5EF"/>
              <w:left w:val="single" w:sz="4" w:color="DDE5EF"/>
              <w:bottom w:val="single" w:sz="4" w:color="DDE5EF"/>
              <w:right w:val="single" w:sz="4" w:color="DDE5EF"/>
            </w:tcBorders>
          </w:tcPr>
          <w:p>
            <w:pPr>
              <w:spacing w:after="0"/>
            </w:pPr>
            <w:r>
              <w:rPr>
                <w:sz w:val="22"/>
              </w:rPr>
              <w:t>20–32</w:t>
            </w:r>
          </w:p>
        </w:tc>
        <w:tc>
          <w:tcPr>
            <w:tcW w:type="dxa" w:w="1994"/>
            <w:tcBorders>
              <w:top w:val="single" w:sz="4" w:color="DDE5EF"/>
              <w:left w:val="single" w:sz="4" w:color="DDE5EF"/>
              <w:bottom w:val="single" w:sz="4" w:color="DDE5EF"/>
              <w:right w:val="single" w:sz="4" w:color="DDE5EF"/>
            </w:tcBorders>
          </w:tcPr>
          <w:p>
            <w:pPr>
              <w:spacing w:after="0"/>
            </w:pPr>
            <w:r>
              <w:rPr>
                <w:sz w:val="22"/>
              </w:rPr>
              <w:t>4–8</w:t>
            </w:r>
          </w:p>
        </w:tc>
        <w:tc>
          <w:tcPr>
            <w:tcW w:type="dxa" w:w="1994"/>
            <w:tcBorders>
              <w:top w:val="single" w:sz="4" w:color="DDE5EF"/>
              <w:left w:val="single" w:sz="4" w:color="DDE5EF"/>
              <w:bottom w:val="single" w:sz="4" w:color="DDE5EF"/>
              <w:right w:val="single" w:sz="4" w:color="DDE5EF"/>
            </w:tcBorders>
          </w:tcPr>
          <w:p>
            <w:pPr>
              <w:spacing w:after="0"/>
            </w:pPr>
            <w:r>
              <w:rPr>
                <w:sz w:val="22"/>
              </w:rPr>
              <w:t>Multi-node HIL + MARS schema integration</w:t>
            </w:r>
          </w:p>
        </w:tc>
      </w:tr>
      <w:tr>
        <w:tc>
          <w:tcPr>
            <w:tcW w:type="dxa" w:w="1994"/>
            <w:tcBorders>
              <w:top w:val="single" w:sz="4" w:color="DDE5EF"/>
              <w:left w:val="single" w:sz="4" w:color="DDE5EF"/>
              <w:bottom w:val="single" w:sz="4" w:color="DDE5EF"/>
              <w:right w:val="single" w:sz="4" w:color="DDE5EF"/>
            </w:tcBorders>
          </w:tcPr>
          <w:p>
            <w:pPr>
              <w:spacing w:after="0"/>
            </w:pPr>
            <w:r>
              <w:rPr>
                <w:sz w:val="22"/>
              </w:rPr>
              <w:t>Production industrialisation</w:t>
            </w:r>
          </w:p>
        </w:tc>
        <w:tc>
          <w:tcPr>
            <w:tcW w:type="dxa" w:w="1994"/>
            <w:tcBorders>
              <w:top w:val="single" w:sz="4" w:color="DDE5EF"/>
              <w:left w:val="single" w:sz="4" w:color="DDE5EF"/>
              <w:bottom w:val="single" w:sz="4" w:color="DDE5EF"/>
              <w:right w:val="single" w:sz="4" w:color="DDE5EF"/>
            </w:tcBorders>
          </w:tcPr>
          <w:p>
            <w:pPr>
              <w:spacing w:after="0"/>
            </w:pPr>
            <w:r>
              <w:rPr>
                <w:sz w:val="22"/>
              </w:rPr>
              <w:t>—</w:t>
            </w:r>
          </w:p>
        </w:tc>
        <w:tc>
          <w:tcPr>
            <w:tcW w:type="dxa" w:w="1994"/>
            <w:tcBorders>
              <w:top w:val="single" w:sz="4" w:color="DDE5EF"/>
              <w:left w:val="single" w:sz="4" w:color="DDE5EF"/>
              <w:bottom w:val="single" w:sz="4" w:color="DDE5EF"/>
              <w:right w:val="single" w:sz="4" w:color="DDE5EF"/>
            </w:tcBorders>
          </w:tcPr>
          <w:p>
            <w:pPr>
              <w:spacing w:after="0"/>
            </w:pPr>
            <w:r>
              <w:rPr>
                <w:sz w:val="22"/>
              </w:rPr>
              <w:t>8–14</w:t>
            </w:r>
          </w:p>
        </w:tc>
        <w:tc>
          <w:tcPr>
            <w:tcW w:type="dxa" w:w="1994"/>
            <w:tcBorders>
              <w:top w:val="single" w:sz="4" w:color="DDE5EF"/>
              <w:left w:val="single" w:sz="4" w:color="DDE5EF"/>
              <w:bottom w:val="single" w:sz="4" w:color="DDE5EF"/>
              <w:right w:val="single" w:sz="4" w:color="DDE5EF"/>
            </w:tcBorders>
          </w:tcPr>
          <w:p>
            <w:pPr>
              <w:spacing w:after="0"/>
            </w:pPr>
            <w:r>
              <w:rPr>
                <w:sz w:val="22"/>
              </w:rPr>
              <w:t>4–8</w:t>
            </w:r>
          </w:p>
        </w:tc>
        <w:tc>
          <w:tcPr>
            <w:tcW w:type="dxa" w:w="1994"/>
            <w:tcBorders>
              <w:top w:val="single" w:sz="4" w:color="DDE5EF"/>
              <w:left w:val="single" w:sz="4" w:color="DDE5EF"/>
              <w:bottom w:val="single" w:sz="4" w:color="DDE5EF"/>
              <w:right w:val="single" w:sz="4" w:color="DDE5EF"/>
            </w:tcBorders>
          </w:tcPr>
          <w:p>
            <w:pPr>
              <w:spacing w:after="0"/>
            </w:pPr>
            <w:r>
              <w:rPr>
                <w:sz w:val="22"/>
              </w:rPr>
              <w:t>Tooling, commissioning, training systems</w:t>
            </w:r>
          </w:p>
        </w:tc>
      </w:tr>
      <w:tr>
        <w:tc>
          <w:tcPr>
            <w:tcW w:type="dxa" w:w="1994"/>
            <w:tcBorders>
              <w:top w:val="single" w:sz="4" w:color="DDE5EF"/>
              <w:left w:val="single" w:sz="4" w:color="DDE5EF"/>
              <w:bottom w:val="single" w:sz="4" w:color="DDE5EF"/>
              <w:right w:val="single" w:sz="4" w:color="DDE5EF"/>
            </w:tcBorders>
          </w:tcPr>
          <w:p>
            <w:pPr>
              <w:spacing w:after="0"/>
            </w:pPr>
            <w:r>
              <w:rPr>
                <w:sz w:val="22"/>
              </w:rPr>
              <w:t>Sustainment stand-up (P4 pipeline)</w:t>
            </w:r>
          </w:p>
        </w:tc>
        <w:tc>
          <w:tcPr>
            <w:tcW w:type="dxa" w:w="1994"/>
            <w:tcBorders>
              <w:top w:val="single" w:sz="4" w:color="DDE5EF"/>
              <w:left w:val="single" w:sz="4" w:color="DDE5EF"/>
              <w:bottom w:val="single" w:sz="4" w:color="DDE5EF"/>
              <w:right w:val="single" w:sz="4" w:color="DDE5EF"/>
            </w:tcBorders>
          </w:tcPr>
          <w:p>
            <w:pPr>
              <w:spacing w:after="0"/>
            </w:pPr>
            <w:r>
              <w:rPr>
                <w:sz w:val="22"/>
              </w:rPr>
              <w:t>1–2</w:t>
            </w:r>
          </w:p>
        </w:tc>
        <w:tc>
          <w:tcPr>
            <w:tcW w:type="dxa" w:w="1994"/>
            <w:tcBorders>
              <w:top w:val="single" w:sz="4" w:color="DDE5EF"/>
              <w:left w:val="single" w:sz="4" w:color="DDE5EF"/>
              <w:bottom w:val="single" w:sz="4" w:color="DDE5EF"/>
              <w:right w:val="single" w:sz="4" w:color="DDE5EF"/>
            </w:tcBorders>
          </w:tcPr>
          <w:p>
            <w:pPr>
              <w:spacing w:after="0"/>
            </w:pPr>
            <w:r>
              <w:rPr>
                <w:sz w:val="22"/>
              </w:rPr>
              <w:t>3–5/yr</w:t>
            </w:r>
          </w:p>
        </w:tc>
        <w:tc>
          <w:tcPr>
            <w:tcW w:type="dxa" w:w="1994"/>
            <w:tcBorders>
              <w:top w:val="single" w:sz="4" w:color="DDE5EF"/>
              <w:left w:val="single" w:sz="4" w:color="DDE5EF"/>
              <w:bottom w:val="single" w:sz="4" w:color="DDE5EF"/>
              <w:right w:val="single" w:sz="4" w:color="DDE5EF"/>
            </w:tcBorders>
          </w:tcPr>
          <w:p>
            <w:pPr>
              <w:spacing w:after="0"/>
            </w:pPr>
            <w:r>
              <w:rPr>
                <w:sz w:val="22"/>
              </w:rPr>
              <w:t>4–8/yr</w:t>
            </w:r>
          </w:p>
        </w:tc>
        <w:tc>
          <w:tcPr>
            <w:tcW w:type="dxa" w:w="1994"/>
            <w:tcBorders>
              <w:top w:val="single" w:sz="4" w:color="DDE5EF"/>
              <w:left w:val="single" w:sz="4" w:color="DDE5EF"/>
              <w:bottom w:val="single" w:sz="4" w:color="DDE5EF"/>
              <w:right w:val="single" w:sz="4" w:color="DDE5EF"/>
            </w:tcBorders>
          </w:tcPr>
          <w:p>
            <w:pPr>
              <w:spacing w:after="0"/>
            </w:pPr>
            <w:r>
              <w:rPr>
                <w:sz w:val="22"/>
              </w:rPr>
              <w:t>Content pipeline ops + TSOC analyst overlay</w:t>
            </w:r>
          </w:p>
        </w:tc>
      </w:tr>
      <w:tr>
        <w:tc>
          <w:tcPr>
            <w:tcW w:type="dxa" w:w="1994"/>
            <w:tcBorders>
              <w:top w:val="single" w:sz="4" w:color="DDE5EF"/>
              <w:left w:val="single" w:sz="4" w:color="DDE5EF"/>
              <w:bottom w:val="single" w:sz="4" w:color="DDE5EF"/>
              <w:right w:val="single" w:sz="4" w:color="DDE5EF"/>
            </w:tcBorders>
          </w:tcPr>
          <w:p>
            <w:pPr>
              <w:spacing w:after="0"/>
            </w:pPr>
            <w:r>
              <w:rPr>
                <w:sz w:val="22"/>
              </w:rPr>
              <w:t>Go-to-market &amp; partner-engagement</w:t>
            </w:r>
          </w:p>
        </w:tc>
        <w:tc>
          <w:tcPr>
            <w:tcW w:type="dxa" w:w="1994"/>
            <w:tcBorders>
              <w:top w:val="single" w:sz="4" w:color="DDE5EF"/>
              <w:left w:val="single" w:sz="4" w:color="DDE5EF"/>
              <w:bottom w:val="single" w:sz="4" w:color="DDE5EF"/>
              <w:right w:val="single" w:sz="4" w:color="DDE5EF"/>
            </w:tcBorders>
          </w:tcPr>
          <w:p>
            <w:pPr>
              <w:spacing w:after="0"/>
            </w:pPr>
            <w:r>
              <w:rPr>
                <w:sz w:val="22"/>
              </w:rPr>
              <w:t>1.5–3</w:t>
            </w:r>
          </w:p>
        </w:tc>
        <w:tc>
          <w:tcPr>
            <w:tcW w:type="dxa" w:w="1994"/>
            <w:tcBorders>
              <w:top w:val="single" w:sz="4" w:color="DDE5EF"/>
              <w:left w:val="single" w:sz="4" w:color="DDE5EF"/>
              <w:bottom w:val="single" w:sz="4" w:color="DDE5EF"/>
              <w:right w:val="single" w:sz="4" w:color="DDE5EF"/>
            </w:tcBorders>
          </w:tcPr>
          <w:p>
            <w:pPr>
              <w:spacing w:after="0"/>
            </w:pPr>
            <w:r>
              <w:rPr>
                <w:sz w:val="22"/>
              </w:rPr>
              <w:t>2–4</w:t>
            </w:r>
          </w:p>
        </w:tc>
        <w:tc>
          <w:tcPr>
            <w:tcW w:type="dxa" w:w="1994"/>
            <w:tcBorders>
              <w:top w:val="single" w:sz="4" w:color="DDE5EF"/>
              <w:left w:val="single" w:sz="4" w:color="DDE5EF"/>
              <w:bottom w:val="single" w:sz="4" w:color="DDE5EF"/>
              <w:right w:val="single" w:sz="4" w:color="DDE5EF"/>
            </w:tcBorders>
          </w:tcPr>
          <w:p>
            <w:pPr>
              <w:spacing w:after="0"/>
            </w:pPr>
            <w:r>
              <w:rPr>
                <w:sz w:val="22"/>
              </w:rPr>
              <w:t>2–4</w:t>
            </w:r>
          </w:p>
        </w:tc>
        <w:tc>
          <w:tcPr>
            <w:tcW w:type="dxa" w:w="1994"/>
            <w:tcBorders>
              <w:top w:val="single" w:sz="4" w:color="DDE5EF"/>
              <w:left w:val="single" w:sz="4" w:color="DDE5EF"/>
              <w:bottom w:val="single" w:sz="4" w:color="DDE5EF"/>
              <w:right w:val="single" w:sz="4" w:color="DDE5EF"/>
            </w:tcBorders>
          </w:tcPr>
          <w:p>
            <w:pPr>
              <w:spacing w:after="0"/>
            </w:pPr>
            <w:r>
              <w:rPr>
                <w:sz w:val="22"/>
              </w:rPr>
              <w:t>Joint demos (Indra, Thales), EDF proposals</w:t>
            </w:r>
          </w:p>
        </w:tc>
      </w:tr>
      <w:tr>
        <w:tc>
          <w:tcPr>
            <w:tcW w:type="dxa" w:w="1994"/>
            <w:tcBorders>
              <w:top w:val="single" w:sz="4" w:color="DDE5EF"/>
              <w:left w:val="single" w:sz="4" w:color="DDE5EF"/>
              <w:bottom w:val="single" w:sz="4" w:color="DDE5EF"/>
              <w:right w:val="single" w:sz="4" w:color="DDE5EF"/>
            </w:tcBorders>
          </w:tcPr>
          <w:p>
            <w:pPr>
              <w:spacing w:after="0"/>
            </w:pPr>
            <w:r>
              <w:rPr>
                <w:sz w:val="22"/>
              </w:rPr>
              <w:t>Programme management overhead</w:t>
            </w:r>
          </w:p>
        </w:tc>
        <w:tc>
          <w:tcPr>
            <w:tcW w:type="dxa" w:w="1994"/>
            <w:tcBorders>
              <w:top w:val="single" w:sz="4" w:color="DDE5EF"/>
              <w:left w:val="single" w:sz="4" w:color="DDE5EF"/>
              <w:bottom w:val="single" w:sz="4" w:color="DDE5EF"/>
              <w:right w:val="single" w:sz="4" w:color="DDE5EF"/>
            </w:tcBorders>
          </w:tcPr>
          <w:p>
            <w:pPr>
              <w:spacing w:after="0"/>
            </w:pPr>
            <w:r>
              <w:rPr>
                <w:sz w:val="22"/>
              </w:rPr>
              <w:t>~10% of above</w:t>
            </w:r>
          </w:p>
        </w:tc>
        <w:tc>
          <w:tcPr>
            <w:tcW w:type="dxa" w:w="1994"/>
            <w:tcBorders>
              <w:top w:val="single" w:sz="4" w:color="DDE5EF"/>
              <w:left w:val="single" w:sz="4" w:color="DDE5EF"/>
              <w:bottom w:val="single" w:sz="4" w:color="DDE5EF"/>
              <w:right w:val="single" w:sz="4" w:color="DDE5EF"/>
            </w:tcBorders>
          </w:tcPr>
          <w:p>
            <w:pPr>
              <w:spacing w:after="0"/>
            </w:pPr>
            <w:r>
              <w:rPr>
                <w:sz w:val="22"/>
              </w:rPr>
              <w:t>~10%</w:t>
            </w:r>
          </w:p>
        </w:tc>
        <w:tc>
          <w:tcPr>
            <w:tcW w:type="dxa" w:w="1994"/>
            <w:tcBorders>
              <w:top w:val="single" w:sz="4" w:color="DDE5EF"/>
              <w:left w:val="single" w:sz="4" w:color="DDE5EF"/>
              <w:bottom w:val="single" w:sz="4" w:color="DDE5EF"/>
              <w:right w:val="single" w:sz="4" w:color="DDE5EF"/>
            </w:tcBorders>
          </w:tcPr>
          <w:p>
            <w:pPr>
              <w:spacing w:after="0"/>
            </w:pPr>
            <w:r>
              <w:rPr>
                <w:sz w:val="22"/>
              </w:rPr>
              <w:t>~10%</w:t>
            </w:r>
          </w:p>
        </w:tc>
        <w:tc>
          <w:tcPr>
            <w:tcW w:type="dxa" w:w="1994"/>
            <w:tcBorders>
              <w:top w:val="single" w:sz="4" w:color="DDE5EF"/>
              <w:left w:val="single" w:sz="4" w:color="DDE5EF"/>
              <w:bottom w:val="single" w:sz="4" w:color="DDE5EF"/>
              <w:right w:val="single" w:sz="4" w:color="DDE5EF"/>
            </w:tcBorders>
          </w:tcPr>
          <w:p>
            <w:pPr>
              <w:spacing w:after="0"/>
            </w:pPr>
            <w:r>
              <w:rPr>
                <w:sz w:val="22"/>
              </w:rPr>
              <w:t>Standard Airbus DS overhead</w:t>
            </w:r>
          </w:p>
        </w:tc>
      </w:tr>
    </w:tbl>
    <w:p>
      <w:pPr>
        <w:spacing w:after="40"/>
      </w:pPr>
    </w:p>
    <w:p>
      <w:pPr>
        <w:pStyle w:val="Heading3"/>
      </w:pPr>
      <w:r>
        <w:t>5.1.2 Cost structure characteristics</w:t>
      </w:r>
    </w:p>
    <w:p>
      <w:pPr>
        <w:spacing w:after="120"/>
      </w:pPr>
      <w:r>
        <w:rPr>
          <w:sz w:val="22"/>
        </w:rPr>
        <w:t>Two characteristics of this cost structure deserve explicit attention from the reviewer. First, it is front-loaded — approximately 50–55% of the non-recurring envelope falls inside the 2026–2032 window. This is consistent with the strategic imperative of anchoring SPARTA into the FCAS Combat Cloud schema before the schema freeze of 2028–2029, but it does create a cash-flow concentration in the early years that Airbus DS Finance should plan for. Second, the recurring operating cost beyond 2034 is modest in absolute terms (</w:t>
      </w:r>
      <w:r>
        <w:rPr>
          <w:b/>
          <w:sz w:val="22"/>
        </w:rPr>
        <w:t>€3.5–6 M/yr</w:t>
      </w:r>
      <w:r>
        <w:rPr>
          <w:sz w:val="22"/>
        </w:rPr>
        <w:t>, tightened from the original €4–8 M/yr envelope to reflect the revised staffing plan in §4.1.3) relative to the recurring revenue it generates by then (€18–30 M/yr) — implying a substantial recurring-services gross-margin contribution toward the second half of the horizon.</w:t>
      </w:r>
    </w:p>
    <w:p>
      <w:pPr>
        <w:spacing w:after="120"/>
      </w:pPr>
      <w:r>
        <w:rPr>
          <w:sz w:val="22"/>
        </w:rPr>
        <w:t xml:space="preserve">The revised manpower plan in §4.1.3 reduces the labour share inside the €58–88 M one-time engineering envelope from approximately €39 M to approximately </w:t>
      </w:r>
      <w:r>
        <w:rPr>
          <w:b/>
          <w:sz w:val="22"/>
        </w:rPr>
        <w:t>€22 M</w:t>
      </w:r>
      <w:r>
        <w:rPr>
          <w:sz w:val="22"/>
        </w:rPr>
        <w:t xml:space="preserve"> — freeing roughly €17 M of headroom for non-labour items (HIL rigs, NETEM test infrastructure, MARS schema integration NRE, contracted services). The total envelope is unchanged; its composition is more favourable.</w:t>
      </w:r>
    </w:p>
    <w:p>
      <w:pPr>
        <w:pStyle w:val="Heading2"/>
      </w:pPr>
      <w:r>
        <w:t>5.2 Revenue Model</w:t>
      </w:r>
    </w:p>
    <w:p>
      <w:pPr>
        <w:pStyle w:val="Heading3"/>
      </w:pPr>
      <w:r>
        <w:t>5.2.1 Three concurrent revenue streams</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Stream</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Pricing logic</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Margin character</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Recurring?</w:t>
            </w:r>
          </w:p>
        </w:tc>
      </w:tr>
      <w:tr>
        <w:tc>
          <w:tcPr>
            <w:tcW w:type="dxa" w:w="2493"/>
            <w:tcBorders>
              <w:top w:val="single" w:sz="4" w:color="DDE5EF"/>
              <w:left w:val="single" w:sz="4" w:color="DDE5EF"/>
              <w:bottom w:val="single" w:sz="4" w:color="DDE5EF"/>
              <w:right w:val="single" w:sz="4" w:color="DDE5EF"/>
            </w:tcBorders>
          </w:tcPr>
          <w:p>
            <w:pPr>
              <w:spacing w:after="0"/>
            </w:pPr>
            <w:r>
              <w:rPr>
                <w:b/>
                <w:sz w:val="22"/>
              </w:rPr>
              <w:t>S1 — FCAS Combat Cloud direct</w:t>
            </w:r>
          </w:p>
        </w:tc>
        <w:tc>
          <w:tcPr>
            <w:tcW w:type="dxa" w:w="2493"/>
            <w:tcBorders>
              <w:top w:val="single" w:sz="4" w:color="DDE5EF"/>
              <w:left w:val="single" w:sz="4" w:color="DDE5EF"/>
              <w:bottom w:val="single" w:sz="4" w:color="DDE5EF"/>
              <w:right w:val="single" w:sz="4" w:color="DDE5EF"/>
            </w:tcBorders>
          </w:tcPr>
          <w:p>
            <w:pPr>
              <w:spacing w:after="0"/>
            </w:pPr>
            <w:r>
              <w:rPr>
                <w:sz w:val="22"/>
              </w:rPr>
              <w:t>Workshare-anchored programme revenue inside Pillar 4; milestone-recognised</w:t>
            </w:r>
          </w:p>
        </w:tc>
        <w:tc>
          <w:tcPr>
            <w:tcW w:type="dxa" w:w="2493"/>
            <w:tcBorders>
              <w:top w:val="single" w:sz="4" w:color="DDE5EF"/>
              <w:left w:val="single" w:sz="4" w:color="DDE5EF"/>
              <w:bottom w:val="single" w:sz="4" w:color="DDE5EF"/>
              <w:right w:val="single" w:sz="4" w:color="DDE5EF"/>
            </w:tcBorders>
          </w:tcPr>
          <w:p>
            <w:pPr>
              <w:spacing w:after="0"/>
            </w:pPr>
            <w:r>
              <w:rPr>
                <w:sz w:val="22"/>
              </w:rPr>
              <w:t>Programme-typical defence-prime margins</w:t>
            </w:r>
          </w:p>
        </w:tc>
        <w:tc>
          <w:tcPr>
            <w:tcW w:type="dxa" w:w="2493"/>
            <w:tcBorders>
              <w:top w:val="single" w:sz="4" w:color="DDE5EF"/>
              <w:left w:val="single" w:sz="4" w:color="DDE5EF"/>
              <w:bottom w:val="single" w:sz="4" w:color="DDE5EF"/>
              <w:right w:val="single" w:sz="4" w:color="DDE5EF"/>
            </w:tcBorders>
          </w:tcPr>
          <w:p>
            <w:pPr>
              <w:spacing w:after="0"/>
            </w:pPr>
            <w:r>
              <w:rPr>
                <w:sz w:val="22"/>
              </w:rPr>
              <w:t>No (programme phase)</w:t>
            </w:r>
          </w:p>
        </w:tc>
      </w:tr>
      <w:tr>
        <w:tc>
          <w:tcPr>
            <w:tcW w:type="dxa" w:w="2493"/>
            <w:tcBorders>
              <w:top w:val="single" w:sz="4" w:color="DDE5EF"/>
              <w:left w:val="single" w:sz="4" w:color="DDE5EF"/>
              <w:bottom w:val="single" w:sz="4" w:color="DDE5EF"/>
              <w:right w:val="single" w:sz="4" w:color="DDE5EF"/>
            </w:tcBorders>
          </w:tcPr>
          <w:p>
            <w:pPr>
              <w:spacing w:after="0"/>
            </w:pPr>
            <w:r>
              <w:rPr>
                <w:b/>
                <w:sz w:val="22"/>
              </w:rPr>
              <w:t>S2 — Adjacent platform programmes</w:t>
            </w:r>
          </w:p>
        </w:tc>
        <w:tc>
          <w:tcPr>
            <w:tcW w:type="dxa" w:w="2493"/>
            <w:tcBorders>
              <w:top w:val="single" w:sz="4" w:color="DDE5EF"/>
              <w:left w:val="single" w:sz="4" w:color="DDE5EF"/>
              <w:bottom w:val="single" w:sz="4" w:color="DDE5EF"/>
              <w:right w:val="single" w:sz="4" w:color="DDE5EF"/>
            </w:tcBorders>
          </w:tcPr>
          <w:p>
            <w:pPr>
              <w:spacing w:after="0"/>
            </w:pPr>
            <w:r>
              <w:rPr>
                <w:sz w:val="22"/>
              </w:rPr>
              <w:t>NRE + integration fee per platform (Eurofighter LTE, Eurodrone, MRTT, A400M)</w:t>
            </w:r>
          </w:p>
        </w:tc>
        <w:tc>
          <w:tcPr>
            <w:tcW w:type="dxa" w:w="2493"/>
            <w:tcBorders>
              <w:top w:val="single" w:sz="4" w:color="DDE5EF"/>
              <w:left w:val="single" w:sz="4" w:color="DDE5EF"/>
              <w:bottom w:val="single" w:sz="4" w:color="DDE5EF"/>
              <w:right w:val="single" w:sz="4" w:color="DDE5EF"/>
            </w:tcBorders>
          </w:tcPr>
          <w:p>
            <w:pPr>
              <w:spacing w:after="0"/>
            </w:pPr>
            <w:r>
              <w:rPr>
                <w:sz w:val="22"/>
              </w:rPr>
              <w:t>Programme-typical with reuse uplift</w:t>
            </w:r>
          </w:p>
        </w:tc>
        <w:tc>
          <w:tcPr>
            <w:tcW w:type="dxa" w:w="2493"/>
            <w:tcBorders>
              <w:top w:val="single" w:sz="4" w:color="DDE5EF"/>
              <w:left w:val="single" w:sz="4" w:color="DDE5EF"/>
              <w:bottom w:val="single" w:sz="4" w:color="DDE5EF"/>
              <w:right w:val="single" w:sz="4" w:color="DDE5EF"/>
            </w:tcBorders>
          </w:tcPr>
          <w:p>
            <w:pPr>
              <w:spacing w:after="0"/>
            </w:pPr>
            <w:r>
              <w:rPr>
                <w:sz w:val="22"/>
              </w:rPr>
              <w:t>No (per integration)</w:t>
            </w:r>
          </w:p>
        </w:tc>
      </w:tr>
      <w:tr>
        <w:tc>
          <w:tcPr>
            <w:tcW w:type="dxa" w:w="2493"/>
            <w:tcBorders>
              <w:top w:val="single" w:sz="4" w:color="DDE5EF"/>
              <w:left w:val="single" w:sz="4" w:color="DDE5EF"/>
              <w:bottom w:val="single" w:sz="4" w:color="DDE5EF"/>
              <w:right w:val="single" w:sz="4" w:color="DDE5EF"/>
            </w:tcBorders>
          </w:tcPr>
          <w:p>
            <w:pPr>
              <w:spacing w:after="0"/>
            </w:pPr>
            <w:r>
              <w:rPr>
                <w:b/>
                <w:sz w:val="22"/>
              </w:rPr>
              <w:t>S3 — Recurring signed-content services</w:t>
            </w:r>
          </w:p>
        </w:tc>
        <w:tc>
          <w:tcPr>
            <w:tcW w:type="dxa" w:w="2493"/>
            <w:tcBorders>
              <w:top w:val="single" w:sz="4" w:color="DDE5EF"/>
              <w:left w:val="single" w:sz="4" w:color="DDE5EF"/>
              <w:bottom w:val="single" w:sz="4" w:color="DDE5EF"/>
              <w:right w:val="single" w:sz="4" w:color="DDE5EF"/>
            </w:tcBorders>
          </w:tcPr>
          <w:p>
            <w:pPr>
              <w:spacing w:after="0"/>
            </w:pPr>
            <w:r>
              <w:rPr>
                <w:sz w:val="22"/>
              </w:rPr>
              <w:t>Annual subscription per fleet for signed-content pipeline (rules, models, policies, threat profiles, malware verdicts)</w:t>
            </w:r>
          </w:p>
        </w:tc>
        <w:tc>
          <w:tcPr>
            <w:tcW w:type="dxa" w:w="2493"/>
            <w:tcBorders>
              <w:top w:val="single" w:sz="4" w:color="DDE5EF"/>
              <w:left w:val="single" w:sz="4" w:color="DDE5EF"/>
              <w:bottom w:val="single" w:sz="4" w:color="DDE5EF"/>
              <w:right w:val="single" w:sz="4" w:color="DDE5EF"/>
            </w:tcBorders>
          </w:tcPr>
          <w:p>
            <w:pPr>
              <w:spacing w:after="0"/>
            </w:pPr>
            <w:r>
              <w:rPr>
                <w:sz w:val="22"/>
              </w:rPr>
              <w:t>Software-services margin (target 55–65% gross)</w:t>
            </w:r>
          </w:p>
        </w:tc>
        <w:tc>
          <w:tcPr>
            <w:tcW w:type="dxa" w:w="2493"/>
            <w:tcBorders>
              <w:top w:val="single" w:sz="4" w:color="DDE5EF"/>
              <w:left w:val="single" w:sz="4" w:color="DDE5EF"/>
              <w:bottom w:val="single" w:sz="4" w:color="DDE5EF"/>
              <w:right w:val="single" w:sz="4" w:color="DDE5EF"/>
            </w:tcBorders>
          </w:tcPr>
          <w:p>
            <w:pPr>
              <w:spacing w:after="0"/>
            </w:pPr>
            <w:r>
              <w:rPr>
                <w:b/>
                <w:sz w:val="22"/>
              </w:rPr>
              <w:t>Yes</w:t>
            </w:r>
          </w:p>
        </w:tc>
      </w:tr>
    </w:tbl>
    <w:p>
      <w:pPr>
        <w:spacing w:after="40"/>
      </w:pPr>
    </w:p>
    <w:p>
      <w:pPr>
        <w:pStyle w:val="Heading3"/>
      </w:pPr>
      <w:r>
        <w:t>5.2.2 Unit economics — recurring content stream</w:t>
      </w:r>
    </w:p>
    <w:p>
      <w:pPr>
        <w:spacing w:after="120"/>
      </w:pPr>
      <w:r>
        <w:rPr>
          <w:sz w:val="22"/>
        </w:rPr>
        <w:t xml:space="preserve">Unit economics on the recurring content stream (S3) are pivotal to the long-horizon P&amp;L texture. Annual recurring revenue (ARR) per served fleet at steady state is modelled at €2–6 M depending on fleet size and content scope </w:t>
      </w:r>
      <w:r>
        <w:rPr>
          <w:sz w:val="22"/>
        </w:rPr>
        <w:t xml:space="preserve">. Customer acquisition cost (CAC) is amortised across programme NRE and effectively shared with platform-integration cost — meaning the marginal CAC on adding a content subscription to an already-integrated fleet is small. Gross margin on content subscription is modelled at 55–65%, anchored on managed-security-service comparators in the SIPRI European Defence Industrial Base monographs [R-24] and the FACE / OMS cost benchmarks [R-19] </w:t>
      </w:r>
      <w:r>
        <w:rPr>
          <w:sz w:val="22"/>
        </w:rPr>
        <w:t>. Churn is structurally low because re-accreditation friction makes switching prohibitive — modelled at 3–6% annual after Year 3. The resulting target lifetime-value to acquisition-cost ratio (LTV/CAC) is approximately 6× by Year 5 of a served fleet.</w:t>
      </w:r>
    </w:p>
    <w:p>
      <w:pPr>
        <w:pStyle w:val="Heading3"/>
      </w:pPr>
      <w:r>
        <w:t>5.2.3 Annual revenue build-up — base case</w:t>
      </w:r>
    </w:p>
    <w:p>
      <w:pPr>
        <w:spacing w:before="120" w:after="40"/>
        <w:jc w:val="center"/>
      </w:pPr>
      <w:r>
        <w:drawing>
          <wp:inline xmlns:a="http://schemas.openxmlformats.org/drawingml/2006/main" xmlns:pic="http://schemas.openxmlformats.org/drawingml/2006/picture">
            <wp:extent cx="5943600" cy="2122714"/>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943600" cy="2122714"/>
                    </a:xfrm>
                    <a:prstGeom prst="rect"/>
                  </pic:spPr>
                </pic:pic>
              </a:graphicData>
            </a:graphic>
          </wp:inline>
        </w:drawing>
      </w:r>
    </w:p>
    <w:p>
      <w:pPr>
        <w:spacing w:before="0" w:after="120"/>
        <w:jc w:val="center"/>
      </w:pPr>
      <w:r>
        <w:rPr>
          <w:i/>
          <w:color w:val="52627A"/>
          <w:sz w:val="19"/>
        </w:rPr>
        <w:t>Figure 5. Base-case annual revenue build-up 2026–2040 (€M, constant 2026€). The mix evolves from FCAS-direct dominance in the early years through balanced contribution from adjacent programmes (Eurofighter LTE, Eurodrone, MRTT, A400M) in the mid-2030s to recurring-services dominance in the late 2030s. Cumulative base-case revenue is €773M (FCAS direct €402M + recurring €217M + adjacent €154M).</w:t>
      </w:r>
    </w:p>
    <w:p>
      <w:pPr>
        <w:pStyle w:val="Heading2"/>
      </w:pPr>
      <w:r>
        <w:t>5.3 Profitability</w:t>
      </w:r>
    </w:p>
    <w:p>
      <w:pPr>
        <w:pStyle w:val="Heading3"/>
      </w:pPr>
      <w:r>
        <w:t>5.3.1 Annual revenue / cost roll-up</w:t>
      </w:r>
    </w:p>
    <w:p>
      <w:pPr>
        <w:spacing w:after="120"/>
      </w:pPr>
      <w:r>
        <w:rPr>
          <w:sz w:val="22"/>
        </w:rPr>
        <w:t>The full 15-year base-case revenue table is shown below. Revenue recognition assumptions: FCAS direct revenue is milestone-recognised against the Pillar 4 workshare; recurring services are recognised linearly over the signed-content subscription period; adjacent programmes are recognised on Eurofighter LTE / Eurodrone / MRTT integration milestones. The recurring-services curve assumes one new fleet onboarded per year between 2029 and 2034, reaching steady-state ARR by 2036.</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Year</w:t>
            </w:r>
          </w:p>
        </w:tc>
        <w:tc>
          <w:tcPr>
            <w:tcW w:type="dxa" w:w="199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FCAS direct</w:t>
            </w:r>
          </w:p>
        </w:tc>
        <w:tc>
          <w:tcPr>
            <w:tcW w:type="dxa" w:w="199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Recurring</w:t>
            </w:r>
          </w:p>
        </w:tc>
        <w:tc>
          <w:tcPr>
            <w:tcW w:type="dxa" w:w="199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Adjacent</w:t>
            </w:r>
          </w:p>
        </w:tc>
        <w:tc>
          <w:tcPr>
            <w:tcW w:type="dxa" w:w="1994"/>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Total</w:t>
            </w:r>
          </w:p>
        </w:tc>
      </w:tr>
      <w:tr>
        <w:tc>
          <w:tcPr>
            <w:tcW w:type="dxa" w:w="1994"/>
            <w:tcBorders>
              <w:top w:val="single" w:sz="4" w:color="DDE5EF"/>
              <w:left w:val="single" w:sz="4" w:color="DDE5EF"/>
              <w:bottom w:val="single" w:sz="4" w:color="DDE5EF"/>
              <w:right w:val="single" w:sz="4" w:color="DDE5EF"/>
            </w:tcBorders>
          </w:tcPr>
          <w:p>
            <w:pPr>
              <w:spacing w:after="0"/>
            </w:pPr>
            <w:r>
              <w:rPr>
                <w:sz w:val="22"/>
              </w:rPr>
              <w:t>2026</w:t>
            </w:r>
          </w:p>
        </w:tc>
        <w:tc>
          <w:tcPr>
            <w:tcW w:type="dxa" w:w="1994"/>
            <w:tcBorders>
              <w:top w:val="single" w:sz="4" w:color="DDE5EF"/>
              <w:left w:val="single" w:sz="4" w:color="DDE5EF"/>
              <w:bottom w:val="single" w:sz="4" w:color="DDE5EF"/>
              <w:right w:val="single" w:sz="4" w:color="DDE5EF"/>
            </w:tcBorders>
          </w:tcPr>
          <w:p>
            <w:pPr>
              <w:spacing w:after="0"/>
            </w:pPr>
            <w:r>
              <w:rPr>
                <w:sz w:val="22"/>
              </w:rPr>
              <w:t>4</w:t>
            </w:r>
          </w:p>
        </w:tc>
        <w:tc>
          <w:tcPr>
            <w:tcW w:type="dxa" w:w="1994"/>
            <w:tcBorders>
              <w:top w:val="single" w:sz="4" w:color="DDE5EF"/>
              <w:left w:val="single" w:sz="4" w:color="DDE5EF"/>
              <w:bottom w:val="single" w:sz="4" w:color="DDE5EF"/>
              <w:right w:val="single" w:sz="4" w:color="DDE5EF"/>
            </w:tcBorders>
          </w:tcPr>
          <w:p>
            <w:pPr>
              <w:spacing w:after="0"/>
            </w:pPr>
            <w:r>
              <w:rPr>
                <w:sz w:val="22"/>
              </w:rPr>
              <w:t>0</w:t>
            </w:r>
          </w:p>
        </w:tc>
        <w:tc>
          <w:tcPr>
            <w:tcW w:type="dxa" w:w="1994"/>
            <w:tcBorders>
              <w:top w:val="single" w:sz="4" w:color="DDE5EF"/>
              <w:left w:val="single" w:sz="4" w:color="DDE5EF"/>
              <w:bottom w:val="single" w:sz="4" w:color="DDE5EF"/>
              <w:right w:val="single" w:sz="4" w:color="DDE5EF"/>
            </w:tcBorders>
          </w:tcPr>
          <w:p>
            <w:pPr>
              <w:spacing w:after="0"/>
            </w:pPr>
            <w:r>
              <w:rPr>
                <w:sz w:val="22"/>
              </w:rPr>
              <w:t>0</w:t>
            </w:r>
          </w:p>
        </w:tc>
        <w:tc>
          <w:tcPr>
            <w:tcW w:type="dxa" w:w="1994"/>
            <w:tcBorders>
              <w:top w:val="single" w:sz="4" w:color="DDE5EF"/>
              <w:left w:val="single" w:sz="4" w:color="DDE5EF"/>
              <w:bottom w:val="single" w:sz="4" w:color="DDE5EF"/>
              <w:right w:val="single" w:sz="4" w:color="DDE5EF"/>
            </w:tcBorders>
          </w:tcPr>
          <w:p>
            <w:pPr>
              <w:spacing w:after="0"/>
            </w:pPr>
            <w:r>
              <w:rPr>
                <w:sz w:val="22"/>
              </w:rPr>
              <w:t>4</w:t>
            </w:r>
          </w:p>
        </w:tc>
      </w:tr>
      <w:tr>
        <w:tc>
          <w:tcPr>
            <w:tcW w:type="dxa" w:w="1994"/>
            <w:tcBorders>
              <w:top w:val="single" w:sz="4" w:color="DDE5EF"/>
              <w:left w:val="single" w:sz="4" w:color="DDE5EF"/>
              <w:bottom w:val="single" w:sz="4" w:color="DDE5EF"/>
              <w:right w:val="single" w:sz="4" w:color="DDE5EF"/>
            </w:tcBorders>
          </w:tcPr>
          <w:p>
            <w:pPr>
              <w:spacing w:after="0"/>
            </w:pPr>
            <w:r>
              <w:rPr>
                <w:sz w:val="22"/>
              </w:rPr>
              <w:t>2027</w:t>
            </w:r>
          </w:p>
        </w:tc>
        <w:tc>
          <w:tcPr>
            <w:tcW w:type="dxa" w:w="1994"/>
            <w:tcBorders>
              <w:top w:val="single" w:sz="4" w:color="DDE5EF"/>
              <w:left w:val="single" w:sz="4" w:color="DDE5EF"/>
              <w:bottom w:val="single" w:sz="4" w:color="DDE5EF"/>
              <w:right w:val="single" w:sz="4" w:color="DDE5EF"/>
            </w:tcBorders>
          </w:tcPr>
          <w:p>
            <w:pPr>
              <w:spacing w:after="0"/>
            </w:pPr>
            <w:r>
              <w:rPr>
                <w:sz w:val="22"/>
              </w:rPr>
              <w:t>8</w:t>
            </w:r>
          </w:p>
        </w:tc>
        <w:tc>
          <w:tcPr>
            <w:tcW w:type="dxa" w:w="1994"/>
            <w:tcBorders>
              <w:top w:val="single" w:sz="4" w:color="DDE5EF"/>
              <w:left w:val="single" w:sz="4" w:color="DDE5EF"/>
              <w:bottom w:val="single" w:sz="4" w:color="DDE5EF"/>
              <w:right w:val="single" w:sz="4" w:color="DDE5EF"/>
            </w:tcBorders>
          </w:tcPr>
          <w:p>
            <w:pPr>
              <w:spacing w:after="0"/>
            </w:pPr>
            <w:r>
              <w:rPr>
                <w:sz w:val="22"/>
              </w:rPr>
              <w:t>0</w:t>
            </w:r>
          </w:p>
        </w:tc>
        <w:tc>
          <w:tcPr>
            <w:tcW w:type="dxa" w:w="1994"/>
            <w:tcBorders>
              <w:top w:val="single" w:sz="4" w:color="DDE5EF"/>
              <w:left w:val="single" w:sz="4" w:color="DDE5EF"/>
              <w:bottom w:val="single" w:sz="4" w:color="DDE5EF"/>
              <w:right w:val="single" w:sz="4" w:color="DDE5EF"/>
            </w:tcBorders>
          </w:tcPr>
          <w:p>
            <w:pPr>
              <w:spacing w:after="0"/>
            </w:pPr>
            <w:r>
              <w:rPr>
                <w:sz w:val="22"/>
              </w:rPr>
              <w:t>0</w:t>
            </w:r>
          </w:p>
        </w:tc>
        <w:tc>
          <w:tcPr>
            <w:tcW w:type="dxa" w:w="1994"/>
            <w:tcBorders>
              <w:top w:val="single" w:sz="4" w:color="DDE5EF"/>
              <w:left w:val="single" w:sz="4" w:color="DDE5EF"/>
              <w:bottom w:val="single" w:sz="4" w:color="DDE5EF"/>
              <w:right w:val="single" w:sz="4" w:color="DDE5EF"/>
            </w:tcBorders>
          </w:tcPr>
          <w:p>
            <w:pPr>
              <w:spacing w:after="0"/>
            </w:pPr>
            <w:r>
              <w:rPr>
                <w:sz w:val="22"/>
              </w:rPr>
              <w:t>8</w:t>
            </w:r>
          </w:p>
        </w:tc>
      </w:tr>
      <w:tr>
        <w:tc>
          <w:tcPr>
            <w:tcW w:type="dxa" w:w="1994"/>
            <w:tcBorders>
              <w:top w:val="single" w:sz="4" w:color="DDE5EF"/>
              <w:left w:val="single" w:sz="4" w:color="DDE5EF"/>
              <w:bottom w:val="single" w:sz="4" w:color="DDE5EF"/>
              <w:right w:val="single" w:sz="4" w:color="DDE5EF"/>
            </w:tcBorders>
          </w:tcPr>
          <w:p>
            <w:pPr>
              <w:spacing w:after="0"/>
            </w:pPr>
            <w:r>
              <w:rPr>
                <w:sz w:val="22"/>
              </w:rPr>
              <w:t>2028</w:t>
            </w:r>
          </w:p>
        </w:tc>
        <w:tc>
          <w:tcPr>
            <w:tcW w:type="dxa" w:w="1994"/>
            <w:tcBorders>
              <w:top w:val="single" w:sz="4" w:color="DDE5EF"/>
              <w:left w:val="single" w:sz="4" w:color="DDE5EF"/>
              <w:bottom w:val="single" w:sz="4" w:color="DDE5EF"/>
              <w:right w:val="single" w:sz="4" w:color="DDE5EF"/>
            </w:tcBorders>
          </w:tcPr>
          <w:p>
            <w:pPr>
              <w:spacing w:after="0"/>
            </w:pPr>
            <w:r>
              <w:rPr>
                <w:sz w:val="22"/>
              </w:rPr>
              <w:t>14</w:t>
            </w:r>
          </w:p>
        </w:tc>
        <w:tc>
          <w:tcPr>
            <w:tcW w:type="dxa" w:w="1994"/>
            <w:tcBorders>
              <w:top w:val="single" w:sz="4" w:color="DDE5EF"/>
              <w:left w:val="single" w:sz="4" w:color="DDE5EF"/>
              <w:bottom w:val="single" w:sz="4" w:color="DDE5EF"/>
              <w:right w:val="single" w:sz="4" w:color="DDE5EF"/>
            </w:tcBorders>
          </w:tcPr>
          <w:p>
            <w:pPr>
              <w:spacing w:after="0"/>
            </w:pPr>
            <w:r>
              <w:rPr>
                <w:sz w:val="22"/>
              </w:rPr>
              <w:t>0</w:t>
            </w:r>
          </w:p>
        </w:tc>
        <w:tc>
          <w:tcPr>
            <w:tcW w:type="dxa" w:w="1994"/>
            <w:tcBorders>
              <w:top w:val="single" w:sz="4" w:color="DDE5EF"/>
              <w:left w:val="single" w:sz="4" w:color="DDE5EF"/>
              <w:bottom w:val="single" w:sz="4" w:color="DDE5EF"/>
              <w:right w:val="single" w:sz="4" w:color="DDE5EF"/>
            </w:tcBorders>
          </w:tcPr>
          <w:p>
            <w:pPr>
              <w:spacing w:after="0"/>
            </w:pPr>
            <w:r>
              <w:rPr>
                <w:sz w:val="22"/>
              </w:rPr>
              <w:t>2</w:t>
            </w:r>
          </w:p>
        </w:tc>
        <w:tc>
          <w:tcPr>
            <w:tcW w:type="dxa" w:w="1994"/>
            <w:tcBorders>
              <w:top w:val="single" w:sz="4" w:color="DDE5EF"/>
              <w:left w:val="single" w:sz="4" w:color="DDE5EF"/>
              <w:bottom w:val="single" w:sz="4" w:color="DDE5EF"/>
              <w:right w:val="single" w:sz="4" w:color="DDE5EF"/>
            </w:tcBorders>
          </w:tcPr>
          <w:p>
            <w:pPr>
              <w:spacing w:after="0"/>
            </w:pPr>
            <w:r>
              <w:rPr>
                <w:sz w:val="22"/>
              </w:rPr>
              <w:t>16</w:t>
            </w:r>
          </w:p>
        </w:tc>
      </w:tr>
      <w:tr>
        <w:tc>
          <w:tcPr>
            <w:tcW w:type="dxa" w:w="1994"/>
            <w:tcBorders>
              <w:top w:val="single" w:sz="4" w:color="DDE5EF"/>
              <w:left w:val="single" w:sz="4" w:color="DDE5EF"/>
              <w:bottom w:val="single" w:sz="4" w:color="DDE5EF"/>
              <w:right w:val="single" w:sz="4" w:color="DDE5EF"/>
            </w:tcBorders>
          </w:tcPr>
          <w:p>
            <w:pPr>
              <w:spacing w:after="0"/>
            </w:pPr>
            <w:r>
              <w:rPr>
                <w:sz w:val="22"/>
              </w:rPr>
              <w:t>2029</w:t>
            </w:r>
          </w:p>
        </w:tc>
        <w:tc>
          <w:tcPr>
            <w:tcW w:type="dxa" w:w="1994"/>
            <w:tcBorders>
              <w:top w:val="single" w:sz="4" w:color="DDE5EF"/>
              <w:left w:val="single" w:sz="4" w:color="DDE5EF"/>
              <w:bottom w:val="single" w:sz="4" w:color="DDE5EF"/>
              <w:right w:val="single" w:sz="4" w:color="DDE5EF"/>
            </w:tcBorders>
          </w:tcPr>
          <w:p>
            <w:pPr>
              <w:spacing w:after="0"/>
            </w:pPr>
            <w:r>
              <w:rPr>
                <w:sz w:val="22"/>
              </w:rPr>
              <w:t>22</w:t>
            </w:r>
          </w:p>
        </w:tc>
        <w:tc>
          <w:tcPr>
            <w:tcW w:type="dxa" w:w="1994"/>
            <w:tcBorders>
              <w:top w:val="single" w:sz="4" w:color="DDE5EF"/>
              <w:left w:val="single" w:sz="4" w:color="DDE5EF"/>
              <w:bottom w:val="single" w:sz="4" w:color="DDE5EF"/>
              <w:right w:val="single" w:sz="4" w:color="DDE5EF"/>
            </w:tcBorders>
          </w:tcPr>
          <w:p>
            <w:pPr>
              <w:spacing w:after="0"/>
            </w:pPr>
            <w:r>
              <w:rPr>
                <w:sz w:val="22"/>
              </w:rPr>
              <w:t>1</w:t>
            </w:r>
          </w:p>
        </w:tc>
        <w:tc>
          <w:tcPr>
            <w:tcW w:type="dxa" w:w="1994"/>
            <w:tcBorders>
              <w:top w:val="single" w:sz="4" w:color="DDE5EF"/>
              <w:left w:val="single" w:sz="4" w:color="DDE5EF"/>
              <w:bottom w:val="single" w:sz="4" w:color="DDE5EF"/>
              <w:right w:val="single" w:sz="4" w:color="DDE5EF"/>
            </w:tcBorders>
          </w:tcPr>
          <w:p>
            <w:pPr>
              <w:spacing w:after="0"/>
            </w:pPr>
            <w:r>
              <w:rPr>
                <w:sz w:val="22"/>
              </w:rPr>
              <w:t>4</w:t>
            </w:r>
          </w:p>
        </w:tc>
        <w:tc>
          <w:tcPr>
            <w:tcW w:type="dxa" w:w="1994"/>
            <w:tcBorders>
              <w:top w:val="single" w:sz="4" w:color="DDE5EF"/>
              <w:left w:val="single" w:sz="4" w:color="DDE5EF"/>
              <w:bottom w:val="single" w:sz="4" w:color="DDE5EF"/>
              <w:right w:val="single" w:sz="4" w:color="DDE5EF"/>
            </w:tcBorders>
          </w:tcPr>
          <w:p>
            <w:pPr>
              <w:spacing w:after="0"/>
            </w:pPr>
            <w:r>
              <w:rPr>
                <w:sz w:val="22"/>
              </w:rPr>
              <w:t>27</w:t>
            </w:r>
          </w:p>
        </w:tc>
      </w:tr>
      <w:tr>
        <w:tc>
          <w:tcPr>
            <w:tcW w:type="dxa" w:w="1994"/>
            <w:tcBorders>
              <w:top w:val="single" w:sz="4" w:color="DDE5EF"/>
              <w:left w:val="single" w:sz="4" w:color="DDE5EF"/>
              <w:bottom w:val="single" w:sz="4" w:color="DDE5EF"/>
              <w:right w:val="single" w:sz="4" w:color="DDE5EF"/>
            </w:tcBorders>
          </w:tcPr>
          <w:p>
            <w:pPr>
              <w:spacing w:after="0"/>
            </w:pPr>
            <w:r>
              <w:rPr>
                <w:sz w:val="22"/>
              </w:rPr>
              <w:t>2030</w:t>
            </w:r>
          </w:p>
        </w:tc>
        <w:tc>
          <w:tcPr>
            <w:tcW w:type="dxa" w:w="1994"/>
            <w:tcBorders>
              <w:top w:val="single" w:sz="4" w:color="DDE5EF"/>
              <w:left w:val="single" w:sz="4" w:color="DDE5EF"/>
              <w:bottom w:val="single" w:sz="4" w:color="DDE5EF"/>
              <w:right w:val="single" w:sz="4" w:color="DDE5EF"/>
            </w:tcBorders>
          </w:tcPr>
          <w:p>
            <w:pPr>
              <w:spacing w:after="0"/>
            </w:pPr>
            <w:r>
              <w:rPr>
                <w:sz w:val="22"/>
              </w:rPr>
              <w:t>28</w:t>
            </w:r>
          </w:p>
        </w:tc>
        <w:tc>
          <w:tcPr>
            <w:tcW w:type="dxa" w:w="1994"/>
            <w:tcBorders>
              <w:top w:val="single" w:sz="4" w:color="DDE5EF"/>
              <w:left w:val="single" w:sz="4" w:color="DDE5EF"/>
              <w:bottom w:val="single" w:sz="4" w:color="DDE5EF"/>
              <w:right w:val="single" w:sz="4" w:color="DDE5EF"/>
            </w:tcBorders>
          </w:tcPr>
          <w:p>
            <w:pPr>
              <w:spacing w:after="0"/>
            </w:pPr>
            <w:r>
              <w:rPr>
                <w:sz w:val="22"/>
              </w:rPr>
              <w:t>3</w:t>
            </w:r>
          </w:p>
        </w:tc>
        <w:tc>
          <w:tcPr>
            <w:tcW w:type="dxa" w:w="1994"/>
            <w:tcBorders>
              <w:top w:val="single" w:sz="4" w:color="DDE5EF"/>
              <w:left w:val="single" w:sz="4" w:color="DDE5EF"/>
              <w:bottom w:val="single" w:sz="4" w:color="DDE5EF"/>
              <w:right w:val="single" w:sz="4" w:color="DDE5EF"/>
            </w:tcBorders>
          </w:tcPr>
          <w:p>
            <w:pPr>
              <w:spacing w:after="0"/>
            </w:pPr>
            <w:r>
              <w:rPr>
                <w:sz w:val="22"/>
              </w:rPr>
              <w:t>6</w:t>
            </w:r>
          </w:p>
        </w:tc>
        <w:tc>
          <w:tcPr>
            <w:tcW w:type="dxa" w:w="1994"/>
            <w:tcBorders>
              <w:top w:val="single" w:sz="4" w:color="DDE5EF"/>
              <w:left w:val="single" w:sz="4" w:color="DDE5EF"/>
              <w:bottom w:val="single" w:sz="4" w:color="DDE5EF"/>
              <w:right w:val="single" w:sz="4" w:color="DDE5EF"/>
            </w:tcBorders>
          </w:tcPr>
          <w:p>
            <w:pPr>
              <w:spacing w:after="0"/>
            </w:pPr>
            <w:r>
              <w:rPr>
                <w:sz w:val="22"/>
              </w:rPr>
              <w:t>37</w:t>
            </w:r>
          </w:p>
        </w:tc>
      </w:tr>
      <w:tr>
        <w:tc>
          <w:tcPr>
            <w:tcW w:type="dxa" w:w="1994"/>
            <w:tcBorders>
              <w:top w:val="single" w:sz="4" w:color="DDE5EF"/>
              <w:left w:val="single" w:sz="4" w:color="DDE5EF"/>
              <w:bottom w:val="single" w:sz="4" w:color="DDE5EF"/>
              <w:right w:val="single" w:sz="4" w:color="DDE5EF"/>
            </w:tcBorders>
          </w:tcPr>
          <w:p>
            <w:pPr>
              <w:spacing w:after="0"/>
            </w:pPr>
            <w:r>
              <w:rPr>
                <w:sz w:val="22"/>
              </w:rPr>
              <w:t>2031</w:t>
            </w:r>
          </w:p>
        </w:tc>
        <w:tc>
          <w:tcPr>
            <w:tcW w:type="dxa" w:w="1994"/>
            <w:tcBorders>
              <w:top w:val="single" w:sz="4" w:color="DDE5EF"/>
              <w:left w:val="single" w:sz="4" w:color="DDE5EF"/>
              <w:bottom w:val="single" w:sz="4" w:color="DDE5EF"/>
              <w:right w:val="single" w:sz="4" w:color="DDE5EF"/>
            </w:tcBorders>
          </w:tcPr>
          <w:p>
            <w:pPr>
              <w:spacing w:after="0"/>
            </w:pPr>
            <w:r>
              <w:rPr>
                <w:sz w:val="22"/>
              </w:rPr>
              <w:t>30</w:t>
            </w:r>
          </w:p>
        </w:tc>
        <w:tc>
          <w:tcPr>
            <w:tcW w:type="dxa" w:w="1994"/>
            <w:tcBorders>
              <w:top w:val="single" w:sz="4" w:color="DDE5EF"/>
              <w:left w:val="single" w:sz="4" w:color="DDE5EF"/>
              <w:bottom w:val="single" w:sz="4" w:color="DDE5EF"/>
              <w:right w:val="single" w:sz="4" w:color="DDE5EF"/>
            </w:tcBorders>
          </w:tcPr>
          <w:p>
            <w:pPr>
              <w:spacing w:after="0"/>
            </w:pPr>
            <w:r>
              <w:rPr>
                <w:sz w:val="22"/>
              </w:rPr>
              <w:t>6</w:t>
            </w:r>
          </w:p>
        </w:tc>
        <w:tc>
          <w:tcPr>
            <w:tcW w:type="dxa" w:w="1994"/>
            <w:tcBorders>
              <w:top w:val="single" w:sz="4" w:color="DDE5EF"/>
              <w:left w:val="single" w:sz="4" w:color="DDE5EF"/>
              <w:bottom w:val="single" w:sz="4" w:color="DDE5EF"/>
              <w:right w:val="single" w:sz="4" w:color="DDE5EF"/>
            </w:tcBorders>
          </w:tcPr>
          <w:p>
            <w:pPr>
              <w:spacing w:after="0"/>
            </w:pPr>
            <w:r>
              <w:rPr>
                <w:sz w:val="22"/>
              </w:rPr>
              <w:t>9</w:t>
            </w:r>
          </w:p>
        </w:tc>
        <w:tc>
          <w:tcPr>
            <w:tcW w:type="dxa" w:w="1994"/>
            <w:tcBorders>
              <w:top w:val="single" w:sz="4" w:color="DDE5EF"/>
              <w:left w:val="single" w:sz="4" w:color="DDE5EF"/>
              <w:bottom w:val="single" w:sz="4" w:color="DDE5EF"/>
              <w:right w:val="single" w:sz="4" w:color="DDE5EF"/>
            </w:tcBorders>
          </w:tcPr>
          <w:p>
            <w:pPr>
              <w:spacing w:after="0"/>
            </w:pPr>
            <w:r>
              <w:rPr>
                <w:sz w:val="22"/>
              </w:rPr>
              <w:t>45</w:t>
            </w:r>
          </w:p>
        </w:tc>
      </w:tr>
      <w:tr>
        <w:tc>
          <w:tcPr>
            <w:tcW w:type="dxa" w:w="1994"/>
            <w:tcBorders>
              <w:top w:val="single" w:sz="4" w:color="DDE5EF"/>
              <w:left w:val="single" w:sz="4" w:color="DDE5EF"/>
              <w:bottom w:val="single" w:sz="4" w:color="DDE5EF"/>
              <w:right w:val="single" w:sz="4" w:color="DDE5EF"/>
            </w:tcBorders>
          </w:tcPr>
          <w:p>
            <w:pPr>
              <w:spacing w:after="0"/>
            </w:pPr>
            <w:r>
              <w:rPr>
                <w:sz w:val="22"/>
              </w:rPr>
              <w:t>2032</w:t>
            </w:r>
          </w:p>
        </w:tc>
        <w:tc>
          <w:tcPr>
            <w:tcW w:type="dxa" w:w="1994"/>
            <w:tcBorders>
              <w:top w:val="single" w:sz="4" w:color="DDE5EF"/>
              <w:left w:val="single" w:sz="4" w:color="DDE5EF"/>
              <w:bottom w:val="single" w:sz="4" w:color="DDE5EF"/>
              <w:right w:val="single" w:sz="4" w:color="DDE5EF"/>
            </w:tcBorders>
          </w:tcPr>
          <w:p>
            <w:pPr>
              <w:spacing w:after="0"/>
            </w:pPr>
            <w:r>
              <w:rPr>
                <w:sz w:val="22"/>
              </w:rPr>
              <w:t>32</w:t>
            </w:r>
          </w:p>
        </w:tc>
        <w:tc>
          <w:tcPr>
            <w:tcW w:type="dxa" w:w="1994"/>
            <w:tcBorders>
              <w:top w:val="single" w:sz="4" w:color="DDE5EF"/>
              <w:left w:val="single" w:sz="4" w:color="DDE5EF"/>
              <w:bottom w:val="single" w:sz="4" w:color="DDE5EF"/>
              <w:right w:val="single" w:sz="4" w:color="DDE5EF"/>
            </w:tcBorders>
          </w:tcPr>
          <w:p>
            <w:pPr>
              <w:spacing w:after="0"/>
            </w:pPr>
            <w:r>
              <w:rPr>
                <w:sz w:val="22"/>
              </w:rPr>
              <w:t>10</w:t>
            </w:r>
          </w:p>
        </w:tc>
        <w:tc>
          <w:tcPr>
            <w:tcW w:type="dxa" w:w="1994"/>
            <w:tcBorders>
              <w:top w:val="single" w:sz="4" w:color="DDE5EF"/>
              <w:left w:val="single" w:sz="4" w:color="DDE5EF"/>
              <w:bottom w:val="single" w:sz="4" w:color="DDE5EF"/>
              <w:right w:val="single" w:sz="4" w:color="DDE5EF"/>
            </w:tcBorders>
          </w:tcPr>
          <w:p>
            <w:pPr>
              <w:spacing w:after="0"/>
            </w:pPr>
            <w:r>
              <w:rPr>
                <w:sz w:val="22"/>
              </w:rPr>
              <w:t>12</w:t>
            </w:r>
          </w:p>
        </w:tc>
        <w:tc>
          <w:tcPr>
            <w:tcW w:type="dxa" w:w="1994"/>
            <w:tcBorders>
              <w:top w:val="single" w:sz="4" w:color="DDE5EF"/>
              <w:left w:val="single" w:sz="4" w:color="DDE5EF"/>
              <w:bottom w:val="single" w:sz="4" w:color="DDE5EF"/>
              <w:right w:val="single" w:sz="4" w:color="DDE5EF"/>
            </w:tcBorders>
          </w:tcPr>
          <w:p>
            <w:pPr>
              <w:spacing w:after="0"/>
            </w:pPr>
            <w:r>
              <w:rPr>
                <w:sz w:val="22"/>
              </w:rPr>
              <w:t>54</w:t>
            </w:r>
          </w:p>
        </w:tc>
      </w:tr>
      <w:tr>
        <w:tc>
          <w:tcPr>
            <w:tcW w:type="dxa" w:w="1994"/>
            <w:tcBorders>
              <w:top w:val="single" w:sz="4" w:color="DDE5EF"/>
              <w:left w:val="single" w:sz="4" w:color="DDE5EF"/>
              <w:bottom w:val="single" w:sz="4" w:color="DDE5EF"/>
              <w:right w:val="single" w:sz="4" w:color="DDE5EF"/>
            </w:tcBorders>
          </w:tcPr>
          <w:p>
            <w:pPr>
              <w:spacing w:after="0"/>
            </w:pPr>
            <w:r>
              <w:rPr>
                <w:sz w:val="22"/>
              </w:rPr>
              <w:t>2033</w:t>
            </w:r>
          </w:p>
        </w:tc>
        <w:tc>
          <w:tcPr>
            <w:tcW w:type="dxa" w:w="1994"/>
            <w:tcBorders>
              <w:top w:val="single" w:sz="4" w:color="DDE5EF"/>
              <w:left w:val="single" w:sz="4" w:color="DDE5EF"/>
              <w:bottom w:val="single" w:sz="4" w:color="DDE5EF"/>
              <w:right w:val="single" w:sz="4" w:color="DDE5EF"/>
            </w:tcBorders>
          </w:tcPr>
          <w:p>
            <w:pPr>
              <w:spacing w:after="0"/>
            </w:pPr>
            <w:r>
              <w:rPr>
                <w:sz w:val="22"/>
              </w:rPr>
              <w:t>34</w:t>
            </w:r>
          </w:p>
        </w:tc>
        <w:tc>
          <w:tcPr>
            <w:tcW w:type="dxa" w:w="1994"/>
            <w:tcBorders>
              <w:top w:val="single" w:sz="4" w:color="DDE5EF"/>
              <w:left w:val="single" w:sz="4" w:color="DDE5EF"/>
              <w:bottom w:val="single" w:sz="4" w:color="DDE5EF"/>
              <w:right w:val="single" w:sz="4" w:color="DDE5EF"/>
            </w:tcBorders>
          </w:tcPr>
          <w:p>
            <w:pPr>
              <w:spacing w:after="0"/>
            </w:pPr>
            <w:r>
              <w:rPr>
                <w:sz w:val="22"/>
              </w:rPr>
              <w:t>14</w:t>
            </w:r>
          </w:p>
        </w:tc>
        <w:tc>
          <w:tcPr>
            <w:tcW w:type="dxa" w:w="1994"/>
            <w:tcBorders>
              <w:top w:val="single" w:sz="4" w:color="DDE5EF"/>
              <w:left w:val="single" w:sz="4" w:color="DDE5EF"/>
              <w:bottom w:val="single" w:sz="4" w:color="DDE5EF"/>
              <w:right w:val="single" w:sz="4" w:color="DDE5EF"/>
            </w:tcBorders>
          </w:tcPr>
          <w:p>
            <w:pPr>
              <w:spacing w:after="0"/>
            </w:pPr>
            <w:r>
              <w:rPr>
                <w:sz w:val="22"/>
              </w:rPr>
              <w:t>14</w:t>
            </w:r>
          </w:p>
        </w:tc>
        <w:tc>
          <w:tcPr>
            <w:tcW w:type="dxa" w:w="1994"/>
            <w:tcBorders>
              <w:top w:val="single" w:sz="4" w:color="DDE5EF"/>
              <w:left w:val="single" w:sz="4" w:color="DDE5EF"/>
              <w:bottom w:val="single" w:sz="4" w:color="DDE5EF"/>
              <w:right w:val="single" w:sz="4" w:color="DDE5EF"/>
            </w:tcBorders>
          </w:tcPr>
          <w:p>
            <w:pPr>
              <w:spacing w:after="0"/>
            </w:pPr>
            <w:r>
              <w:rPr>
                <w:sz w:val="22"/>
              </w:rPr>
              <w:t>62</w:t>
            </w:r>
          </w:p>
        </w:tc>
      </w:tr>
      <w:tr>
        <w:tc>
          <w:tcPr>
            <w:tcW w:type="dxa" w:w="1994"/>
            <w:tcBorders>
              <w:top w:val="single" w:sz="4" w:color="DDE5EF"/>
              <w:left w:val="single" w:sz="4" w:color="DDE5EF"/>
              <w:bottom w:val="single" w:sz="4" w:color="DDE5EF"/>
              <w:right w:val="single" w:sz="4" w:color="DDE5EF"/>
            </w:tcBorders>
          </w:tcPr>
          <w:p>
            <w:pPr>
              <w:spacing w:after="0"/>
            </w:pPr>
            <w:r>
              <w:rPr>
                <w:sz w:val="22"/>
              </w:rPr>
              <w:t>2034</w:t>
            </w:r>
          </w:p>
        </w:tc>
        <w:tc>
          <w:tcPr>
            <w:tcW w:type="dxa" w:w="1994"/>
            <w:tcBorders>
              <w:top w:val="single" w:sz="4" w:color="DDE5EF"/>
              <w:left w:val="single" w:sz="4" w:color="DDE5EF"/>
              <w:bottom w:val="single" w:sz="4" w:color="DDE5EF"/>
              <w:right w:val="single" w:sz="4" w:color="DDE5EF"/>
            </w:tcBorders>
          </w:tcPr>
          <w:p>
            <w:pPr>
              <w:spacing w:after="0"/>
            </w:pPr>
            <w:r>
              <w:rPr>
                <w:sz w:val="22"/>
              </w:rPr>
              <w:t>36</w:t>
            </w:r>
          </w:p>
        </w:tc>
        <w:tc>
          <w:tcPr>
            <w:tcW w:type="dxa" w:w="1994"/>
            <w:tcBorders>
              <w:top w:val="single" w:sz="4" w:color="DDE5EF"/>
              <w:left w:val="single" w:sz="4" w:color="DDE5EF"/>
              <w:bottom w:val="single" w:sz="4" w:color="DDE5EF"/>
              <w:right w:val="single" w:sz="4" w:color="DDE5EF"/>
            </w:tcBorders>
          </w:tcPr>
          <w:p>
            <w:pPr>
              <w:spacing w:after="0"/>
            </w:pPr>
            <w:r>
              <w:rPr>
                <w:sz w:val="22"/>
              </w:rPr>
              <w:t>18</w:t>
            </w:r>
          </w:p>
        </w:tc>
        <w:tc>
          <w:tcPr>
            <w:tcW w:type="dxa" w:w="1994"/>
            <w:tcBorders>
              <w:top w:val="single" w:sz="4" w:color="DDE5EF"/>
              <w:left w:val="single" w:sz="4" w:color="DDE5EF"/>
              <w:bottom w:val="single" w:sz="4" w:color="DDE5EF"/>
              <w:right w:val="single" w:sz="4" w:color="DDE5EF"/>
            </w:tcBorders>
          </w:tcPr>
          <w:p>
            <w:pPr>
              <w:spacing w:after="0"/>
            </w:pPr>
            <w:r>
              <w:rPr>
                <w:sz w:val="22"/>
              </w:rPr>
              <w:t>15</w:t>
            </w:r>
          </w:p>
        </w:tc>
        <w:tc>
          <w:tcPr>
            <w:tcW w:type="dxa" w:w="1994"/>
            <w:tcBorders>
              <w:top w:val="single" w:sz="4" w:color="DDE5EF"/>
              <w:left w:val="single" w:sz="4" w:color="DDE5EF"/>
              <w:bottom w:val="single" w:sz="4" w:color="DDE5EF"/>
              <w:right w:val="single" w:sz="4" w:color="DDE5EF"/>
            </w:tcBorders>
          </w:tcPr>
          <w:p>
            <w:pPr>
              <w:spacing w:after="0"/>
            </w:pPr>
            <w:r>
              <w:rPr>
                <w:sz w:val="22"/>
              </w:rPr>
              <w:t>69</w:t>
            </w:r>
          </w:p>
        </w:tc>
      </w:tr>
      <w:tr>
        <w:tc>
          <w:tcPr>
            <w:tcW w:type="dxa" w:w="1994"/>
            <w:tcBorders>
              <w:top w:val="single" w:sz="4" w:color="DDE5EF"/>
              <w:left w:val="single" w:sz="4" w:color="DDE5EF"/>
              <w:bottom w:val="single" w:sz="4" w:color="DDE5EF"/>
              <w:right w:val="single" w:sz="4" w:color="DDE5EF"/>
            </w:tcBorders>
          </w:tcPr>
          <w:p>
            <w:pPr>
              <w:spacing w:after="0"/>
            </w:pPr>
            <w:r>
              <w:rPr>
                <w:sz w:val="22"/>
              </w:rPr>
              <w:t>2035</w:t>
            </w:r>
          </w:p>
        </w:tc>
        <w:tc>
          <w:tcPr>
            <w:tcW w:type="dxa" w:w="1994"/>
            <w:tcBorders>
              <w:top w:val="single" w:sz="4" w:color="DDE5EF"/>
              <w:left w:val="single" w:sz="4" w:color="DDE5EF"/>
              <w:bottom w:val="single" w:sz="4" w:color="DDE5EF"/>
              <w:right w:val="single" w:sz="4" w:color="DDE5EF"/>
            </w:tcBorders>
          </w:tcPr>
          <w:p>
            <w:pPr>
              <w:spacing w:after="0"/>
            </w:pPr>
            <w:r>
              <w:rPr>
                <w:sz w:val="22"/>
              </w:rPr>
              <w:t>38</w:t>
            </w:r>
          </w:p>
        </w:tc>
        <w:tc>
          <w:tcPr>
            <w:tcW w:type="dxa" w:w="1994"/>
            <w:tcBorders>
              <w:top w:val="single" w:sz="4" w:color="DDE5EF"/>
              <w:left w:val="single" w:sz="4" w:color="DDE5EF"/>
              <w:bottom w:val="single" w:sz="4" w:color="DDE5EF"/>
              <w:right w:val="single" w:sz="4" w:color="DDE5EF"/>
            </w:tcBorders>
          </w:tcPr>
          <w:p>
            <w:pPr>
              <w:spacing w:after="0"/>
            </w:pPr>
            <w:r>
              <w:rPr>
                <w:sz w:val="22"/>
              </w:rPr>
              <w:t>22</w:t>
            </w:r>
          </w:p>
        </w:tc>
        <w:tc>
          <w:tcPr>
            <w:tcW w:type="dxa" w:w="1994"/>
            <w:tcBorders>
              <w:top w:val="single" w:sz="4" w:color="DDE5EF"/>
              <w:left w:val="single" w:sz="4" w:color="DDE5EF"/>
              <w:bottom w:val="single" w:sz="4" w:color="DDE5EF"/>
              <w:right w:val="single" w:sz="4" w:color="DDE5EF"/>
            </w:tcBorders>
          </w:tcPr>
          <w:p>
            <w:pPr>
              <w:spacing w:after="0"/>
            </w:pPr>
            <w:r>
              <w:rPr>
                <w:sz w:val="22"/>
              </w:rPr>
              <w:t>16</w:t>
            </w:r>
          </w:p>
        </w:tc>
        <w:tc>
          <w:tcPr>
            <w:tcW w:type="dxa" w:w="1994"/>
            <w:tcBorders>
              <w:top w:val="single" w:sz="4" w:color="DDE5EF"/>
              <w:left w:val="single" w:sz="4" w:color="DDE5EF"/>
              <w:bottom w:val="single" w:sz="4" w:color="DDE5EF"/>
              <w:right w:val="single" w:sz="4" w:color="DDE5EF"/>
            </w:tcBorders>
          </w:tcPr>
          <w:p>
            <w:pPr>
              <w:spacing w:after="0"/>
            </w:pPr>
            <w:r>
              <w:rPr>
                <w:sz w:val="22"/>
              </w:rPr>
              <w:t>76</w:t>
            </w:r>
          </w:p>
        </w:tc>
      </w:tr>
      <w:tr>
        <w:tc>
          <w:tcPr>
            <w:tcW w:type="dxa" w:w="1994"/>
            <w:tcBorders>
              <w:top w:val="single" w:sz="4" w:color="DDE5EF"/>
              <w:left w:val="single" w:sz="4" w:color="DDE5EF"/>
              <w:bottom w:val="single" w:sz="4" w:color="DDE5EF"/>
              <w:right w:val="single" w:sz="4" w:color="DDE5EF"/>
            </w:tcBorders>
          </w:tcPr>
          <w:p>
            <w:pPr>
              <w:spacing w:after="0"/>
            </w:pPr>
            <w:r>
              <w:rPr>
                <w:sz w:val="22"/>
              </w:rPr>
              <w:t>2036</w:t>
            </w:r>
          </w:p>
        </w:tc>
        <w:tc>
          <w:tcPr>
            <w:tcW w:type="dxa" w:w="1994"/>
            <w:tcBorders>
              <w:top w:val="single" w:sz="4" w:color="DDE5EF"/>
              <w:left w:val="single" w:sz="4" w:color="DDE5EF"/>
              <w:bottom w:val="single" w:sz="4" w:color="DDE5EF"/>
              <w:right w:val="single" w:sz="4" w:color="DDE5EF"/>
            </w:tcBorders>
          </w:tcPr>
          <w:p>
            <w:pPr>
              <w:spacing w:after="0"/>
            </w:pPr>
            <w:r>
              <w:rPr>
                <w:sz w:val="22"/>
              </w:rPr>
              <w:t>38</w:t>
            </w:r>
          </w:p>
        </w:tc>
        <w:tc>
          <w:tcPr>
            <w:tcW w:type="dxa" w:w="1994"/>
            <w:tcBorders>
              <w:top w:val="single" w:sz="4" w:color="DDE5EF"/>
              <w:left w:val="single" w:sz="4" w:color="DDE5EF"/>
              <w:bottom w:val="single" w:sz="4" w:color="DDE5EF"/>
              <w:right w:val="single" w:sz="4" w:color="DDE5EF"/>
            </w:tcBorders>
          </w:tcPr>
          <w:p>
            <w:pPr>
              <w:spacing w:after="0"/>
            </w:pPr>
            <w:r>
              <w:rPr>
                <w:sz w:val="22"/>
              </w:rPr>
              <w:t>25</w:t>
            </w:r>
          </w:p>
        </w:tc>
        <w:tc>
          <w:tcPr>
            <w:tcW w:type="dxa" w:w="1994"/>
            <w:tcBorders>
              <w:top w:val="single" w:sz="4" w:color="DDE5EF"/>
              <w:left w:val="single" w:sz="4" w:color="DDE5EF"/>
              <w:bottom w:val="single" w:sz="4" w:color="DDE5EF"/>
              <w:right w:val="single" w:sz="4" w:color="DDE5EF"/>
            </w:tcBorders>
          </w:tcPr>
          <w:p>
            <w:pPr>
              <w:spacing w:after="0"/>
            </w:pPr>
            <w:r>
              <w:rPr>
                <w:sz w:val="22"/>
              </w:rPr>
              <w:t>17</w:t>
            </w:r>
          </w:p>
        </w:tc>
        <w:tc>
          <w:tcPr>
            <w:tcW w:type="dxa" w:w="1994"/>
            <w:tcBorders>
              <w:top w:val="single" w:sz="4" w:color="DDE5EF"/>
              <w:left w:val="single" w:sz="4" w:color="DDE5EF"/>
              <w:bottom w:val="single" w:sz="4" w:color="DDE5EF"/>
              <w:right w:val="single" w:sz="4" w:color="DDE5EF"/>
            </w:tcBorders>
          </w:tcPr>
          <w:p>
            <w:pPr>
              <w:spacing w:after="0"/>
            </w:pPr>
            <w:r>
              <w:rPr>
                <w:sz w:val="22"/>
              </w:rPr>
              <w:t>80</w:t>
            </w:r>
          </w:p>
        </w:tc>
      </w:tr>
      <w:tr>
        <w:tc>
          <w:tcPr>
            <w:tcW w:type="dxa" w:w="1994"/>
            <w:tcBorders>
              <w:top w:val="single" w:sz="4" w:color="DDE5EF"/>
              <w:left w:val="single" w:sz="4" w:color="DDE5EF"/>
              <w:bottom w:val="single" w:sz="4" w:color="DDE5EF"/>
              <w:right w:val="single" w:sz="4" w:color="DDE5EF"/>
            </w:tcBorders>
          </w:tcPr>
          <w:p>
            <w:pPr>
              <w:spacing w:after="0"/>
            </w:pPr>
            <w:r>
              <w:rPr>
                <w:sz w:val="22"/>
              </w:rPr>
              <w:t>2037</w:t>
            </w:r>
          </w:p>
        </w:tc>
        <w:tc>
          <w:tcPr>
            <w:tcW w:type="dxa" w:w="1994"/>
            <w:tcBorders>
              <w:top w:val="single" w:sz="4" w:color="DDE5EF"/>
              <w:left w:val="single" w:sz="4" w:color="DDE5EF"/>
              <w:bottom w:val="single" w:sz="4" w:color="DDE5EF"/>
              <w:right w:val="single" w:sz="4" w:color="DDE5EF"/>
            </w:tcBorders>
          </w:tcPr>
          <w:p>
            <w:pPr>
              <w:spacing w:after="0"/>
            </w:pPr>
            <w:r>
              <w:rPr>
                <w:sz w:val="22"/>
              </w:rPr>
              <w:t>36</w:t>
            </w:r>
          </w:p>
        </w:tc>
        <w:tc>
          <w:tcPr>
            <w:tcW w:type="dxa" w:w="1994"/>
            <w:tcBorders>
              <w:top w:val="single" w:sz="4" w:color="DDE5EF"/>
              <w:left w:val="single" w:sz="4" w:color="DDE5EF"/>
              <w:bottom w:val="single" w:sz="4" w:color="DDE5EF"/>
              <w:right w:val="single" w:sz="4" w:color="DDE5EF"/>
            </w:tcBorders>
          </w:tcPr>
          <w:p>
            <w:pPr>
              <w:spacing w:after="0"/>
            </w:pPr>
            <w:r>
              <w:rPr>
                <w:sz w:val="22"/>
              </w:rPr>
              <w:t>28</w:t>
            </w:r>
          </w:p>
        </w:tc>
        <w:tc>
          <w:tcPr>
            <w:tcW w:type="dxa" w:w="1994"/>
            <w:tcBorders>
              <w:top w:val="single" w:sz="4" w:color="DDE5EF"/>
              <w:left w:val="single" w:sz="4" w:color="DDE5EF"/>
              <w:bottom w:val="single" w:sz="4" w:color="DDE5EF"/>
              <w:right w:val="single" w:sz="4" w:color="DDE5EF"/>
            </w:tcBorders>
          </w:tcPr>
          <w:p>
            <w:pPr>
              <w:spacing w:after="0"/>
            </w:pPr>
            <w:r>
              <w:rPr>
                <w:sz w:val="22"/>
              </w:rPr>
              <w:t>17</w:t>
            </w:r>
          </w:p>
        </w:tc>
        <w:tc>
          <w:tcPr>
            <w:tcW w:type="dxa" w:w="1994"/>
            <w:tcBorders>
              <w:top w:val="single" w:sz="4" w:color="DDE5EF"/>
              <w:left w:val="single" w:sz="4" w:color="DDE5EF"/>
              <w:bottom w:val="single" w:sz="4" w:color="DDE5EF"/>
              <w:right w:val="single" w:sz="4" w:color="DDE5EF"/>
            </w:tcBorders>
          </w:tcPr>
          <w:p>
            <w:pPr>
              <w:spacing w:after="0"/>
            </w:pPr>
            <w:r>
              <w:rPr>
                <w:sz w:val="22"/>
              </w:rPr>
              <w:t>81</w:t>
            </w:r>
          </w:p>
        </w:tc>
      </w:tr>
      <w:tr>
        <w:tc>
          <w:tcPr>
            <w:tcW w:type="dxa" w:w="1994"/>
            <w:tcBorders>
              <w:top w:val="single" w:sz="4" w:color="DDE5EF"/>
              <w:left w:val="single" w:sz="4" w:color="DDE5EF"/>
              <w:bottom w:val="single" w:sz="4" w:color="DDE5EF"/>
              <w:right w:val="single" w:sz="4" w:color="DDE5EF"/>
            </w:tcBorders>
          </w:tcPr>
          <w:p>
            <w:pPr>
              <w:spacing w:after="0"/>
            </w:pPr>
            <w:r>
              <w:rPr>
                <w:sz w:val="22"/>
              </w:rPr>
              <w:t>2038</w:t>
            </w:r>
          </w:p>
        </w:tc>
        <w:tc>
          <w:tcPr>
            <w:tcW w:type="dxa" w:w="1994"/>
            <w:tcBorders>
              <w:top w:val="single" w:sz="4" w:color="DDE5EF"/>
              <w:left w:val="single" w:sz="4" w:color="DDE5EF"/>
              <w:bottom w:val="single" w:sz="4" w:color="DDE5EF"/>
              <w:right w:val="single" w:sz="4" w:color="DDE5EF"/>
            </w:tcBorders>
          </w:tcPr>
          <w:p>
            <w:pPr>
              <w:spacing w:after="0"/>
            </w:pPr>
            <w:r>
              <w:rPr>
                <w:sz w:val="22"/>
              </w:rPr>
              <w:t>32</w:t>
            </w:r>
          </w:p>
        </w:tc>
        <w:tc>
          <w:tcPr>
            <w:tcW w:type="dxa" w:w="1994"/>
            <w:tcBorders>
              <w:top w:val="single" w:sz="4" w:color="DDE5EF"/>
              <w:left w:val="single" w:sz="4" w:color="DDE5EF"/>
              <w:bottom w:val="single" w:sz="4" w:color="DDE5EF"/>
              <w:right w:val="single" w:sz="4" w:color="DDE5EF"/>
            </w:tcBorders>
          </w:tcPr>
          <w:p>
            <w:pPr>
              <w:spacing w:after="0"/>
            </w:pPr>
            <w:r>
              <w:rPr>
                <w:sz w:val="22"/>
              </w:rPr>
              <w:t>30</w:t>
            </w:r>
          </w:p>
        </w:tc>
        <w:tc>
          <w:tcPr>
            <w:tcW w:type="dxa" w:w="1994"/>
            <w:tcBorders>
              <w:top w:val="single" w:sz="4" w:color="DDE5EF"/>
              <w:left w:val="single" w:sz="4" w:color="DDE5EF"/>
              <w:bottom w:val="single" w:sz="4" w:color="DDE5EF"/>
              <w:right w:val="single" w:sz="4" w:color="DDE5EF"/>
            </w:tcBorders>
          </w:tcPr>
          <w:p>
            <w:pPr>
              <w:spacing w:after="0"/>
            </w:pPr>
            <w:r>
              <w:rPr>
                <w:sz w:val="22"/>
              </w:rPr>
              <w:t>16</w:t>
            </w:r>
          </w:p>
        </w:tc>
        <w:tc>
          <w:tcPr>
            <w:tcW w:type="dxa" w:w="1994"/>
            <w:tcBorders>
              <w:top w:val="single" w:sz="4" w:color="DDE5EF"/>
              <w:left w:val="single" w:sz="4" w:color="DDE5EF"/>
              <w:bottom w:val="single" w:sz="4" w:color="DDE5EF"/>
              <w:right w:val="single" w:sz="4" w:color="DDE5EF"/>
            </w:tcBorders>
          </w:tcPr>
          <w:p>
            <w:pPr>
              <w:spacing w:after="0"/>
            </w:pPr>
            <w:r>
              <w:rPr>
                <w:sz w:val="22"/>
              </w:rPr>
              <w:t>78</w:t>
            </w:r>
          </w:p>
        </w:tc>
      </w:tr>
      <w:tr>
        <w:tc>
          <w:tcPr>
            <w:tcW w:type="dxa" w:w="1994"/>
            <w:tcBorders>
              <w:top w:val="single" w:sz="4" w:color="DDE5EF"/>
              <w:left w:val="single" w:sz="4" w:color="DDE5EF"/>
              <w:bottom w:val="single" w:sz="4" w:color="DDE5EF"/>
              <w:right w:val="single" w:sz="4" w:color="DDE5EF"/>
            </w:tcBorders>
          </w:tcPr>
          <w:p>
            <w:pPr>
              <w:spacing w:after="0"/>
            </w:pPr>
            <w:r>
              <w:rPr>
                <w:sz w:val="22"/>
              </w:rPr>
              <w:t>2039</w:t>
            </w:r>
          </w:p>
        </w:tc>
        <w:tc>
          <w:tcPr>
            <w:tcW w:type="dxa" w:w="1994"/>
            <w:tcBorders>
              <w:top w:val="single" w:sz="4" w:color="DDE5EF"/>
              <w:left w:val="single" w:sz="4" w:color="DDE5EF"/>
              <w:bottom w:val="single" w:sz="4" w:color="DDE5EF"/>
              <w:right w:val="single" w:sz="4" w:color="DDE5EF"/>
            </w:tcBorders>
          </w:tcPr>
          <w:p>
            <w:pPr>
              <w:spacing w:after="0"/>
            </w:pPr>
            <w:r>
              <w:rPr>
                <w:sz w:val="22"/>
              </w:rPr>
              <w:t>28</w:t>
            </w:r>
          </w:p>
        </w:tc>
        <w:tc>
          <w:tcPr>
            <w:tcW w:type="dxa" w:w="1994"/>
            <w:tcBorders>
              <w:top w:val="single" w:sz="4" w:color="DDE5EF"/>
              <w:left w:val="single" w:sz="4" w:color="DDE5EF"/>
              <w:bottom w:val="single" w:sz="4" w:color="DDE5EF"/>
              <w:right w:val="single" w:sz="4" w:color="DDE5EF"/>
            </w:tcBorders>
          </w:tcPr>
          <w:p>
            <w:pPr>
              <w:spacing w:after="0"/>
            </w:pPr>
            <w:r>
              <w:rPr>
                <w:sz w:val="22"/>
              </w:rPr>
              <w:t>30</w:t>
            </w:r>
          </w:p>
        </w:tc>
        <w:tc>
          <w:tcPr>
            <w:tcW w:type="dxa" w:w="1994"/>
            <w:tcBorders>
              <w:top w:val="single" w:sz="4" w:color="DDE5EF"/>
              <w:left w:val="single" w:sz="4" w:color="DDE5EF"/>
              <w:bottom w:val="single" w:sz="4" w:color="DDE5EF"/>
              <w:right w:val="single" w:sz="4" w:color="DDE5EF"/>
            </w:tcBorders>
          </w:tcPr>
          <w:p>
            <w:pPr>
              <w:spacing w:after="0"/>
            </w:pPr>
            <w:r>
              <w:rPr>
                <w:sz w:val="22"/>
              </w:rPr>
              <w:t>14</w:t>
            </w:r>
          </w:p>
        </w:tc>
        <w:tc>
          <w:tcPr>
            <w:tcW w:type="dxa" w:w="1994"/>
            <w:tcBorders>
              <w:top w:val="single" w:sz="4" w:color="DDE5EF"/>
              <w:left w:val="single" w:sz="4" w:color="DDE5EF"/>
              <w:bottom w:val="single" w:sz="4" w:color="DDE5EF"/>
              <w:right w:val="single" w:sz="4" w:color="DDE5EF"/>
            </w:tcBorders>
          </w:tcPr>
          <w:p>
            <w:pPr>
              <w:spacing w:after="0"/>
            </w:pPr>
            <w:r>
              <w:rPr>
                <w:sz w:val="22"/>
              </w:rPr>
              <w:t>72</w:t>
            </w:r>
          </w:p>
        </w:tc>
      </w:tr>
      <w:tr>
        <w:tc>
          <w:tcPr>
            <w:tcW w:type="dxa" w:w="1994"/>
            <w:tcBorders>
              <w:top w:val="single" w:sz="4" w:color="DDE5EF"/>
              <w:left w:val="single" w:sz="4" w:color="DDE5EF"/>
              <w:bottom w:val="single" w:sz="4" w:color="DDE5EF"/>
              <w:right w:val="single" w:sz="4" w:color="DDE5EF"/>
            </w:tcBorders>
          </w:tcPr>
          <w:p>
            <w:pPr>
              <w:spacing w:after="0"/>
            </w:pPr>
            <w:r>
              <w:rPr>
                <w:sz w:val="22"/>
              </w:rPr>
              <w:t>2040</w:t>
            </w:r>
          </w:p>
        </w:tc>
        <w:tc>
          <w:tcPr>
            <w:tcW w:type="dxa" w:w="1994"/>
            <w:tcBorders>
              <w:top w:val="single" w:sz="4" w:color="DDE5EF"/>
              <w:left w:val="single" w:sz="4" w:color="DDE5EF"/>
              <w:bottom w:val="single" w:sz="4" w:color="DDE5EF"/>
              <w:right w:val="single" w:sz="4" w:color="DDE5EF"/>
            </w:tcBorders>
          </w:tcPr>
          <w:p>
            <w:pPr>
              <w:spacing w:after="0"/>
            </w:pPr>
            <w:r>
              <w:rPr>
                <w:sz w:val="22"/>
              </w:rPr>
              <w:t>22</w:t>
            </w:r>
          </w:p>
        </w:tc>
        <w:tc>
          <w:tcPr>
            <w:tcW w:type="dxa" w:w="1994"/>
            <w:tcBorders>
              <w:top w:val="single" w:sz="4" w:color="DDE5EF"/>
              <w:left w:val="single" w:sz="4" w:color="DDE5EF"/>
              <w:bottom w:val="single" w:sz="4" w:color="DDE5EF"/>
              <w:right w:val="single" w:sz="4" w:color="DDE5EF"/>
            </w:tcBorders>
          </w:tcPr>
          <w:p>
            <w:pPr>
              <w:spacing w:after="0"/>
            </w:pPr>
            <w:r>
              <w:rPr>
                <w:sz w:val="22"/>
              </w:rPr>
              <w:t>30</w:t>
            </w:r>
          </w:p>
        </w:tc>
        <w:tc>
          <w:tcPr>
            <w:tcW w:type="dxa" w:w="1994"/>
            <w:tcBorders>
              <w:top w:val="single" w:sz="4" w:color="DDE5EF"/>
              <w:left w:val="single" w:sz="4" w:color="DDE5EF"/>
              <w:bottom w:val="single" w:sz="4" w:color="DDE5EF"/>
              <w:right w:val="single" w:sz="4" w:color="DDE5EF"/>
            </w:tcBorders>
          </w:tcPr>
          <w:p>
            <w:pPr>
              <w:spacing w:after="0"/>
            </w:pPr>
            <w:r>
              <w:rPr>
                <w:sz w:val="22"/>
              </w:rPr>
              <w:t>12</w:t>
            </w:r>
          </w:p>
        </w:tc>
        <w:tc>
          <w:tcPr>
            <w:tcW w:type="dxa" w:w="1994"/>
            <w:tcBorders>
              <w:top w:val="single" w:sz="4" w:color="DDE5EF"/>
              <w:left w:val="single" w:sz="4" w:color="DDE5EF"/>
              <w:bottom w:val="single" w:sz="4" w:color="DDE5EF"/>
              <w:right w:val="single" w:sz="4" w:color="DDE5EF"/>
            </w:tcBorders>
          </w:tcPr>
          <w:p>
            <w:pPr>
              <w:spacing w:after="0"/>
            </w:pPr>
            <w:r>
              <w:rPr>
                <w:sz w:val="22"/>
              </w:rPr>
              <w:t>64</w:t>
            </w:r>
          </w:p>
        </w:tc>
      </w:tr>
      <w:tr>
        <w:tc>
          <w:tcPr>
            <w:tcW w:type="dxa" w:w="1994"/>
            <w:tcBorders>
              <w:top w:val="single" w:sz="4" w:color="DDE5EF"/>
              <w:left w:val="single" w:sz="4" w:color="DDE5EF"/>
              <w:bottom w:val="single" w:sz="4" w:color="DDE5EF"/>
              <w:right w:val="single" w:sz="4" w:color="DDE5EF"/>
            </w:tcBorders>
          </w:tcPr>
          <w:p>
            <w:pPr>
              <w:spacing w:after="0"/>
            </w:pPr>
            <w:r>
              <w:rPr>
                <w:b/>
                <w:sz w:val="22"/>
              </w:rPr>
              <w:t>Cumulative</w:t>
            </w:r>
          </w:p>
        </w:tc>
        <w:tc>
          <w:tcPr>
            <w:tcW w:type="dxa" w:w="1994"/>
            <w:tcBorders>
              <w:top w:val="single" w:sz="4" w:color="DDE5EF"/>
              <w:left w:val="single" w:sz="4" w:color="DDE5EF"/>
              <w:bottom w:val="single" w:sz="4" w:color="DDE5EF"/>
              <w:right w:val="single" w:sz="4" w:color="DDE5EF"/>
            </w:tcBorders>
          </w:tcPr>
          <w:p>
            <w:pPr>
              <w:spacing w:after="0"/>
            </w:pPr>
            <w:r>
              <w:rPr>
                <w:b/>
                <w:sz w:val="22"/>
              </w:rPr>
              <w:t>402</w:t>
            </w:r>
          </w:p>
        </w:tc>
        <w:tc>
          <w:tcPr>
            <w:tcW w:type="dxa" w:w="1994"/>
            <w:tcBorders>
              <w:top w:val="single" w:sz="4" w:color="DDE5EF"/>
              <w:left w:val="single" w:sz="4" w:color="DDE5EF"/>
              <w:bottom w:val="single" w:sz="4" w:color="DDE5EF"/>
              <w:right w:val="single" w:sz="4" w:color="DDE5EF"/>
            </w:tcBorders>
          </w:tcPr>
          <w:p>
            <w:pPr>
              <w:spacing w:after="0"/>
            </w:pPr>
            <w:r>
              <w:rPr>
                <w:b/>
                <w:sz w:val="22"/>
              </w:rPr>
              <w:t>217</w:t>
            </w:r>
          </w:p>
        </w:tc>
        <w:tc>
          <w:tcPr>
            <w:tcW w:type="dxa" w:w="1994"/>
            <w:tcBorders>
              <w:top w:val="single" w:sz="4" w:color="DDE5EF"/>
              <w:left w:val="single" w:sz="4" w:color="DDE5EF"/>
              <w:bottom w:val="single" w:sz="4" w:color="DDE5EF"/>
              <w:right w:val="single" w:sz="4" w:color="DDE5EF"/>
            </w:tcBorders>
          </w:tcPr>
          <w:p>
            <w:pPr>
              <w:spacing w:after="0"/>
            </w:pPr>
            <w:r>
              <w:rPr>
                <w:b/>
                <w:sz w:val="22"/>
              </w:rPr>
              <w:t>154</w:t>
            </w:r>
          </w:p>
        </w:tc>
        <w:tc>
          <w:tcPr>
            <w:tcW w:type="dxa" w:w="1994"/>
            <w:tcBorders>
              <w:top w:val="single" w:sz="4" w:color="DDE5EF"/>
              <w:left w:val="single" w:sz="4" w:color="DDE5EF"/>
              <w:bottom w:val="single" w:sz="4" w:color="DDE5EF"/>
              <w:right w:val="single" w:sz="4" w:color="DDE5EF"/>
            </w:tcBorders>
          </w:tcPr>
          <w:p>
            <w:pPr>
              <w:spacing w:after="0"/>
            </w:pPr>
            <w:r>
              <w:rPr>
                <w:b/>
                <w:sz w:val="22"/>
              </w:rPr>
              <w:t>773</w:t>
            </w:r>
          </w:p>
        </w:tc>
      </w:tr>
    </w:tbl>
    <w:p>
      <w:pPr>
        <w:spacing w:after="40"/>
      </w:pPr>
    </w:p>
    <w:p>
      <w:pPr>
        <w:pStyle w:val="Heading3"/>
      </w:pPr>
      <w:r>
        <w:t>5.3.2 Scenario analysis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Scenario</w:t>
            </w:r>
          </w:p>
        </w:tc>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Prob.</w:t>
            </w:r>
          </w:p>
        </w:tc>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Revenue (cum, €M)</w:t>
            </w:r>
          </w:p>
        </w:tc>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NPV @ 8% (€M)</w:t>
            </w:r>
          </w:p>
        </w:tc>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IRR</w:t>
            </w:r>
          </w:p>
        </w:tc>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Payback</w:t>
            </w:r>
          </w:p>
        </w:tc>
      </w:tr>
      <w:tr>
        <w:tc>
          <w:tcPr>
            <w:tcW w:type="dxa" w:w="1662"/>
            <w:tcBorders>
              <w:top w:val="single" w:sz="4" w:color="DDE5EF"/>
              <w:left w:val="single" w:sz="4" w:color="DDE5EF"/>
              <w:bottom w:val="single" w:sz="4" w:color="DDE5EF"/>
              <w:right w:val="single" w:sz="4" w:color="DDE5EF"/>
            </w:tcBorders>
          </w:tcPr>
          <w:p>
            <w:pPr>
              <w:spacing w:after="0"/>
            </w:pPr>
            <w:r>
              <w:rPr>
                <w:b/>
                <w:sz w:val="22"/>
              </w:rPr>
              <w:t>Base</w:t>
            </w:r>
            <w:r>
              <w:rPr>
                <w:sz w:val="22"/>
              </w:rPr>
              <w:t xml:space="preserve"> — schema inclusion + Pillar 4 anchor + partial adjacent capture</w:t>
            </w:r>
          </w:p>
        </w:tc>
        <w:tc>
          <w:tcPr>
            <w:tcW w:type="dxa" w:w="1662"/>
            <w:tcBorders>
              <w:top w:val="single" w:sz="4" w:color="DDE5EF"/>
              <w:left w:val="single" w:sz="4" w:color="DDE5EF"/>
              <w:bottom w:val="single" w:sz="4" w:color="DDE5EF"/>
              <w:right w:val="single" w:sz="4" w:color="DDE5EF"/>
            </w:tcBorders>
          </w:tcPr>
          <w:p>
            <w:pPr>
              <w:spacing w:after="0"/>
            </w:pPr>
            <w:r>
              <w:rPr>
                <w:sz w:val="22"/>
              </w:rPr>
              <w:t>55%</w:t>
            </w:r>
          </w:p>
        </w:tc>
        <w:tc>
          <w:tcPr>
            <w:tcW w:type="dxa" w:w="1662"/>
            <w:tcBorders>
              <w:top w:val="single" w:sz="4" w:color="DDE5EF"/>
              <w:left w:val="single" w:sz="4" w:color="DDE5EF"/>
              <w:bottom w:val="single" w:sz="4" w:color="DDE5EF"/>
              <w:right w:val="single" w:sz="4" w:color="DDE5EF"/>
            </w:tcBorders>
          </w:tcPr>
          <w:p>
            <w:pPr>
              <w:spacing w:after="0"/>
            </w:pPr>
            <w:r>
              <w:rPr>
                <w:sz w:val="22"/>
              </w:rPr>
              <w:t>773</w:t>
            </w:r>
          </w:p>
        </w:tc>
        <w:tc>
          <w:tcPr>
            <w:tcW w:type="dxa" w:w="1662"/>
            <w:tcBorders>
              <w:top w:val="single" w:sz="4" w:color="DDE5EF"/>
              <w:left w:val="single" w:sz="4" w:color="DDE5EF"/>
              <w:bottom w:val="single" w:sz="4" w:color="DDE5EF"/>
              <w:right w:val="single" w:sz="4" w:color="DDE5EF"/>
            </w:tcBorders>
          </w:tcPr>
          <w:p>
            <w:pPr>
              <w:spacing w:after="0"/>
            </w:pPr>
            <w:r>
              <w:rPr>
                <w:sz w:val="22"/>
              </w:rPr>
              <w:t>232</w:t>
            </w:r>
          </w:p>
        </w:tc>
        <w:tc>
          <w:tcPr>
            <w:tcW w:type="dxa" w:w="1662"/>
            <w:tcBorders>
              <w:top w:val="single" w:sz="4" w:color="DDE5EF"/>
              <w:left w:val="single" w:sz="4" w:color="DDE5EF"/>
              <w:bottom w:val="single" w:sz="4" w:color="DDE5EF"/>
              <w:right w:val="single" w:sz="4" w:color="DDE5EF"/>
            </w:tcBorders>
          </w:tcPr>
          <w:p>
            <w:pPr>
              <w:spacing w:after="0"/>
            </w:pPr>
            <w:r>
              <w:rPr>
                <w:sz w:val="22"/>
              </w:rPr>
              <w:t>~26%</w:t>
            </w:r>
          </w:p>
        </w:tc>
        <w:tc>
          <w:tcPr>
            <w:tcW w:type="dxa" w:w="1662"/>
            <w:tcBorders>
              <w:top w:val="single" w:sz="4" w:color="DDE5EF"/>
              <w:left w:val="single" w:sz="4" w:color="DDE5EF"/>
              <w:bottom w:val="single" w:sz="4" w:color="DDE5EF"/>
              <w:right w:val="single" w:sz="4" w:color="DDE5EF"/>
            </w:tcBorders>
          </w:tcPr>
          <w:p>
            <w:pPr>
              <w:spacing w:after="0"/>
            </w:pPr>
            <w:r>
              <w:rPr>
                <w:sz w:val="22"/>
              </w:rPr>
              <w:t>~6.5 yr</w:t>
            </w:r>
          </w:p>
        </w:tc>
      </w:tr>
      <w:tr>
        <w:tc>
          <w:tcPr>
            <w:tcW w:type="dxa" w:w="1662"/>
            <w:tcBorders>
              <w:top w:val="single" w:sz="4" w:color="DDE5EF"/>
              <w:left w:val="single" w:sz="4" w:color="DDE5EF"/>
              <w:bottom w:val="single" w:sz="4" w:color="DDE5EF"/>
              <w:right w:val="single" w:sz="4" w:color="DDE5EF"/>
            </w:tcBorders>
          </w:tcPr>
          <w:p>
            <w:pPr>
              <w:spacing w:after="0"/>
            </w:pPr>
            <w:r>
              <w:rPr>
                <w:b/>
                <w:sz w:val="22"/>
              </w:rPr>
              <w:t>Upside</w:t>
            </w:r>
            <w:r>
              <w:rPr>
                <w:sz w:val="22"/>
              </w:rPr>
              <w:t xml:space="preserve"> — full adjacent capture + EDF co-funding + GCAP technical convergence</w:t>
            </w:r>
          </w:p>
        </w:tc>
        <w:tc>
          <w:tcPr>
            <w:tcW w:type="dxa" w:w="1662"/>
            <w:tcBorders>
              <w:top w:val="single" w:sz="4" w:color="DDE5EF"/>
              <w:left w:val="single" w:sz="4" w:color="DDE5EF"/>
              <w:bottom w:val="single" w:sz="4" w:color="DDE5EF"/>
              <w:right w:val="single" w:sz="4" w:color="DDE5EF"/>
            </w:tcBorders>
          </w:tcPr>
          <w:p>
            <w:pPr>
              <w:spacing w:after="0"/>
            </w:pPr>
            <w:r>
              <w:rPr>
                <w:sz w:val="22"/>
              </w:rPr>
              <w:t>20%</w:t>
            </w:r>
          </w:p>
        </w:tc>
        <w:tc>
          <w:tcPr>
            <w:tcW w:type="dxa" w:w="1662"/>
            <w:tcBorders>
              <w:top w:val="single" w:sz="4" w:color="DDE5EF"/>
              <w:left w:val="single" w:sz="4" w:color="DDE5EF"/>
              <w:bottom w:val="single" w:sz="4" w:color="DDE5EF"/>
              <w:right w:val="single" w:sz="4" w:color="DDE5EF"/>
            </w:tcBorders>
          </w:tcPr>
          <w:p>
            <w:pPr>
              <w:spacing w:after="0"/>
            </w:pPr>
            <w:r>
              <w:rPr>
                <w:sz w:val="22"/>
              </w:rPr>
              <w:t>1,050</w:t>
            </w:r>
          </w:p>
        </w:tc>
        <w:tc>
          <w:tcPr>
            <w:tcW w:type="dxa" w:w="1662"/>
            <w:tcBorders>
              <w:top w:val="single" w:sz="4" w:color="DDE5EF"/>
              <w:left w:val="single" w:sz="4" w:color="DDE5EF"/>
              <w:bottom w:val="single" w:sz="4" w:color="DDE5EF"/>
              <w:right w:val="single" w:sz="4" w:color="DDE5EF"/>
            </w:tcBorders>
          </w:tcPr>
          <w:p>
            <w:pPr>
              <w:spacing w:after="0"/>
            </w:pPr>
            <w:r>
              <w:rPr>
                <w:sz w:val="22"/>
              </w:rPr>
              <w:t>398</w:t>
            </w:r>
          </w:p>
        </w:tc>
        <w:tc>
          <w:tcPr>
            <w:tcW w:type="dxa" w:w="1662"/>
            <w:tcBorders>
              <w:top w:val="single" w:sz="4" w:color="DDE5EF"/>
              <w:left w:val="single" w:sz="4" w:color="DDE5EF"/>
              <w:bottom w:val="single" w:sz="4" w:color="DDE5EF"/>
              <w:right w:val="single" w:sz="4" w:color="DDE5EF"/>
            </w:tcBorders>
          </w:tcPr>
          <w:p>
            <w:pPr>
              <w:spacing w:after="0"/>
            </w:pPr>
            <w:r>
              <w:rPr>
                <w:sz w:val="22"/>
              </w:rPr>
              <w:t>~34%</w:t>
            </w:r>
          </w:p>
        </w:tc>
        <w:tc>
          <w:tcPr>
            <w:tcW w:type="dxa" w:w="1662"/>
            <w:tcBorders>
              <w:top w:val="single" w:sz="4" w:color="DDE5EF"/>
              <w:left w:val="single" w:sz="4" w:color="DDE5EF"/>
              <w:bottom w:val="single" w:sz="4" w:color="DDE5EF"/>
              <w:right w:val="single" w:sz="4" w:color="DDE5EF"/>
            </w:tcBorders>
          </w:tcPr>
          <w:p>
            <w:pPr>
              <w:spacing w:after="0"/>
            </w:pPr>
            <w:r>
              <w:rPr>
                <w:sz w:val="22"/>
              </w:rPr>
              <w:t>~5 yr</w:t>
            </w:r>
          </w:p>
        </w:tc>
      </w:tr>
      <w:tr>
        <w:tc>
          <w:tcPr>
            <w:tcW w:type="dxa" w:w="1662"/>
            <w:tcBorders>
              <w:top w:val="single" w:sz="4" w:color="DDE5EF"/>
              <w:left w:val="single" w:sz="4" w:color="DDE5EF"/>
              <w:bottom w:val="single" w:sz="4" w:color="DDE5EF"/>
              <w:right w:val="single" w:sz="4" w:color="DDE5EF"/>
            </w:tcBorders>
          </w:tcPr>
          <w:p>
            <w:pPr>
              <w:spacing w:after="0"/>
            </w:pPr>
            <w:r>
              <w:rPr>
                <w:b/>
                <w:sz w:val="22"/>
              </w:rPr>
              <w:t>Downside</w:t>
            </w:r>
            <w:r>
              <w:rPr>
                <w:sz w:val="22"/>
              </w:rPr>
              <w:t xml:space="preserve"> — partial schema inclusion + Phase 2 slip + Indra overlap conflict</w:t>
            </w:r>
          </w:p>
        </w:tc>
        <w:tc>
          <w:tcPr>
            <w:tcW w:type="dxa" w:w="1662"/>
            <w:tcBorders>
              <w:top w:val="single" w:sz="4" w:color="DDE5EF"/>
              <w:left w:val="single" w:sz="4" w:color="DDE5EF"/>
              <w:bottom w:val="single" w:sz="4" w:color="DDE5EF"/>
              <w:right w:val="single" w:sz="4" w:color="DDE5EF"/>
            </w:tcBorders>
          </w:tcPr>
          <w:p>
            <w:pPr>
              <w:spacing w:after="0"/>
            </w:pPr>
            <w:r>
              <w:rPr>
                <w:sz w:val="22"/>
              </w:rPr>
              <w:t>20%</w:t>
            </w:r>
          </w:p>
        </w:tc>
        <w:tc>
          <w:tcPr>
            <w:tcW w:type="dxa" w:w="1662"/>
            <w:tcBorders>
              <w:top w:val="single" w:sz="4" w:color="DDE5EF"/>
              <w:left w:val="single" w:sz="4" w:color="DDE5EF"/>
              <w:bottom w:val="single" w:sz="4" w:color="DDE5EF"/>
              <w:right w:val="single" w:sz="4" w:color="DDE5EF"/>
            </w:tcBorders>
          </w:tcPr>
          <w:p>
            <w:pPr>
              <w:spacing w:after="0"/>
            </w:pPr>
            <w:r>
              <w:rPr>
                <w:sz w:val="22"/>
              </w:rPr>
              <w:t>310</w:t>
            </w:r>
          </w:p>
        </w:tc>
        <w:tc>
          <w:tcPr>
            <w:tcW w:type="dxa" w:w="1662"/>
            <w:tcBorders>
              <w:top w:val="single" w:sz="4" w:color="DDE5EF"/>
              <w:left w:val="single" w:sz="4" w:color="DDE5EF"/>
              <w:bottom w:val="single" w:sz="4" w:color="DDE5EF"/>
              <w:right w:val="single" w:sz="4" w:color="DDE5EF"/>
            </w:tcBorders>
          </w:tcPr>
          <w:p>
            <w:pPr>
              <w:spacing w:after="0"/>
            </w:pPr>
            <w:r>
              <w:rPr>
                <w:sz w:val="22"/>
              </w:rPr>
              <w:t>54</w:t>
            </w:r>
          </w:p>
        </w:tc>
        <w:tc>
          <w:tcPr>
            <w:tcW w:type="dxa" w:w="1662"/>
            <w:tcBorders>
              <w:top w:val="single" w:sz="4" w:color="DDE5EF"/>
              <w:left w:val="single" w:sz="4" w:color="DDE5EF"/>
              <w:bottom w:val="single" w:sz="4" w:color="DDE5EF"/>
              <w:right w:val="single" w:sz="4" w:color="DDE5EF"/>
            </w:tcBorders>
          </w:tcPr>
          <w:p>
            <w:pPr>
              <w:spacing w:after="0"/>
            </w:pPr>
            <w:r>
              <w:rPr>
                <w:sz w:val="22"/>
              </w:rPr>
              <w:t>~13%</w:t>
            </w:r>
          </w:p>
        </w:tc>
        <w:tc>
          <w:tcPr>
            <w:tcW w:type="dxa" w:w="1662"/>
            <w:tcBorders>
              <w:top w:val="single" w:sz="4" w:color="DDE5EF"/>
              <w:left w:val="single" w:sz="4" w:color="DDE5EF"/>
              <w:bottom w:val="single" w:sz="4" w:color="DDE5EF"/>
              <w:right w:val="single" w:sz="4" w:color="DDE5EF"/>
            </w:tcBorders>
          </w:tcPr>
          <w:p>
            <w:pPr>
              <w:spacing w:after="0"/>
            </w:pPr>
            <w:r>
              <w:rPr>
                <w:sz w:val="22"/>
              </w:rPr>
              <w:t>~9 yr</w:t>
            </w:r>
          </w:p>
        </w:tc>
      </w:tr>
      <w:tr>
        <w:tc>
          <w:tcPr>
            <w:tcW w:type="dxa" w:w="1662"/>
            <w:tcBorders>
              <w:top w:val="single" w:sz="4" w:color="DDE5EF"/>
              <w:left w:val="single" w:sz="4" w:color="DDE5EF"/>
              <w:bottom w:val="single" w:sz="4" w:color="DDE5EF"/>
              <w:right w:val="single" w:sz="4" w:color="DDE5EF"/>
            </w:tcBorders>
          </w:tcPr>
          <w:p>
            <w:pPr>
              <w:spacing w:after="0"/>
            </w:pPr>
            <w:r>
              <w:rPr>
                <w:b/>
                <w:sz w:val="22"/>
              </w:rPr>
              <w:t>No-go</w:t>
            </w:r>
            <w:r>
              <w:rPr>
                <w:sz w:val="22"/>
              </w:rPr>
              <w:t xml:space="preserve"> — schema freezes without SPARTA + pivot fails</w:t>
            </w:r>
          </w:p>
        </w:tc>
        <w:tc>
          <w:tcPr>
            <w:tcW w:type="dxa" w:w="1662"/>
            <w:tcBorders>
              <w:top w:val="single" w:sz="4" w:color="DDE5EF"/>
              <w:left w:val="single" w:sz="4" w:color="DDE5EF"/>
              <w:bottom w:val="single" w:sz="4" w:color="DDE5EF"/>
              <w:right w:val="single" w:sz="4" w:color="DDE5EF"/>
            </w:tcBorders>
          </w:tcPr>
          <w:p>
            <w:pPr>
              <w:spacing w:after="0"/>
            </w:pPr>
            <w:r>
              <w:rPr>
                <w:sz w:val="22"/>
              </w:rPr>
              <w:t>5%</w:t>
            </w:r>
          </w:p>
        </w:tc>
        <w:tc>
          <w:tcPr>
            <w:tcW w:type="dxa" w:w="1662"/>
            <w:tcBorders>
              <w:top w:val="single" w:sz="4" w:color="DDE5EF"/>
              <w:left w:val="single" w:sz="4" w:color="DDE5EF"/>
              <w:bottom w:val="single" w:sz="4" w:color="DDE5EF"/>
              <w:right w:val="single" w:sz="4" w:color="DDE5EF"/>
            </w:tcBorders>
          </w:tcPr>
          <w:p>
            <w:pPr>
              <w:spacing w:after="0"/>
            </w:pPr>
            <w:r>
              <w:rPr>
                <w:sz w:val="22"/>
              </w:rPr>
              <w:t>40</w:t>
            </w:r>
          </w:p>
        </w:tc>
        <w:tc>
          <w:tcPr>
            <w:tcW w:type="dxa" w:w="1662"/>
            <w:tcBorders>
              <w:top w:val="single" w:sz="4" w:color="DDE5EF"/>
              <w:left w:val="single" w:sz="4" w:color="DDE5EF"/>
              <w:bottom w:val="single" w:sz="4" w:color="DDE5EF"/>
              <w:right w:val="single" w:sz="4" w:color="DDE5EF"/>
            </w:tcBorders>
          </w:tcPr>
          <w:p>
            <w:pPr>
              <w:spacing w:after="0"/>
            </w:pPr>
            <w:r>
              <w:rPr>
                <w:sz w:val="22"/>
              </w:rPr>
              <w:t>(28)</w:t>
            </w:r>
          </w:p>
        </w:tc>
        <w:tc>
          <w:tcPr>
            <w:tcW w:type="dxa" w:w="1662"/>
            <w:tcBorders>
              <w:top w:val="single" w:sz="4" w:color="DDE5EF"/>
              <w:left w:val="single" w:sz="4" w:color="DDE5EF"/>
              <w:bottom w:val="single" w:sz="4" w:color="DDE5EF"/>
              <w:right w:val="single" w:sz="4" w:color="DDE5EF"/>
            </w:tcBorders>
          </w:tcPr>
          <w:p>
            <w:pPr>
              <w:spacing w:after="0"/>
            </w:pPr>
            <w:r>
              <w:rPr>
                <w:sz w:val="22"/>
              </w:rPr>
              <w:t>negative</w:t>
            </w:r>
          </w:p>
        </w:tc>
        <w:tc>
          <w:tcPr>
            <w:tcW w:type="dxa" w:w="1662"/>
            <w:tcBorders>
              <w:top w:val="single" w:sz="4" w:color="DDE5EF"/>
              <w:left w:val="single" w:sz="4" w:color="DDE5EF"/>
              <w:bottom w:val="single" w:sz="4" w:color="DDE5EF"/>
              <w:right w:val="single" w:sz="4" w:color="DDE5EF"/>
            </w:tcBorders>
          </w:tcPr>
          <w:p>
            <w:pPr>
              <w:spacing w:after="0"/>
            </w:pPr>
            <w:r>
              <w:rPr>
                <w:sz w:val="22"/>
              </w:rPr>
              <w:t>not achieved</w:t>
            </w:r>
          </w:p>
        </w:tc>
      </w:tr>
      <w:tr>
        <w:tc>
          <w:tcPr>
            <w:tcW w:type="dxa" w:w="1662"/>
            <w:tcBorders>
              <w:top w:val="single" w:sz="4" w:color="DDE5EF"/>
              <w:left w:val="single" w:sz="4" w:color="DDE5EF"/>
              <w:bottom w:val="single" w:sz="4" w:color="DDE5EF"/>
              <w:right w:val="single" w:sz="4" w:color="DDE5EF"/>
            </w:tcBorders>
          </w:tcPr>
          <w:p>
            <w:pPr>
              <w:spacing w:after="0"/>
            </w:pPr>
            <w:r>
              <w:rPr>
                <w:b/>
                <w:sz w:val="22"/>
              </w:rPr>
              <w:t>Probability-weighted expected NPV</w:t>
            </w:r>
          </w:p>
        </w:tc>
        <w:tc>
          <w:tcPr>
            <w:tcW w:type="dxa" w:w="1662"/>
            <w:tcBorders>
              <w:top w:val="single" w:sz="4" w:color="DDE5EF"/>
              <w:left w:val="single" w:sz="4" w:color="DDE5EF"/>
              <w:bottom w:val="single" w:sz="4" w:color="DDE5EF"/>
              <w:right w:val="single" w:sz="4" w:color="DDE5EF"/>
            </w:tcBorders>
          </w:tcPr>
          <w:p>
            <w:pPr>
              <w:spacing w:after="0"/>
            </w:pPr>
            <w:r>
              <w:rPr>
                <w:sz w:val="22"/>
              </w:rPr>
              <w:t>100%</w:t>
            </w:r>
          </w:p>
        </w:tc>
        <w:tc>
          <w:tcPr>
            <w:tcW w:type="dxa" w:w="1662"/>
            <w:tcBorders>
              <w:top w:val="single" w:sz="4" w:color="DDE5EF"/>
              <w:left w:val="single" w:sz="4" w:color="DDE5EF"/>
              <w:bottom w:val="single" w:sz="4" w:color="DDE5EF"/>
              <w:right w:val="single" w:sz="4" w:color="DDE5EF"/>
            </w:tcBorders>
          </w:tcPr>
          <w:p>
            <w:pPr>
              <w:spacing w:after="0"/>
            </w:pPr>
            <w:r>
              <w:rPr>
                <w:sz w:val="22"/>
              </w:rPr>
              <w:t>—</w:t>
            </w:r>
          </w:p>
        </w:tc>
        <w:tc>
          <w:tcPr>
            <w:tcW w:type="dxa" w:w="1662"/>
            <w:tcBorders>
              <w:top w:val="single" w:sz="4" w:color="DDE5EF"/>
              <w:left w:val="single" w:sz="4" w:color="DDE5EF"/>
              <w:bottom w:val="single" w:sz="4" w:color="DDE5EF"/>
              <w:right w:val="single" w:sz="4" w:color="DDE5EF"/>
            </w:tcBorders>
          </w:tcPr>
          <w:p>
            <w:pPr>
              <w:spacing w:after="0"/>
            </w:pPr>
            <w:r>
              <w:rPr>
                <w:b/>
                <w:sz w:val="22"/>
              </w:rPr>
              <w:t>233</w:t>
            </w:r>
          </w:p>
        </w:tc>
        <w:tc>
          <w:tcPr>
            <w:tcW w:type="dxa" w:w="1662"/>
            <w:tcBorders>
              <w:top w:val="single" w:sz="4" w:color="DDE5EF"/>
              <w:left w:val="single" w:sz="4" w:color="DDE5EF"/>
              <w:bottom w:val="single" w:sz="4" w:color="DDE5EF"/>
              <w:right w:val="single" w:sz="4" w:color="DDE5EF"/>
            </w:tcBorders>
          </w:tcPr>
          <w:p>
            <w:pPr>
              <w:spacing w:after="0"/>
            </w:pPr>
            <w:r>
              <w:rPr>
                <w:sz w:val="22"/>
              </w:rPr>
              <w:t>—</w:t>
            </w:r>
          </w:p>
        </w:tc>
        <w:tc>
          <w:tcPr>
            <w:tcW w:type="dxa" w:w="1662"/>
            <w:tcBorders>
              <w:top w:val="single" w:sz="4" w:color="DDE5EF"/>
              <w:left w:val="single" w:sz="4" w:color="DDE5EF"/>
              <w:bottom w:val="single" w:sz="4" w:color="DDE5EF"/>
              <w:right w:val="single" w:sz="4" w:color="DDE5EF"/>
            </w:tcBorders>
          </w:tcPr>
          <w:p>
            <w:pPr>
              <w:spacing w:after="0"/>
            </w:pPr>
            <w:r>
              <w:rPr>
                <w:sz w:val="22"/>
              </w:rPr>
              <w:t>—</w:t>
            </w:r>
          </w:p>
        </w:tc>
      </w:tr>
    </w:tbl>
    <w:p>
      <w:pPr>
        <w:spacing w:after="40"/>
      </w:pPr>
    </w:p>
    <w:p>
      <w:pPr>
        <w:pStyle w:val="Heading3"/>
      </w:pPr>
      <w:r>
        <w:t>5.3.3 Sensitivity analysis</w:t>
      </w:r>
    </w:p>
    <w:p>
      <w:pPr>
        <w:spacing w:before="120" w:after="40"/>
        <w:jc w:val="center"/>
      </w:pPr>
      <w:r>
        <w:drawing>
          <wp:inline xmlns:a="http://schemas.openxmlformats.org/drawingml/2006/main" xmlns:pic="http://schemas.openxmlformats.org/drawingml/2006/picture">
            <wp:extent cx="5943600" cy="2476500"/>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5943600" cy="2476500"/>
                    </a:xfrm>
                    <a:prstGeom prst="rect"/>
                  </pic:spPr>
                </pic:pic>
              </a:graphicData>
            </a:graphic>
          </wp:inline>
        </w:drawing>
      </w:r>
    </w:p>
    <w:p>
      <w:pPr>
        <w:spacing w:before="0" w:after="120"/>
        <w:jc w:val="center"/>
      </w:pPr>
      <w:r>
        <w:rPr>
          <w:i/>
          <w:color w:val="52627A"/>
          <w:sz w:val="19"/>
        </w:rPr>
        <w:t>Figure 6. Tornado sensitivity around the base-case NPV. Each bar is the NPV change from moving one driver while holding all others constant. The two dominant downside drivers — MARS schema adoption and Phase 2 demonstrator timing — are both directly controllable by Airbus DS actions in 2026, which is the quantitative basis for the conditional GO recommendation in §8.</w:t>
      </w:r>
    </w:p>
    <w:p>
      <w:pPr>
        <w:pStyle w:val="Heading3"/>
      </w:pPr>
      <w:r>
        <w:t>5.3.4 Margin profile and cost-avoidance</w:t>
      </w:r>
    </w:p>
    <w:p>
      <w:pPr>
        <w:spacing w:after="120"/>
      </w:pPr>
      <w:r>
        <w:rPr>
          <w:sz w:val="22"/>
        </w:rPr>
        <w:t xml:space="preserve">The margin profile evolves materially across the horizon. In the early years (2026–2029), revenue is dominated by FCAS-direct (S1), which carries programme-typical defence-prime margins. By the mid-2030s, recurring services (S3) reach approximately 30% of total revenue with software-services margins of 55–65% gross, lifting the blended margin profile. In the late 2030s, S3 reaches approximately 40% of total revenue and the blended margin profile is materially superior to programme-prime-only revenue. This evolution is part of the strategic case: SPARTA is not just a revenue-generating asset, it is a P&amp;L-texture improvement asset for Airbus DS [R-2] </w:t>
      </w:r>
      <w:r>
        <w:rPr>
          <w:sz w:val="22"/>
        </w:rPr>
        <w:t>.</w:t>
      </w:r>
    </w:p>
    <w:p>
      <w:pPr>
        <w:spacing w:after="120"/>
      </w:pPr>
      <w:r>
        <w:rPr>
          <w:sz w:val="22"/>
        </w:rPr>
        <w:t xml:space="preserve">Indirect economic impacts complement the direct revenue case. Re-integration NRE avoidance from reusing a single canonical trust contract across four to six Airbus DS platforms is modelled at €32–90 M NPV avoided over the horizon (€8–15 M avoided per platform integrated) </w:t>
      </w:r>
      <w:r>
        <w:rPr>
          <w:sz w:val="22"/>
        </w:rPr>
        <w:t xml:space="preserve">. Accreditation-cadence efficiency from content / software separation under SYS-DC-004 is modelled at 30–50% reduction in cyber-content patch re-accreditation cost, anchored on US FACE / OMS comparator data [R-19] </w:t>
      </w:r>
      <w:r>
        <w:rPr>
          <w:sz w:val="22"/>
        </w:rPr>
        <w:t xml:space="preserve">. Incident cost avoidance — the option value of preventing a single false-positive-induced mission-disruption during FCAS Phase 2 — is estimated at €150–400 M-equivalent in programme-slip impact, drawing on Airbus DS programme-slip literature and RUSI sixth-generation-air analysis [R-4][R-22] </w:t>
      </w:r>
      <w:r>
        <w:rPr>
          <w:sz w:val="22"/>
        </w:rPr>
        <w:t>. These indirect impacts are not added to the headline NPV (which would inflate the case) but are documented for the reviewer who wants the full economic picture.</w:t>
      </w:r>
    </w:p>
    <w:p>
      <w:r>
        <w:br/>
      </w:r>
    </w:p>
    <w:p>
      <w:pPr>
        <w:pStyle w:val="Heading1"/>
      </w:pPr>
      <w:r>
        <w:t>6. Compatibility Analysis</w:t>
      </w:r>
    </w:p>
    <w:p>
      <w:pPr>
        <w:spacing w:after="120"/>
      </w:pPr>
      <w:r>
        <w:rPr>
          <w:sz w:val="22"/>
        </w:rPr>
        <w:t>Compatibility analysis is structured along three axes: internal fit (does SPARTA align with Airbus DS strategy, capabilities and culture?), external fit (does SPARTA align with the regulatory, standards-based and customer ecosystem?), and risk assessment (what residual risks remain, how are they categorised, who owns mitigation?). The convention follows the standard Airbus DS programme-review compatibility template.</w:t>
      </w:r>
    </w:p>
    <w:p>
      <w:pPr>
        <w:pStyle w:val="Heading2"/>
      </w:pPr>
      <w:r>
        <w:t>6.1 Internal Fit</w:t>
      </w:r>
    </w:p>
    <w:p>
      <w:pPr>
        <w:pStyle w:val="Heading3"/>
      </w:pPr>
      <w:r>
        <w:t>6.1.1 Strategic fit with Airbus DS direction</w:t>
      </w:r>
    </w:p>
    <w:p>
      <w:pPr>
        <w:spacing w:after="120"/>
      </w:pPr>
      <w:r>
        <w:rPr>
          <w:sz w:val="22"/>
        </w:rPr>
        <w:t xml:space="preserve">SPARTA aligns with three published elements of Airbus Defence &amp; Space (Airbus DS) strategic direction. First, the Multi-Domain Combat Cloud thesis articulated in Airbus DS public materials since 2018 [R-2] depends on a trust layer to be operationally defensible; SPARTA </w:t>
      </w:r>
      <w:r>
        <w:rPr>
          <w:i/>
          <w:sz w:val="22"/>
        </w:rPr>
        <w:t>is</w:t>
      </w:r>
      <w:r>
        <w:rPr>
          <w:sz w:val="22"/>
        </w:rPr>
        <w:t xml:space="preserve"> that trust layer. Second, the MARS open-architecture commitment — Airbus DS's published reference for combat-cloud-enabled mission systems — needs reference plug-ins to defeat the "open in name only" critique [R-2] </w:t>
      </w:r>
      <w:r>
        <w:rPr>
          <w:sz w:val="22"/>
        </w:rPr>
        <w:t>; SPARTA is precisely such a reference plug-in. Third, Airbus DS's stated commitment to sovereign-European cyber capability [R-2] is reinforced by SPARTA's position as a European-headquartered, sovereign-accreditation-acceptable answer to US mission-edge cyber vendors [R-18]. The strategic-fit case is therefore strong.</w:t>
      </w:r>
    </w:p>
    <w:p>
      <w:pPr>
        <w:pStyle w:val="Heading3"/>
      </w:pPr>
      <w:r>
        <w:t>6.1.2 Capabilities and portfolio fit</w:t>
      </w:r>
    </w:p>
    <w:p>
      <w:pPr>
        <w:spacing w:after="120"/>
      </w:pPr>
      <w:r>
        <w:rPr>
          <w:sz w:val="22"/>
        </w:rPr>
        <w:t xml:space="preserve">SPARTA leverages five existing Airbus DS capabilities that competitors cannot easily replicate. First, the multi-decade systems-engineering heritage in Eurofighter, A400M, Eurodrone, MRTT and Tiger / NH90 (twin-engine NATO-class transport / utility helicopter) mission systems [R-2] provides the engineering depth and accreditation track record on which SPARTA depends. Second, Pillar 4 prime status on FCAS [R-1] gives SPARTA programme-anchored access. Third, the Airbus Protect cyber-services capability provides the operational TSOC backend (Orion Malware®, CymID®) that SPARTA consumes [R-2]. Fourth, the Airbus space and connectivity portfolio (Skynet, Network for the Sky) provides the transport layer over which SPARTA traffic flows. </w:t>
      </w:r>
      <w:r>
        <w:rPr>
          <w:b/>
          <w:sz w:val="22"/>
        </w:rPr>
        <w:t>Fifth, Airbus DS's existing pool of cleared staff</w:t>
      </w:r>
      <w:r>
        <w:rPr>
          <w:sz w:val="22"/>
        </w:rPr>
        <w:t xml:space="preserve"> — engineers and analysts already holding national Secret-level clearances earned on A400M, MRTT, Eurofighter and Eurodrone — is large enough to stand up the SPARTA team without depending on the 6–12-month clearance lead times a greenfield competitor would face. This is itself a structural advantage that no external European or US vendor can replicate inside the Q3 2026 acceptance window.</w:t>
      </w:r>
    </w:p>
    <w:p>
      <w:pPr>
        <w:spacing w:after="120"/>
      </w:pPr>
      <w:r>
        <w:rPr>
          <w:sz w:val="22"/>
        </w:rPr>
        <w:t xml:space="preserve">There is no significant capability gap in Airbus DS that SPARTA's success requires building from greenfield. The talent ramp described in §4.1.3 is bounded at approximately </w:t>
      </w:r>
      <w:r>
        <w:rPr>
          <w:b/>
          <w:sz w:val="22"/>
        </w:rPr>
        <w:t>20 dedicated FTE at steady state, plus ~8 FTE-equivalent of allocated time</w:t>
      </w:r>
      <w:r>
        <w:rPr>
          <w:sz w:val="22"/>
        </w:rPr>
        <w:t xml:space="preserve"> from existing Airbus DS / Airbus Protect teams.</w:t>
      </w:r>
    </w:p>
    <w:p>
      <w:pPr>
        <w:pStyle w:val="Heading3"/>
      </w:pPr>
      <w:r>
        <w:t>6.1.3 Cultural fit</w:t>
      </w:r>
    </w:p>
    <w:p>
      <w:pPr>
        <w:spacing w:after="120"/>
      </w:pPr>
      <w:r>
        <w:rPr>
          <w:sz w:val="22"/>
        </w:rPr>
        <w:t>The principal cultural-fit risk is impedance mismatch between SPARTA's software-product operating cadence (operational, fast-iteration content cadence in days–weeks) and the broader Airbus DS engineering culture (multi-year accreditation cycles, formal milestone-driven contracting). The dual-cadence architecture embedded in the technical baseline (SYS-DC-004 content / software separation) is the structural mitigation: the accredited software baseline follows the slower programme cadence, and the signed-content pipeline runs on the operational cadence familiar to the cyber community. Organisationally, this is implemented by having packages P1, P3, P5, P6 governed under standard Airbus DS programme rules and package P4 governed under a lighter, faster CCB co-chaired by Airbus Protect. The boundary between the two is explicit and contractually defined.</w:t>
      </w:r>
    </w:p>
    <w:p>
      <w:pPr>
        <w:pStyle w:val="Heading3"/>
      </w:pPr>
      <w:r>
        <w:t>6.1.4 Financial / P&amp;L fit</w:t>
      </w:r>
    </w:p>
    <w:p>
      <w:pPr>
        <w:spacing w:after="120"/>
      </w:pPr>
      <w:r>
        <w:rPr>
          <w:sz w:val="22"/>
        </w:rPr>
        <w:t xml:space="preserve">SPARTA improves the P&amp;L texture of Airbus DS over the horizon. By 2036, recurring services (S3) reach approximately 30% of SPARTA revenue and carry software-services gross margin (55–65%), which is materially higher than programme-prime defence-revenue gross margin [R-2] </w:t>
      </w:r>
      <w:r>
        <w:rPr>
          <w:sz w:val="22"/>
        </w:rPr>
        <w:t xml:space="preserve">. This evolution is consistent with the long-term Airbus SE strategic direction of growing services revenue as a share of total Defence &amp; Space division revenue, observable in the public Annual Report disclosures [R-2] </w:t>
      </w:r>
      <w:r>
        <w:rPr>
          <w:sz w:val="22"/>
        </w:rPr>
        <w:t>. The financial-fit case is therefore positive on the long horizon, neutral-to-positive on the near horizon.</w:t>
      </w:r>
    </w:p>
    <w:p>
      <w:pPr>
        <w:pStyle w:val="Heading2"/>
      </w:pPr>
      <w:r>
        <w:t>6.2 External Fit</w:t>
      </w:r>
    </w:p>
    <w:p>
      <w:pPr>
        <w:pStyle w:val="Heading3"/>
      </w:pPr>
      <w:r>
        <w:t>6.2.1 Regulatory fit</w:t>
      </w:r>
    </w:p>
    <w:p>
      <w:pPr>
        <w:spacing w:after="120"/>
      </w:pPr>
      <w:r>
        <w:rPr>
          <w:sz w:val="22"/>
        </w:rPr>
        <w:t>SPARTA's external regulatory fit is structurally favourable. The NIS2 Directive [R-12] raises the floor on identifiable, auditable cyber telemetry across critical infrastructure operators and supply chains — SPARTA's data contract (NodeStatus, AnomalyEvent, TrustAssessment, ResponseRecommendation, PolicyBundle, EvidencePackage, HealthReport) is designed to satisfy NIS2-style auditability from inception. The EU Cyber Resilience Act [R-13] imposes horizontal cybersecurity requirements on products with digital elements; SPARTA's signed hot-swap content pipeline (SYS-DC-005), supply-chain provenance (SBOM, SLSA-3), and identity / PKI integration (IF-EXT-05) satisfy the load-bearing elements of CRA obligations. The NIST SP 800-160 Vol. 2 cyber-resilience engineering doctrine [R-14] provides the systems-engineering reference against which SPARTA's assurance case is constructed. None of these regulatory frameworks creates a structural incompatibility; they all create demand.</w:t>
      </w:r>
    </w:p>
    <w:p>
      <w:pPr>
        <w:pStyle w:val="Heading3"/>
      </w:pPr>
      <w:r>
        <w:t>6.2.2 Standards fit</w:t>
      </w:r>
    </w:p>
    <w:p>
      <w:pPr>
        <w:spacing w:after="120"/>
      </w:pPr>
      <w:r>
        <w:rPr>
          <w:sz w:val="22"/>
        </w:rPr>
        <w:t>SPARTA's external standards fit is similarly favourable. STANAG 4586 [R-5] for UAV control system interoperability, IEEE 15288 [R-6] for systems-engineering life-cycle processes, and the NATO Federated Mission Networking capability framework [R-17] provide the standards substrate. SPARTA's data contract is designed to be carried over NATO FMN-compliant transports, and its interface schemas (IF-EXT-01..07) are versioned under SYS-IF-005 governance that is forward-compatible by design.</w:t>
      </w:r>
    </w:p>
    <w:p>
      <w:pPr>
        <w:pStyle w:val="Heading3"/>
      </w:pPr>
      <w:r>
        <w:t>6.2.3 Customer-side fit</w:t>
      </w:r>
    </w:p>
    <w:p>
      <w:pPr>
        <w:spacing w:after="120"/>
      </w:pPr>
      <w:r>
        <w:rPr>
          <w:sz w:val="22"/>
        </w:rPr>
        <w:t>The customer-side fit is strong against the sovereign-accreditation customer profile. National accreditation authorities (DGA-MI, ANSSI in France; BSI, Cyber-Innovationshub in Germany; CCN-CERT, INCIBE in Spain) [R-15][R-16] each operate methodologies that explicitly require bounded, auditable, advisory-only cyber behaviour for autonomous platforms; SPARTA's SYS-DC-001 advisory-only constraint and SYS-OPS-004 policy-gated action rule are designed for exactly that customer profile. The fit is somewhat weaker against any customer profile that might demand unbounded autonomous cyber actuation; the deliberate strategic choice has been to forgo that fit in exchange for sovereign-accreditation acceptance, because the European sovereign-accreditation customer profile is the larger and more durable market.</w:t>
      </w:r>
    </w:p>
    <w:p>
      <w:pPr>
        <w:pStyle w:val="Heading3"/>
      </w:pPr>
      <w:r>
        <w:t>6.2.4 Competitive / ecosystem fit</w:t>
      </w:r>
    </w:p>
    <w:p>
      <w:pPr>
        <w:spacing w:after="120"/>
      </w:pPr>
      <w:r>
        <w:rPr>
          <w:sz w:val="22"/>
        </w:rPr>
        <w:t xml:space="preserve">The competitive ecosystem fit is the most strategically sensitive. SPARTA is designed to be a pre-emptive answer to the prospect that US mission-edge cyber vendors (Anduril, Palantir, Shift5) set a NATO-level standard before FCAS does [R-18] </w:t>
      </w:r>
      <w:r>
        <w:rPr>
          <w:sz w:val="22"/>
        </w:rPr>
        <w:t>. The competitive fit relies on three things being true: that the FCAS Combat Cloud schema is not yet frozen (true as of Q2 2026); that Airbus DS retains Pillar 4 prime status (true as of Q2 2026 [R-1]); and that the European Defence Fund continues to fund cyber-resilience lines in its annual Work Programmes (true through the 2025 cycle [R-8]). Each of these conditions has an associated open point in the risk register (§6.3) and an explicit closure criterion.</w:t>
      </w:r>
    </w:p>
    <w:p>
      <w:pPr>
        <w:pStyle w:val="Heading2"/>
      </w:pPr>
      <w:r>
        <w:t>6.3 Risk Assessment</w:t>
      </w:r>
    </w:p>
    <w:p>
      <w:pPr>
        <w:spacing w:after="120"/>
      </w:pPr>
      <w:r>
        <w:rPr>
          <w:sz w:val="22"/>
        </w:rPr>
        <w:t>The risk assessment is a consolidated, ten-row strategic-risk register complemented by the technical open points carried over from the SPARTA Datapack. The register is the load-bearing artefact for board review; it has been cleaned and renumbered (SR-01 through SR-10) for clarity, and is followed in §6.3.2 by a short narrative for each risk and in §6.3.3 by a pre- and post-mitigation visualisation.</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ID</w:t>
            </w:r>
          </w:p>
        </w:tc>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Risk</w:t>
            </w:r>
          </w:p>
        </w:tc>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L</w:t>
            </w:r>
          </w:p>
        </w:tc>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I</w:t>
            </w:r>
          </w:p>
        </w:tc>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Mitigation / treatment</w:t>
            </w:r>
          </w:p>
        </w:tc>
        <w:tc>
          <w:tcPr>
            <w:tcW w:type="dxa" w:w="1662"/>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Owner</w:t>
            </w:r>
          </w:p>
        </w:tc>
      </w:tr>
      <w:tr>
        <w:tc>
          <w:tcPr>
            <w:tcW w:type="dxa" w:w="1662"/>
            <w:tcBorders>
              <w:top w:val="single" w:sz="4" w:color="DDE5EF"/>
              <w:left w:val="single" w:sz="4" w:color="DDE5EF"/>
              <w:bottom w:val="single" w:sz="4" w:color="DDE5EF"/>
              <w:right w:val="single" w:sz="4" w:color="DDE5EF"/>
            </w:tcBorders>
          </w:tcPr>
          <w:p>
            <w:pPr>
              <w:spacing w:after="0"/>
            </w:pPr>
            <w:r>
              <w:rPr>
                <w:sz w:val="22"/>
              </w:rPr>
              <w:t>SR-01</w:t>
            </w:r>
          </w:p>
        </w:tc>
        <w:tc>
          <w:tcPr>
            <w:tcW w:type="dxa" w:w="1662"/>
            <w:tcBorders>
              <w:top w:val="single" w:sz="4" w:color="DDE5EF"/>
              <w:left w:val="single" w:sz="4" w:color="DDE5EF"/>
              <w:bottom w:val="single" w:sz="4" w:color="DDE5EF"/>
              <w:right w:val="single" w:sz="4" w:color="DDE5EF"/>
            </w:tcBorders>
          </w:tcPr>
          <w:p>
            <w:pPr>
              <w:spacing w:after="0"/>
            </w:pPr>
            <w:r>
              <w:rPr>
                <w:b/>
                <w:sz w:val="22"/>
              </w:rPr>
              <w:t>Technical:</w:t>
            </w:r>
            <w:r>
              <w:rPr>
                <w:sz w:val="22"/>
              </w:rPr>
              <w:t xml:space="preserve"> MARS schema freezes without SPARTA trust object inside</w:t>
            </w:r>
          </w:p>
        </w:tc>
        <w:tc>
          <w:tcPr>
            <w:tcW w:type="dxa" w:w="1662"/>
            <w:tcBorders>
              <w:top w:val="single" w:sz="4" w:color="DDE5EF"/>
              <w:left w:val="single" w:sz="4" w:color="DDE5EF"/>
              <w:bottom w:val="single" w:sz="4" w:color="DDE5EF"/>
              <w:right w:val="single" w:sz="4" w:color="DDE5EF"/>
            </w:tcBorders>
          </w:tcPr>
          <w:p>
            <w:pPr>
              <w:spacing w:after="0"/>
            </w:pPr>
            <w:r>
              <w:rPr>
                <w:sz w:val="22"/>
              </w:rPr>
              <w:t>M</w:t>
            </w:r>
          </w:p>
        </w:tc>
        <w:tc>
          <w:tcPr>
            <w:tcW w:type="dxa" w:w="1662"/>
            <w:tcBorders>
              <w:top w:val="single" w:sz="4" w:color="DDE5EF"/>
              <w:left w:val="single" w:sz="4" w:color="DDE5EF"/>
              <w:bottom w:val="single" w:sz="4" w:color="DDE5EF"/>
              <w:right w:val="single" w:sz="4" w:color="DDE5EF"/>
            </w:tcBorders>
          </w:tcPr>
          <w:p>
            <w:pPr>
              <w:spacing w:after="0"/>
            </w:pPr>
            <w:r>
              <w:rPr>
                <w:sz w:val="22"/>
              </w:rPr>
              <w:t>Critical</w:t>
            </w:r>
          </w:p>
        </w:tc>
        <w:tc>
          <w:tcPr>
            <w:tcW w:type="dxa" w:w="1662"/>
            <w:tcBorders>
              <w:top w:val="single" w:sz="4" w:color="DDE5EF"/>
              <w:left w:val="single" w:sz="4" w:color="DDE5EF"/>
              <w:bottom w:val="single" w:sz="4" w:color="DDE5EF"/>
              <w:right w:val="single" w:sz="4" w:color="DDE5EF"/>
            </w:tcBorders>
          </w:tcPr>
          <w:p>
            <w:pPr>
              <w:spacing w:after="0"/>
            </w:pPr>
            <w:r>
              <w:rPr>
                <w:sz w:val="22"/>
              </w:rPr>
              <w:t>Schema-board mandate. Pre-CDR insertion of NodeStatus / TrustAssessment (early definition). Letter of intent from Combat Cloud architecture board (Ask #3).</w:t>
            </w:r>
          </w:p>
        </w:tc>
        <w:tc>
          <w:tcPr>
            <w:tcW w:type="dxa" w:w="1662"/>
            <w:tcBorders>
              <w:top w:val="single" w:sz="4" w:color="DDE5EF"/>
              <w:left w:val="single" w:sz="4" w:color="DDE5EF"/>
              <w:bottom w:val="single" w:sz="4" w:color="DDE5EF"/>
              <w:right w:val="single" w:sz="4" w:color="DDE5EF"/>
            </w:tcBorders>
          </w:tcPr>
          <w:p>
            <w:pPr>
              <w:spacing w:after="0"/>
            </w:pPr>
            <w:r>
              <w:rPr>
                <w:sz w:val="22"/>
              </w:rPr>
              <w:t>Programme Sponsor</w:t>
            </w:r>
          </w:p>
        </w:tc>
      </w:tr>
      <w:tr>
        <w:tc>
          <w:tcPr>
            <w:tcW w:type="dxa" w:w="1662"/>
            <w:tcBorders>
              <w:top w:val="single" w:sz="4" w:color="DDE5EF"/>
              <w:left w:val="single" w:sz="4" w:color="DDE5EF"/>
              <w:bottom w:val="single" w:sz="4" w:color="DDE5EF"/>
              <w:right w:val="single" w:sz="4" w:color="DDE5EF"/>
            </w:tcBorders>
          </w:tcPr>
          <w:p>
            <w:pPr>
              <w:spacing w:after="0"/>
            </w:pPr>
            <w:r>
              <w:rPr>
                <w:sz w:val="22"/>
              </w:rPr>
              <w:t>SR-02</w:t>
            </w:r>
          </w:p>
        </w:tc>
        <w:tc>
          <w:tcPr>
            <w:tcW w:type="dxa" w:w="1662"/>
            <w:tcBorders>
              <w:top w:val="single" w:sz="4" w:color="DDE5EF"/>
              <w:left w:val="single" w:sz="4" w:color="DDE5EF"/>
              <w:bottom w:val="single" w:sz="4" w:color="DDE5EF"/>
              <w:right w:val="single" w:sz="4" w:color="DDE5EF"/>
            </w:tcBorders>
          </w:tcPr>
          <w:p>
            <w:pPr>
              <w:spacing w:after="0"/>
            </w:pPr>
            <w:r>
              <w:rPr>
                <w:b/>
                <w:sz w:val="22"/>
              </w:rPr>
              <w:t>Organisational:</w:t>
            </w:r>
            <w:r>
              <w:rPr>
                <w:sz w:val="22"/>
              </w:rPr>
              <w:t xml:space="preserve"> Airbus DS decision-rhythm is structurally slower than the 2026–2029 schema-freeze window allows.</w:t>
            </w:r>
          </w:p>
        </w:tc>
        <w:tc>
          <w:tcPr>
            <w:tcW w:type="dxa" w:w="1662"/>
            <w:tcBorders>
              <w:top w:val="single" w:sz="4" w:color="DDE5EF"/>
              <w:left w:val="single" w:sz="4" w:color="DDE5EF"/>
              <w:bottom w:val="single" w:sz="4" w:color="DDE5EF"/>
              <w:right w:val="single" w:sz="4" w:color="DDE5EF"/>
            </w:tcBorders>
          </w:tcPr>
          <w:p>
            <w:pPr>
              <w:spacing w:after="0"/>
            </w:pPr>
            <w:r>
              <w:rPr>
                <w:sz w:val="22"/>
              </w:rPr>
              <w:t>M-H</w:t>
            </w:r>
          </w:p>
        </w:tc>
        <w:tc>
          <w:tcPr>
            <w:tcW w:type="dxa" w:w="1662"/>
            <w:tcBorders>
              <w:top w:val="single" w:sz="4" w:color="DDE5EF"/>
              <w:left w:val="single" w:sz="4" w:color="DDE5EF"/>
              <w:bottom w:val="single" w:sz="4" w:color="DDE5EF"/>
              <w:right w:val="single" w:sz="4" w:color="DDE5EF"/>
            </w:tcBorders>
          </w:tcPr>
          <w:p>
            <w:pPr>
              <w:spacing w:after="0"/>
            </w:pPr>
            <w:r>
              <w:rPr>
                <w:sz w:val="22"/>
              </w:rPr>
              <w:t>High</w:t>
            </w:r>
          </w:p>
        </w:tc>
        <w:tc>
          <w:tcPr>
            <w:tcW w:type="dxa" w:w="1662"/>
            <w:tcBorders>
              <w:top w:val="single" w:sz="4" w:color="DDE5EF"/>
              <w:left w:val="single" w:sz="4" w:color="DDE5EF"/>
              <w:bottom w:val="single" w:sz="4" w:color="DDE5EF"/>
              <w:right w:val="single" w:sz="4" w:color="DDE5EF"/>
            </w:tcBorders>
          </w:tcPr>
          <w:p>
            <w:pPr>
              <w:spacing w:after="0"/>
            </w:pPr>
            <w:r>
              <w:rPr>
                <w:sz w:val="22"/>
              </w:rPr>
              <w:t>(a) Appoint a single empowered decision-shepherd at Airbus DS Combat Air Systems leadership level with explicit mandate to escalate stalled decisions within 30 days. (b) Run a sustained internal and external promotion campaign for SPARTA.</w:t>
            </w:r>
          </w:p>
        </w:tc>
        <w:tc>
          <w:tcPr>
            <w:tcW w:type="dxa" w:w="1662"/>
            <w:tcBorders>
              <w:top w:val="single" w:sz="4" w:color="DDE5EF"/>
              <w:left w:val="single" w:sz="4" w:color="DDE5EF"/>
              <w:bottom w:val="single" w:sz="4" w:color="DDE5EF"/>
              <w:right w:val="single" w:sz="4" w:color="DDE5EF"/>
            </w:tcBorders>
          </w:tcPr>
          <w:p>
            <w:pPr>
              <w:spacing w:after="0"/>
            </w:pPr>
            <w:r>
              <w:rPr>
                <w:sz w:val="22"/>
              </w:rPr>
              <w:t>Programme Sponsor</w:t>
            </w:r>
          </w:p>
        </w:tc>
      </w:tr>
      <w:tr>
        <w:tc>
          <w:tcPr>
            <w:tcW w:type="dxa" w:w="1662"/>
            <w:tcBorders>
              <w:top w:val="single" w:sz="4" w:color="DDE5EF"/>
              <w:left w:val="single" w:sz="4" w:color="DDE5EF"/>
              <w:bottom w:val="single" w:sz="4" w:color="DDE5EF"/>
              <w:right w:val="single" w:sz="4" w:color="DDE5EF"/>
            </w:tcBorders>
          </w:tcPr>
          <w:p>
            <w:pPr>
              <w:spacing w:after="0"/>
            </w:pPr>
            <w:r>
              <w:rPr>
                <w:sz w:val="22"/>
              </w:rPr>
              <w:t>SR-03</w:t>
            </w:r>
          </w:p>
        </w:tc>
        <w:tc>
          <w:tcPr>
            <w:tcW w:type="dxa" w:w="1662"/>
            <w:tcBorders>
              <w:top w:val="single" w:sz="4" w:color="DDE5EF"/>
              <w:left w:val="single" w:sz="4" w:color="DDE5EF"/>
              <w:bottom w:val="single" w:sz="4" w:color="DDE5EF"/>
              <w:right w:val="single" w:sz="4" w:color="DDE5EF"/>
            </w:tcBorders>
          </w:tcPr>
          <w:p>
            <w:pPr>
              <w:spacing w:after="0"/>
            </w:pPr>
            <w:r>
              <w:rPr>
                <w:b/>
                <w:sz w:val="22"/>
              </w:rPr>
              <w:t>Programmatic:</w:t>
            </w:r>
            <w:r>
              <w:rPr>
                <w:sz w:val="22"/>
              </w:rPr>
              <w:t xml:space="preserve"> Workshare re-opens if SPARTA is framed as a new pillar</w:t>
            </w:r>
          </w:p>
        </w:tc>
        <w:tc>
          <w:tcPr>
            <w:tcW w:type="dxa" w:w="1662"/>
            <w:tcBorders>
              <w:top w:val="single" w:sz="4" w:color="DDE5EF"/>
              <w:left w:val="single" w:sz="4" w:color="DDE5EF"/>
              <w:bottom w:val="single" w:sz="4" w:color="DDE5EF"/>
              <w:right w:val="single" w:sz="4" w:color="DDE5EF"/>
            </w:tcBorders>
          </w:tcPr>
          <w:p>
            <w:pPr>
              <w:spacing w:after="0"/>
            </w:pPr>
            <w:r>
              <w:rPr>
                <w:sz w:val="22"/>
              </w:rPr>
              <w:t>M-H</w:t>
            </w:r>
          </w:p>
        </w:tc>
        <w:tc>
          <w:tcPr>
            <w:tcW w:type="dxa" w:w="1662"/>
            <w:tcBorders>
              <w:top w:val="single" w:sz="4" w:color="DDE5EF"/>
              <w:left w:val="single" w:sz="4" w:color="DDE5EF"/>
              <w:bottom w:val="single" w:sz="4" w:color="DDE5EF"/>
              <w:right w:val="single" w:sz="4" w:color="DDE5EF"/>
            </w:tcBorders>
          </w:tcPr>
          <w:p>
            <w:pPr>
              <w:spacing w:after="0"/>
            </w:pPr>
            <w:r>
              <w:rPr>
                <w:sz w:val="22"/>
              </w:rPr>
              <w:t>High</w:t>
            </w:r>
          </w:p>
        </w:tc>
        <w:tc>
          <w:tcPr>
            <w:tcW w:type="dxa" w:w="1662"/>
            <w:tcBorders>
              <w:top w:val="single" w:sz="4" w:color="DDE5EF"/>
              <w:left w:val="single" w:sz="4" w:color="DDE5EF"/>
              <w:bottom w:val="single" w:sz="4" w:color="DDE5EF"/>
              <w:right w:val="single" w:sz="4" w:color="DDE5EF"/>
            </w:tcBorders>
          </w:tcPr>
          <w:p>
            <w:pPr>
              <w:spacing w:after="0"/>
            </w:pPr>
            <w:r>
              <w:rPr>
                <w:sz w:val="22"/>
              </w:rPr>
              <w:t>Anchor strictly inside Pillar 4. Never propose as new pillar.</w:t>
            </w:r>
          </w:p>
        </w:tc>
        <w:tc>
          <w:tcPr>
            <w:tcW w:type="dxa" w:w="1662"/>
            <w:tcBorders>
              <w:top w:val="single" w:sz="4" w:color="DDE5EF"/>
              <w:left w:val="single" w:sz="4" w:color="DDE5EF"/>
              <w:bottom w:val="single" w:sz="4" w:color="DDE5EF"/>
              <w:right w:val="single" w:sz="4" w:color="DDE5EF"/>
            </w:tcBorders>
          </w:tcPr>
          <w:p>
            <w:pPr>
              <w:spacing w:after="0"/>
            </w:pPr>
            <w:r>
              <w:rPr>
                <w:sz w:val="22"/>
              </w:rPr>
              <w:t>Programme Sponsor</w:t>
            </w:r>
          </w:p>
        </w:tc>
      </w:tr>
      <w:tr>
        <w:tc>
          <w:tcPr>
            <w:tcW w:type="dxa" w:w="1662"/>
            <w:tcBorders>
              <w:top w:val="single" w:sz="4" w:color="DDE5EF"/>
              <w:left w:val="single" w:sz="4" w:color="DDE5EF"/>
              <w:bottom w:val="single" w:sz="4" w:color="DDE5EF"/>
              <w:right w:val="single" w:sz="4" w:color="DDE5EF"/>
            </w:tcBorders>
          </w:tcPr>
          <w:p>
            <w:pPr>
              <w:spacing w:after="0"/>
            </w:pPr>
            <w:r>
              <w:rPr>
                <w:sz w:val="22"/>
              </w:rPr>
              <w:t>SR-04</w:t>
            </w:r>
          </w:p>
        </w:tc>
        <w:tc>
          <w:tcPr>
            <w:tcW w:type="dxa" w:w="1662"/>
            <w:tcBorders>
              <w:top w:val="single" w:sz="4" w:color="DDE5EF"/>
              <w:left w:val="single" w:sz="4" w:color="DDE5EF"/>
              <w:bottom w:val="single" w:sz="4" w:color="DDE5EF"/>
              <w:right w:val="single" w:sz="4" w:color="DDE5EF"/>
            </w:tcBorders>
          </w:tcPr>
          <w:p>
            <w:pPr>
              <w:spacing w:after="0"/>
            </w:pPr>
            <w:r>
              <w:rPr>
                <w:b/>
                <w:sz w:val="22"/>
              </w:rPr>
              <w:t>Political:</w:t>
            </w:r>
            <w:r>
              <w:rPr>
                <w:sz w:val="22"/>
              </w:rPr>
              <w:t xml:space="preserve"> Indra sovereign-cyber objection</w:t>
            </w:r>
          </w:p>
        </w:tc>
        <w:tc>
          <w:tcPr>
            <w:tcW w:type="dxa" w:w="1662"/>
            <w:tcBorders>
              <w:top w:val="single" w:sz="4" w:color="DDE5EF"/>
              <w:left w:val="single" w:sz="4" w:color="DDE5EF"/>
              <w:bottom w:val="single" w:sz="4" w:color="DDE5EF"/>
              <w:right w:val="single" w:sz="4" w:color="DDE5EF"/>
            </w:tcBorders>
          </w:tcPr>
          <w:p>
            <w:pPr>
              <w:spacing w:after="0"/>
            </w:pPr>
            <w:r>
              <w:rPr>
                <w:sz w:val="22"/>
              </w:rPr>
              <w:t>M</w:t>
            </w:r>
          </w:p>
        </w:tc>
        <w:tc>
          <w:tcPr>
            <w:tcW w:type="dxa" w:w="1662"/>
            <w:tcBorders>
              <w:top w:val="single" w:sz="4" w:color="DDE5EF"/>
              <w:left w:val="single" w:sz="4" w:color="DDE5EF"/>
              <w:bottom w:val="single" w:sz="4" w:color="DDE5EF"/>
              <w:right w:val="single" w:sz="4" w:color="DDE5EF"/>
            </w:tcBorders>
          </w:tcPr>
          <w:p>
            <w:pPr>
              <w:spacing w:after="0"/>
            </w:pPr>
            <w:r>
              <w:rPr>
                <w:sz w:val="22"/>
              </w:rPr>
              <w:t>High</w:t>
            </w:r>
          </w:p>
        </w:tc>
        <w:tc>
          <w:tcPr>
            <w:tcW w:type="dxa" w:w="1662"/>
            <w:tcBorders>
              <w:top w:val="single" w:sz="4" w:color="DDE5EF"/>
              <w:left w:val="single" w:sz="4" w:color="DDE5EF"/>
              <w:bottom w:val="single" w:sz="4" w:color="DDE5EF"/>
              <w:right w:val="single" w:sz="4" w:color="DDE5EF"/>
            </w:tcBorders>
          </w:tcPr>
          <w:p>
            <w:pPr>
              <w:spacing w:after="0"/>
            </w:pPr>
            <w:r>
              <w:rPr>
                <w:sz w:val="22"/>
              </w:rPr>
              <w:t>Co-development on tactical correlator + open TSOC interface; joint Madrid-based demo.</w:t>
            </w:r>
          </w:p>
        </w:tc>
        <w:tc>
          <w:tcPr>
            <w:tcW w:type="dxa" w:w="1662"/>
            <w:tcBorders>
              <w:top w:val="single" w:sz="4" w:color="DDE5EF"/>
              <w:left w:val="single" w:sz="4" w:color="DDE5EF"/>
              <w:bottom w:val="single" w:sz="4" w:color="DDE5EF"/>
              <w:right w:val="single" w:sz="4" w:color="DDE5EF"/>
            </w:tcBorders>
          </w:tcPr>
          <w:p>
            <w:pPr>
              <w:spacing w:after="0"/>
            </w:pPr>
            <w:r>
              <w:rPr>
                <w:sz w:val="22"/>
              </w:rPr>
              <w:t>Strategy Cell</w:t>
            </w:r>
          </w:p>
        </w:tc>
      </w:tr>
      <w:tr>
        <w:tc>
          <w:tcPr>
            <w:tcW w:type="dxa" w:w="1662"/>
            <w:tcBorders>
              <w:top w:val="single" w:sz="4" w:color="DDE5EF"/>
              <w:left w:val="single" w:sz="4" w:color="DDE5EF"/>
              <w:bottom w:val="single" w:sz="4" w:color="DDE5EF"/>
              <w:right w:val="single" w:sz="4" w:color="DDE5EF"/>
            </w:tcBorders>
          </w:tcPr>
          <w:p>
            <w:pPr>
              <w:spacing w:after="0"/>
            </w:pPr>
            <w:r>
              <w:rPr>
                <w:sz w:val="22"/>
              </w:rPr>
              <w:t>SR-05</w:t>
            </w:r>
          </w:p>
        </w:tc>
        <w:tc>
          <w:tcPr>
            <w:tcW w:type="dxa" w:w="1662"/>
            <w:tcBorders>
              <w:top w:val="single" w:sz="4" w:color="DDE5EF"/>
              <w:left w:val="single" w:sz="4" w:color="DDE5EF"/>
              <w:bottom w:val="single" w:sz="4" w:color="DDE5EF"/>
              <w:right w:val="single" w:sz="4" w:color="DDE5EF"/>
            </w:tcBorders>
          </w:tcPr>
          <w:p>
            <w:pPr>
              <w:spacing w:after="0"/>
            </w:pPr>
            <w:r>
              <w:rPr>
                <w:b/>
                <w:sz w:val="22"/>
              </w:rPr>
              <w:t>Political:</w:t>
            </w:r>
            <w:r>
              <w:rPr>
                <w:sz w:val="22"/>
              </w:rPr>
              <w:t xml:space="preserve"> Dassault objection that trust constrains NGF autonomy</w:t>
            </w:r>
          </w:p>
        </w:tc>
        <w:tc>
          <w:tcPr>
            <w:tcW w:type="dxa" w:w="1662"/>
            <w:tcBorders>
              <w:top w:val="single" w:sz="4" w:color="DDE5EF"/>
              <w:left w:val="single" w:sz="4" w:color="DDE5EF"/>
              <w:bottom w:val="single" w:sz="4" w:color="DDE5EF"/>
              <w:right w:val="single" w:sz="4" w:color="DDE5EF"/>
            </w:tcBorders>
          </w:tcPr>
          <w:p>
            <w:pPr>
              <w:spacing w:after="0"/>
            </w:pPr>
            <w:r>
              <w:rPr>
                <w:sz w:val="22"/>
              </w:rPr>
              <w:t>L-M</w:t>
            </w:r>
          </w:p>
        </w:tc>
        <w:tc>
          <w:tcPr>
            <w:tcW w:type="dxa" w:w="1662"/>
            <w:tcBorders>
              <w:top w:val="single" w:sz="4" w:color="DDE5EF"/>
              <w:left w:val="single" w:sz="4" w:color="DDE5EF"/>
              <w:bottom w:val="single" w:sz="4" w:color="DDE5EF"/>
              <w:right w:val="single" w:sz="4" w:color="DDE5EF"/>
            </w:tcBorders>
          </w:tcPr>
          <w:p>
            <w:pPr>
              <w:spacing w:after="0"/>
            </w:pPr>
            <w:r>
              <w:rPr>
                <w:sz w:val="22"/>
              </w:rPr>
              <w:t>High</w:t>
            </w:r>
          </w:p>
        </w:tc>
        <w:tc>
          <w:tcPr>
            <w:tcW w:type="dxa" w:w="1662"/>
            <w:tcBorders>
              <w:top w:val="single" w:sz="4" w:color="DDE5EF"/>
              <w:left w:val="single" w:sz="4" w:color="DDE5EF"/>
              <w:bottom w:val="single" w:sz="4" w:color="DDE5EF"/>
              <w:right w:val="single" w:sz="4" w:color="DDE5EF"/>
            </w:tcBorders>
          </w:tcPr>
          <w:p>
            <w:pPr>
              <w:spacing w:after="0"/>
            </w:pPr>
            <w:r>
              <w:rPr>
                <w:sz w:val="22"/>
              </w:rPr>
              <w:t>SYS-DC-001 advisory-only design; written authority partition.</w:t>
            </w:r>
          </w:p>
        </w:tc>
        <w:tc>
          <w:tcPr>
            <w:tcW w:type="dxa" w:w="1662"/>
            <w:tcBorders>
              <w:top w:val="single" w:sz="4" w:color="DDE5EF"/>
              <w:left w:val="single" w:sz="4" w:color="DDE5EF"/>
              <w:bottom w:val="single" w:sz="4" w:color="DDE5EF"/>
              <w:right w:val="single" w:sz="4" w:color="DDE5EF"/>
            </w:tcBorders>
          </w:tcPr>
          <w:p>
            <w:pPr>
              <w:spacing w:after="0"/>
            </w:pPr>
            <w:r>
              <w:rPr>
                <w:sz w:val="22"/>
              </w:rPr>
              <w:t>Chief Engineer</w:t>
            </w:r>
          </w:p>
        </w:tc>
      </w:tr>
      <w:tr>
        <w:tc>
          <w:tcPr>
            <w:tcW w:type="dxa" w:w="1662"/>
            <w:tcBorders>
              <w:top w:val="single" w:sz="4" w:color="DDE5EF"/>
              <w:left w:val="single" w:sz="4" w:color="DDE5EF"/>
              <w:bottom w:val="single" w:sz="4" w:color="DDE5EF"/>
              <w:right w:val="single" w:sz="4" w:color="DDE5EF"/>
            </w:tcBorders>
          </w:tcPr>
          <w:p>
            <w:pPr>
              <w:spacing w:after="0"/>
            </w:pPr>
            <w:r>
              <w:rPr>
                <w:sz w:val="22"/>
              </w:rPr>
              <w:t>SR-06</w:t>
            </w:r>
          </w:p>
        </w:tc>
        <w:tc>
          <w:tcPr>
            <w:tcW w:type="dxa" w:w="1662"/>
            <w:tcBorders>
              <w:top w:val="single" w:sz="4" w:color="DDE5EF"/>
              <w:left w:val="single" w:sz="4" w:color="DDE5EF"/>
              <w:bottom w:val="single" w:sz="4" w:color="DDE5EF"/>
              <w:right w:val="single" w:sz="4" w:color="DDE5EF"/>
            </w:tcBorders>
          </w:tcPr>
          <w:p>
            <w:pPr>
              <w:spacing w:after="0"/>
            </w:pPr>
            <w:r>
              <w:rPr>
                <w:b/>
                <w:sz w:val="22"/>
              </w:rPr>
              <w:t>Competitive:</w:t>
            </w:r>
            <w:r>
              <w:rPr>
                <w:sz w:val="22"/>
              </w:rPr>
              <w:t xml:space="preserve"> US mission-cyber vendors set NATO standard before FCAS [R-18]</w:t>
            </w:r>
          </w:p>
        </w:tc>
        <w:tc>
          <w:tcPr>
            <w:tcW w:type="dxa" w:w="1662"/>
            <w:tcBorders>
              <w:top w:val="single" w:sz="4" w:color="DDE5EF"/>
              <w:left w:val="single" w:sz="4" w:color="DDE5EF"/>
              <w:bottom w:val="single" w:sz="4" w:color="DDE5EF"/>
              <w:right w:val="single" w:sz="4" w:color="DDE5EF"/>
            </w:tcBorders>
          </w:tcPr>
          <w:p>
            <w:pPr>
              <w:spacing w:after="0"/>
            </w:pPr>
            <w:r>
              <w:rPr>
                <w:sz w:val="22"/>
              </w:rPr>
              <w:t>M</w:t>
            </w:r>
          </w:p>
        </w:tc>
        <w:tc>
          <w:tcPr>
            <w:tcW w:type="dxa" w:w="1662"/>
            <w:tcBorders>
              <w:top w:val="single" w:sz="4" w:color="DDE5EF"/>
              <w:left w:val="single" w:sz="4" w:color="DDE5EF"/>
              <w:bottom w:val="single" w:sz="4" w:color="DDE5EF"/>
              <w:right w:val="single" w:sz="4" w:color="DDE5EF"/>
            </w:tcBorders>
          </w:tcPr>
          <w:p>
            <w:pPr>
              <w:spacing w:after="0"/>
            </w:pPr>
            <w:r>
              <w:rPr>
                <w:sz w:val="22"/>
              </w:rPr>
              <w:t>High</w:t>
            </w:r>
          </w:p>
        </w:tc>
        <w:tc>
          <w:tcPr>
            <w:tcW w:type="dxa" w:w="1662"/>
            <w:tcBorders>
              <w:top w:val="single" w:sz="4" w:color="DDE5EF"/>
              <w:left w:val="single" w:sz="4" w:color="DDE5EF"/>
              <w:bottom w:val="single" w:sz="4" w:color="DDE5EF"/>
              <w:right w:val="single" w:sz="4" w:color="DDE5EF"/>
            </w:tcBorders>
          </w:tcPr>
          <w:p>
            <w:pPr>
              <w:spacing w:after="0"/>
            </w:pPr>
            <w:r>
              <w:rPr>
                <w:sz w:val="22"/>
              </w:rPr>
              <w:t>Public-facing reference architecture + EDF co-funded demonstrators.</w:t>
            </w:r>
          </w:p>
        </w:tc>
        <w:tc>
          <w:tcPr>
            <w:tcW w:type="dxa" w:w="1662"/>
            <w:tcBorders>
              <w:top w:val="single" w:sz="4" w:color="DDE5EF"/>
              <w:left w:val="single" w:sz="4" w:color="DDE5EF"/>
              <w:bottom w:val="single" w:sz="4" w:color="DDE5EF"/>
              <w:right w:val="single" w:sz="4" w:color="DDE5EF"/>
            </w:tcBorders>
          </w:tcPr>
          <w:p>
            <w:pPr>
              <w:spacing w:after="0"/>
            </w:pPr>
            <w:r>
              <w:rPr>
                <w:sz w:val="22"/>
              </w:rPr>
              <w:t>Strategy Cell</w:t>
            </w:r>
          </w:p>
        </w:tc>
      </w:tr>
      <w:tr>
        <w:tc>
          <w:tcPr>
            <w:tcW w:type="dxa" w:w="1662"/>
            <w:tcBorders>
              <w:top w:val="single" w:sz="4" w:color="DDE5EF"/>
              <w:left w:val="single" w:sz="4" w:color="DDE5EF"/>
              <w:bottom w:val="single" w:sz="4" w:color="DDE5EF"/>
              <w:right w:val="single" w:sz="4" w:color="DDE5EF"/>
            </w:tcBorders>
          </w:tcPr>
          <w:p>
            <w:pPr>
              <w:spacing w:after="0"/>
            </w:pPr>
            <w:r>
              <w:rPr>
                <w:sz w:val="22"/>
              </w:rPr>
              <w:t>SR-07</w:t>
            </w:r>
          </w:p>
        </w:tc>
        <w:tc>
          <w:tcPr>
            <w:tcW w:type="dxa" w:w="1662"/>
            <w:tcBorders>
              <w:top w:val="single" w:sz="4" w:color="DDE5EF"/>
              <w:left w:val="single" w:sz="4" w:color="DDE5EF"/>
              <w:bottom w:val="single" w:sz="4" w:color="DDE5EF"/>
              <w:right w:val="single" w:sz="4" w:color="DDE5EF"/>
            </w:tcBorders>
          </w:tcPr>
          <w:p>
            <w:pPr>
              <w:spacing w:after="0"/>
            </w:pPr>
            <w:r>
              <w:rPr>
                <w:b/>
                <w:sz w:val="22"/>
              </w:rPr>
              <w:t>Programmatic:</w:t>
            </w:r>
            <w:r>
              <w:rPr>
                <w:sz w:val="22"/>
              </w:rPr>
              <w:t xml:space="preserve"> National budget cut delays Phase 1B / demonstrator</w:t>
            </w:r>
          </w:p>
        </w:tc>
        <w:tc>
          <w:tcPr>
            <w:tcW w:type="dxa" w:w="1662"/>
            <w:tcBorders>
              <w:top w:val="single" w:sz="4" w:color="DDE5EF"/>
              <w:left w:val="single" w:sz="4" w:color="DDE5EF"/>
              <w:bottom w:val="single" w:sz="4" w:color="DDE5EF"/>
              <w:right w:val="single" w:sz="4" w:color="DDE5EF"/>
            </w:tcBorders>
          </w:tcPr>
          <w:p>
            <w:pPr>
              <w:spacing w:after="0"/>
            </w:pPr>
            <w:r>
              <w:rPr>
                <w:sz w:val="22"/>
              </w:rPr>
              <w:t>M</w:t>
            </w:r>
          </w:p>
        </w:tc>
        <w:tc>
          <w:tcPr>
            <w:tcW w:type="dxa" w:w="1662"/>
            <w:tcBorders>
              <w:top w:val="single" w:sz="4" w:color="DDE5EF"/>
              <w:left w:val="single" w:sz="4" w:color="DDE5EF"/>
              <w:bottom w:val="single" w:sz="4" w:color="DDE5EF"/>
              <w:right w:val="single" w:sz="4" w:color="DDE5EF"/>
            </w:tcBorders>
          </w:tcPr>
          <w:p>
            <w:pPr>
              <w:spacing w:after="0"/>
            </w:pPr>
            <w:r>
              <w:rPr>
                <w:sz w:val="22"/>
              </w:rPr>
              <w:t>M</w:t>
            </w:r>
          </w:p>
        </w:tc>
        <w:tc>
          <w:tcPr>
            <w:tcW w:type="dxa" w:w="1662"/>
            <w:tcBorders>
              <w:top w:val="single" w:sz="4" w:color="DDE5EF"/>
              <w:left w:val="single" w:sz="4" w:color="DDE5EF"/>
              <w:bottom w:val="single" w:sz="4" w:color="DDE5EF"/>
              <w:right w:val="single" w:sz="4" w:color="DDE5EF"/>
            </w:tcBorders>
          </w:tcPr>
          <w:p>
            <w:pPr>
              <w:spacing w:after="0"/>
            </w:pPr>
            <w:r>
              <w:rPr>
                <w:sz w:val="22"/>
              </w:rPr>
              <w:t>Decouple SPARTA milestones from FCAS critical path; prove on Eurofighter LTE in parallel.</w:t>
            </w:r>
          </w:p>
        </w:tc>
        <w:tc>
          <w:tcPr>
            <w:tcW w:type="dxa" w:w="1662"/>
            <w:tcBorders>
              <w:top w:val="single" w:sz="4" w:color="DDE5EF"/>
              <w:left w:val="single" w:sz="4" w:color="DDE5EF"/>
              <w:bottom w:val="single" w:sz="4" w:color="DDE5EF"/>
              <w:right w:val="single" w:sz="4" w:color="DDE5EF"/>
            </w:tcBorders>
          </w:tcPr>
          <w:p>
            <w:pPr>
              <w:spacing w:after="0"/>
            </w:pPr>
            <w:r>
              <w:rPr>
                <w:sz w:val="22"/>
              </w:rPr>
              <w:t>Programme Sponsor</w:t>
            </w:r>
          </w:p>
        </w:tc>
      </w:tr>
      <w:tr>
        <w:tc>
          <w:tcPr>
            <w:tcW w:type="dxa" w:w="1662"/>
            <w:tcBorders>
              <w:top w:val="single" w:sz="4" w:color="DDE5EF"/>
              <w:left w:val="single" w:sz="4" w:color="DDE5EF"/>
              <w:bottom w:val="single" w:sz="4" w:color="DDE5EF"/>
              <w:right w:val="single" w:sz="4" w:color="DDE5EF"/>
            </w:tcBorders>
          </w:tcPr>
          <w:p>
            <w:pPr>
              <w:spacing w:after="0"/>
            </w:pPr>
            <w:r>
              <w:rPr>
                <w:sz w:val="22"/>
              </w:rPr>
              <w:t>SR-08</w:t>
            </w:r>
          </w:p>
        </w:tc>
        <w:tc>
          <w:tcPr>
            <w:tcW w:type="dxa" w:w="1662"/>
            <w:tcBorders>
              <w:top w:val="single" w:sz="4" w:color="DDE5EF"/>
              <w:left w:val="single" w:sz="4" w:color="DDE5EF"/>
              <w:bottom w:val="single" w:sz="4" w:color="DDE5EF"/>
              <w:right w:val="single" w:sz="4" w:color="DDE5EF"/>
            </w:tcBorders>
          </w:tcPr>
          <w:p>
            <w:pPr>
              <w:spacing w:after="0"/>
            </w:pPr>
            <w:r>
              <w:rPr>
                <w:b/>
                <w:sz w:val="22"/>
              </w:rPr>
              <w:t>Internal:</w:t>
            </w:r>
            <w:r>
              <w:rPr>
                <w:sz w:val="22"/>
              </w:rPr>
              <w:t xml:space="preserve"> Airbus DS / Airbus Protect organisational friction</w:t>
            </w:r>
          </w:p>
        </w:tc>
        <w:tc>
          <w:tcPr>
            <w:tcW w:type="dxa" w:w="1662"/>
            <w:tcBorders>
              <w:top w:val="single" w:sz="4" w:color="DDE5EF"/>
              <w:left w:val="single" w:sz="4" w:color="DDE5EF"/>
              <w:bottom w:val="single" w:sz="4" w:color="DDE5EF"/>
              <w:right w:val="single" w:sz="4" w:color="DDE5EF"/>
            </w:tcBorders>
          </w:tcPr>
          <w:p>
            <w:pPr>
              <w:spacing w:after="0"/>
            </w:pPr>
            <w:r>
              <w:rPr>
                <w:sz w:val="22"/>
              </w:rPr>
              <w:t>L-M</w:t>
            </w:r>
          </w:p>
        </w:tc>
        <w:tc>
          <w:tcPr>
            <w:tcW w:type="dxa" w:w="1662"/>
            <w:tcBorders>
              <w:top w:val="single" w:sz="4" w:color="DDE5EF"/>
              <w:left w:val="single" w:sz="4" w:color="DDE5EF"/>
              <w:bottom w:val="single" w:sz="4" w:color="DDE5EF"/>
              <w:right w:val="single" w:sz="4" w:color="DDE5EF"/>
            </w:tcBorders>
          </w:tcPr>
          <w:p>
            <w:pPr>
              <w:spacing w:after="0"/>
            </w:pPr>
            <w:r>
              <w:rPr>
                <w:sz w:val="22"/>
              </w:rPr>
              <w:t>M</w:t>
            </w:r>
          </w:p>
        </w:tc>
        <w:tc>
          <w:tcPr>
            <w:tcW w:type="dxa" w:w="1662"/>
            <w:tcBorders>
              <w:top w:val="single" w:sz="4" w:color="DDE5EF"/>
              <w:left w:val="single" w:sz="4" w:color="DDE5EF"/>
              <w:bottom w:val="single" w:sz="4" w:color="DDE5EF"/>
              <w:right w:val="single" w:sz="4" w:color="DDE5EF"/>
            </w:tcBorders>
          </w:tcPr>
          <w:p>
            <w:pPr>
              <w:spacing w:after="0"/>
            </w:pPr>
            <w:r>
              <w:rPr>
                <w:sz w:val="22"/>
              </w:rPr>
              <w:t>Joint go-to-market agreement at Airbus DS division level.</w:t>
            </w:r>
          </w:p>
        </w:tc>
        <w:tc>
          <w:tcPr>
            <w:tcW w:type="dxa" w:w="1662"/>
            <w:tcBorders>
              <w:top w:val="single" w:sz="4" w:color="DDE5EF"/>
              <w:left w:val="single" w:sz="4" w:color="DDE5EF"/>
              <w:bottom w:val="single" w:sz="4" w:color="DDE5EF"/>
              <w:right w:val="single" w:sz="4" w:color="DDE5EF"/>
            </w:tcBorders>
          </w:tcPr>
          <w:p>
            <w:pPr>
              <w:spacing w:after="0"/>
            </w:pPr>
            <w:r>
              <w:rPr>
                <w:sz w:val="22"/>
              </w:rPr>
              <w:t>Programme Sponsor</w:t>
            </w:r>
          </w:p>
        </w:tc>
      </w:tr>
      <w:tr>
        <w:tc>
          <w:tcPr>
            <w:tcW w:type="dxa" w:w="1662"/>
            <w:tcBorders>
              <w:top w:val="single" w:sz="4" w:color="DDE5EF"/>
              <w:left w:val="single" w:sz="4" w:color="DDE5EF"/>
              <w:bottom w:val="single" w:sz="4" w:color="DDE5EF"/>
              <w:right w:val="single" w:sz="4" w:color="DDE5EF"/>
            </w:tcBorders>
          </w:tcPr>
          <w:p>
            <w:pPr>
              <w:spacing w:after="0"/>
            </w:pPr>
            <w:r>
              <w:rPr>
                <w:sz w:val="22"/>
              </w:rPr>
              <w:t>SR-09</w:t>
            </w:r>
          </w:p>
        </w:tc>
        <w:tc>
          <w:tcPr>
            <w:tcW w:type="dxa" w:w="1662"/>
            <w:tcBorders>
              <w:top w:val="single" w:sz="4" w:color="DDE5EF"/>
              <w:left w:val="single" w:sz="4" w:color="DDE5EF"/>
              <w:bottom w:val="single" w:sz="4" w:color="DDE5EF"/>
              <w:right w:val="single" w:sz="4" w:color="DDE5EF"/>
            </w:tcBorders>
          </w:tcPr>
          <w:p>
            <w:pPr>
              <w:spacing w:after="0"/>
            </w:pPr>
            <w:r>
              <w:rPr>
                <w:b/>
                <w:sz w:val="22"/>
              </w:rPr>
              <w:t>Regulatory:</w:t>
            </w:r>
            <w:r>
              <w:rPr>
                <w:sz w:val="22"/>
              </w:rPr>
              <w:t xml:space="preserve"> NIS2 / CRA delegated acts impose scope creep [R-12][R-13]</w:t>
            </w:r>
          </w:p>
        </w:tc>
        <w:tc>
          <w:tcPr>
            <w:tcW w:type="dxa" w:w="1662"/>
            <w:tcBorders>
              <w:top w:val="single" w:sz="4" w:color="DDE5EF"/>
              <w:left w:val="single" w:sz="4" w:color="DDE5EF"/>
              <w:bottom w:val="single" w:sz="4" w:color="DDE5EF"/>
              <w:right w:val="single" w:sz="4" w:color="DDE5EF"/>
            </w:tcBorders>
          </w:tcPr>
          <w:p>
            <w:pPr>
              <w:spacing w:after="0"/>
            </w:pPr>
            <w:r>
              <w:rPr>
                <w:sz w:val="22"/>
              </w:rPr>
              <w:t>M</w:t>
            </w:r>
          </w:p>
        </w:tc>
        <w:tc>
          <w:tcPr>
            <w:tcW w:type="dxa" w:w="1662"/>
            <w:tcBorders>
              <w:top w:val="single" w:sz="4" w:color="DDE5EF"/>
              <w:left w:val="single" w:sz="4" w:color="DDE5EF"/>
              <w:bottom w:val="single" w:sz="4" w:color="DDE5EF"/>
              <w:right w:val="single" w:sz="4" w:color="DDE5EF"/>
            </w:tcBorders>
          </w:tcPr>
          <w:p>
            <w:pPr>
              <w:spacing w:after="0"/>
            </w:pPr>
            <w:r>
              <w:rPr>
                <w:sz w:val="22"/>
              </w:rPr>
              <w:t>M</w:t>
            </w:r>
          </w:p>
        </w:tc>
        <w:tc>
          <w:tcPr>
            <w:tcW w:type="dxa" w:w="1662"/>
            <w:tcBorders>
              <w:top w:val="single" w:sz="4" w:color="DDE5EF"/>
              <w:left w:val="single" w:sz="4" w:color="DDE5EF"/>
              <w:bottom w:val="single" w:sz="4" w:color="DDE5EF"/>
              <w:right w:val="single" w:sz="4" w:color="DDE5EF"/>
            </w:tcBorders>
          </w:tcPr>
          <w:p>
            <w:pPr>
              <w:spacing w:after="0"/>
            </w:pPr>
            <w:r>
              <w:rPr>
                <w:sz w:val="22"/>
              </w:rPr>
              <w:t>Quarterly tracking of delegated acts; pre-emptive alignment of P4 content release with auditability requirements.</w:t>
            </w:r>
          </w:p>
        </w:tc>
        <w:tc>
          <w:tcPr>
            <w:tcW w:type="dxa" w:w="1662"/>
            <w:tcBorders>
              <w:top w:val="single" w:sz="4" w:color="DDE5EF"/>
              <w:left w:val="single" w:sz="4" w:color="DDE5EF"/>
              <w:bottom w:val="single" w:sz="4" w:color="DDE5EF"/>
              <w:right w:val="single" w:sz="4" w:color="DDE5EF"/>
            </w:tcBorders>
          </w:tcPr>
          <w:p>
            <w:pPr>
              <w:spacing w:after="0"/>
            </w:pPr>
            <w:r>
              <w:rPr>
                <w:sz w:val="22"/>
              </w:rPr>
              <w:t>Assurance Authority</w:t>
            </w:r>
          </w:p>
        </w:tc>
      </w:tr>
      <w:tr>
        <w:tc>
          <w:tcPr>
            <w:tcW w:type="dxa" w:w="1662"/>
            <w:tcBorders>
              <w:top w:val="single" w:sz="4" w:color="DDE5EF"/>
              <w:left w:val="single" w:sz="4" w:color="DDE5EF"/>
              <w:bottom w:val="single" w:sz="4" w:color="DDE5EF"/>
              <w:right w:val="single" w:sz="4" w:color="DDE5EF"/>
            </w:tcBorders>
          </w:tcPr>
          <w:p>
            <w:pPr>
              <w:spacing w:after="0"/>
            </w:pPr>
            <w:r>
              <w:rPr>
                <w:sz w:val="22"/>
              </w:rPr>
              <w:t>SR-10</w:t>
            </w:r>
          </w:p>
        </w:tc>
        <w:tc>
          <w:tcPr>
            <w:tcW w:type="dxa" w:w="1662"/>
            <w:tcBorders>
              <w:top w:val="single" w:sz="4" w:color="DDE5EF"/>
              <w:left w:val="single" w:sz="4" w:color="DDE5EF"/>
              <w:bottom w:val="single" w:sz="4" w:color="DDE5EF"/>
              <w:right w:val="single" w:sz="4" w:color="DDE5EF"/>
            </w:tcBorders>
          </w:tcPr>
          <w:p>
            <w:pPr>
              <w:spacing w:after="0"/>
            </w:pPr>
            <w:r>
              <w:rPr>
                <w:b/>
                <w:sz w:val="22"/>
              </w:rPr>
              <w:t>Strategic data:</w:t>
            </w:r>
            <w:r>
              <w:rPr>
                <w:sz w:val="22"/>
              </w:rPr>
              <w:t xml:space="preserve"> 2019–2024 FCAS anchors require 2026 revalidation (OP-STRAT-01)</w:t>
            </w:r>
          </w:p>
        </w:tc>
        <w:tc>
          <w:tcPr>
            <w:tcW w:type="dxa" w:w="1662"/>
            <w:tcBorders>
              <w:top w:val="single" w:sz="4" w:color="DDE5EF"/>
              <w:left w:val="single" w:sz="4" w:color="DDE5EF"/>
              <w:bottom w:val="single" w:sz="4" w:color="DDE5EF"/>
              <w:right w:val="single" w:sz="4" w:color="DDE5EF"/>
            </w:tcBorders>
          </w:tcPr>
          <w:p>
            <w:pPr>
              <w:spacing w:after="0"/>
            </w:pPr>
            <w:r>
              <w:rPr>
                <w:sz w:val="22"/>
              </w:rPr>
              <w:t>M</w:t>
            </w:r>
          </w:p>
        </w:tc>
        <w:tc>
          <w:tcPr>
            <w:tcW w:type="dxa" w:w="1662"/>
            <w:tcBorders>
              <w:top w:val="single" w:sz="4" w:color="DDE5EF"/>
              <w:left w:val="single" w:sz="4" w:color="DDE5EF"/>
              <w:bottom w:val="single" w:sz="4" w:color="DDE5EF"/>
              <w:right w:val="single" w:sz="4" w:color="DDE5EF"/>
            </w:tcBorders>
          </w:tcPr>
          <w:p>
            <w:pPr>
              <w:spacing w:after="0"/>
            </w:pPr>
            <w:r>
              <w:rPr>
                <w:sz w:val="22"/>
              </w:rPr>
              <w:t>M</w:t>
            </w:r>
          </w:p>
        </w:tc>
        <w:tc>
          <w:tcPr>
            <w:tcW w:type="dxa" w:w="1662"/>
            <w:tcBorders>
              <w:top w:val="single" w:sz="4" w:color="DDE5EF"/>
              <w:left w:val="single" w:sz="4" w:color="DDE5EF"/>
              <w:bottom w:val="single" w:sz="4" w:color="DDE5EF"/>
              <w:right w:val="single" w:sz="4" w:color="DDE5EF"/>
            </w:tcBorders>
          </w:tcPr>
          <w:p>
            <w:pPr>
              <w:spacing w:after="0"/>
            </w:pPr>
            <w:r>
              <w:rPr>
                <w:sz w:val="22"/>
              </w:rPr>
              <w:t>Refresh primary-source register at T0+3 months; re-run base case.</w:t>
            </w:r>
          </w:p>
        </w:tc>
        <w:tc>
          <w:tcPr>
            <w:tcW w:type="dxa" w:w="1662"/>
            <w:tcBorders>
              <w:top w:val="single" w:sz="4" w:color="DDE5EF"/>
              <w:left w:val="single" w:sz="4" w:color="DDE5EF"/>
              <w:bottom w:val="single" w:sz="4" w:color="DDE5EF"/>
              <w:right w:val="single" w:sz="4" w:color="DDE5EF"/>
            </w:tcBorders>
          </w:tcPr>
          <w:p>
            <w:pPr>
              <w:spacing w:after="0"/>
            </w:pPr>
            <w:r>
              <w:rPr>
                <w:sz w:val="22"/>
              </w:rPr>
              <w:t>Strategy Cell</w:t>
            </w:r>
          </w:p>
        </w:tc>
      </w:tr>
    </w:tbl>
    <w:p>
      <w:pPr>
        <w:spacing w:after="40"/>
      </w:pPr>
    </w:p>
    <w:p>
      <w:pPr>
        <w:pStyle w:val="Heading3"/>
      </w:pPr>
      <w:r>
        <w:t>6.3.1 Risk treatment categorisation</w:t>
      </w:r>
    </w:p>
    <w:p>
      <w:pPr>
        <w:spacing w:after="120"/>
      </w:pPr>
      <w:r>
        <w:rPr>
          <w:sz w:val="22"/>
        </w:rPr>
        <w:t xml:space="preserve">Each row in the register above is treated under one of four conventional risk-treatment categories: </w:t>
      </w:r>
      <w:r>
        <w:rPr>
          <w:i/>
          <w:sz w:val="22"/>
        </w:rPr>
        <w:t>mitigate</w:t>
      </w:r>
      <w:r>
        <w:rPr>
          <w:sz w:val="22"/>
        </w:rPr>
        <w:t xml:space="preserve">, </w:t>
      </w:r>
      <w:r>
        <w:rPr>
          <w:i/>
          <w:sz w:val="22"/>
        </w:rPr>
        <w:t>transfer</w:t>
      </w:r>
      <w:r>
        <w:rPr>
          <w:sz w:val="22"/>
        </w:rPr>
        <w:t xml:space="preserve">, </w:t>
      </w:r>
      <w:r>
        <w:rPr>
          <w:i/>
          <w:sz w:val="22"/>
        </w:rPr>
        <w:t>avoid</w:t>
      </w:r>
      <w:r>
        <w:rPr>
          <w:sz w:val="22"/>
        </w:rPr>
        <w:t xml:space="preserve">, or </w:t>
      </w:r>
      <w:r>
        <w:rPr>
          <w:i/>
          <w:sz w:val="22"/>
        </w:rPr>
        <w:t>accept</w:t>
      </w:r>
      <w:r>
        <w:rPr>
          <w:sz w:val="22"/>
        </w:rPr>
        <w:t xml:space="preserve">. The ten risks are all primarily </w:t>
      </w:r>
      <w:r>
        <w:rPr>
          <w:i/>
          <w:sz w:val="22"/>
        </w:rPr>
        <w:t>mitigated</w:t>
      </w:r>
      <w:r>
        <w:rPr>
          <w:sz w:val="22"/>
        </w:rPr>
        <w:t xml:space="preserve"> through specific programmatic, political, organisational, or technical actions — none of them is purely accepted or transferred. SR-07 (national budget cut) is combined mitigation plus partial </w:t>
      </w:r>
      <w:r>
        <w:rPr>
          <w:i/>
          <w:sz w:val="22"/>
        </w:rPr>
        <w:t>avoidance</w:t>
      </w:r>
      <w:r>
        <w:rPr>
          <w:sz w:val="22"/>
        </w:rPr>
        <w:t xml:space="preserve"> through the parallel-derisking path on Eurodrone and Eurofighter LTE. SR-10 (strategic-source revalidation) is a controlled </w:t>
      </w:r>
      <w:r>
        <w:rPr>
          <w:i/>
          <w:sz w:val="22"/>
        </w:rPr>
        <w:t>accept-and-refresh</w:t>
      </w:r>
      <w:r>
        <w:rPr>
          <w:sz w:val="22"/>
        </w:rPr>
        <w:t>: the underlying epistemic exposure is accepted on the understanding that the 2026 source refresh closes it. The register is reviewed quarterly and the residual-risk picture after mitigations is visualised in §6.3.3.</w:t>
      </w:r>
    </w:p>
    <w:p>
      <w:pPr>
        <w:pStyle w:val="Heading3"/>
      </w:pPr>
      <w:r>
        <w:t>6.3.2 Risk narratives</w:t>
      </w:r>
    </w:p>
    <w:p>
      <w:pPr>
        <w:spacing w:after="120"/>
      </w:pPr>
      <w:r>
        <w:rPr>
          <w:sz w:val="22"/>
        </w:rPr>
        <w:t>Each entry below expands the corresponding row of the register with a short narrative — what the risk actually is, why it matters, and how the mitigation is intended to work.</w:t>
      </w:r>
    </w:p>
    <w:p>
      <w:pPr>
        <w:spacing w:after="120"/>
      </w:pPr>
      <w:r>
        <w:rPr>
          <w:b/>
          <w:sz w:val="22"/>
        </w:rPr>
        <w:t>SR-01 — MARS schema freezes without SPARTA trust object inside.</w:t>
      </w:r>
      <w:r>
        <w:rPr>
          <w:sz w:val="22"/>
        </w:rPr>
        <w:t xml:space="preserve"> The most consequential risk in the whole register. If the FCAS Combat Cloud canonical data schema closes for revision in 2028–2029 without SPARTA's trust objects included, every downstream revenue stream is hollowed out: the recurring-services case collapses and the adjacent-programme reuse erodes. This is the risk that sets the Q3 2026 deadline. Miss that gate, and the financial model shifts toward the §5.3.2 downside or no-go scenarios.</w:t>
      </w:r>
    </w:p>
    <w:p>
      <w:pPr>
        <w:spacing w:after="120"/>
      </w:pPr>
      <w:r>
        <w:rPr>
          <w:b/>
          <w:sz w:val="22"/>
        </w:rPr>
        <w:t>SR-02 — Airbus DS decision-rhythm slower than the schema-freeze window.</w:t>
      </w:r>
      <w:r>
        <w:rPr>
          <w:sz w:val="22"/>
        </w:rPr>
        <w:t xml:space="preserve"> The plan's entire investment thesis rests on acting before a strategic window closes. The five §8 acceptance conditions require decisions on a cadence that has historically taken Airbus DS multi-quarter to multi-year (per the 18+ month Phase 1B workshare precedent [R-1][R-14]). If Airbus DS cannot act at that speed, the asymmetric value-creation argument starts to erode because every month of decision delay is approximately a month of Phase 2 slip, which costs ~€3 M of NPV per month at the linear-elasticity approximation from the sensitivity analysis (§5.3.3).</w:t>
      </w:r>
    </w:p>
    <w:p>
      <w:pPr>
        <w:spacing w:after="120"/>
      </w:pPr>
      <w:r>
        <w:rPr>
          <w:b/>
          <w:sz w:val="22"/>
        </w:rPr>
        <w:t>SR-03 — Workshare re-opens if SPARTA is framed as a new pillar.</w:t>
      </w:r>
      <w:r>
        <w:rPr>
          <w:sz w:val="22"/>
        </w:rPr>
        <w:t xml:space="preserve"> The Phase 1B workshare negotiation took 18+ months in 2021–2022 to close [R-1]. Any framing of SPARTA as a "new pillar" rather than a Pillar 4 overlay would re-open that negotiation, costing time, political capital, and potentially the workshare itself. The mitigation is procedural rather than technical: SPARTA must never be proposed as a new pillar, in any document or industry briefing.</w:t>
      </w:r>
    </w:p>
    <w:p>
      <w:pPr>
        <w:spacing w:after="120"/>
      </w:pPr>
      <w:r>
        <w:rPr>
          <w:b/>
          <w:sz w:val="22"/>
        </w:rPr>
        <w:t>SR-04 — Indra sovereign-cyber objection.</w:t>
      </w:r>
      <w:r>
        <w:rPr>
          <w:sz w:val="22"/>
        </w:rPr>
        <w:t xml:space="preserve"> Indra is the FCAS Pillar 5 (Sensors) prime and carries Spanish national-cyber heritage. If SPARTA appears to displace Indra's cyber-product line, Spanish sovereign-cyber politics could push back. The mitigation is the joint-demonstration plan on the TSOC adjudication interface, which converts Indra from a potential rival into a downstream complement.</w:t>
      </w:r>
    </w:p>
    <w:p>
      <w:pPr>
        <w:spacing w:after="120"/>
      </w:pPr>
      <w:r>
        <w:rPr>
          <w:b/>
          <w:sz w:val="22"/>
        </w:rPr>
        <w:t>SR-05 — Dassault objection that trust constrains NGF autonomy.</w:t>
      </w:r>
      <w:r>
        <w:rPr>
          <w:sz w:val="22"/>
        </w:rPr>
        <w:t xml:space="preserve"> Dassault Aviation, as the NGF (Next Generation Fighter) prime, has historically defended platform-internal authority. If SPARTA were perceived as constraining NGF mission-system behaviour, Dassault could resist publicly. The structural mitigation is that SPARTA is advisory-only by design constraint (SYS-DC-001), with no command authority over the platform.</w:t>
      </w:r>
    </w:p>
    <w:p>
      <w:pPr>
        <w:spacing w:after="120"/>
      </w:pPr>
      <w:r>
        <w:rPr>
          <w:b/>
          <w:sz w:val="22"/>
        </w:rPr>
        <w:t>SR-06 — US mission-cyber vendors set NATO standard before FCAS.</w:t>
      </w:r>
      <w:r>
        <w:rPr>
          <w:sz w:val="22"/>
        </w:rPr>
        <w:t xml:space="preserve"> Anduril, Palantir and Shift5 [R-18] are competing aggressively for NATO-level mission-edge cyber positioning. They have software-first cultures, fast release cadences, and active marketing. If they establish a de-facto NATO standard before FCAS publishes one, Airbus DS ends up integrating to their contract rather than setting its own. The mitigation only works if executed in the same 2026–2029 window — after 2029 the standard-setting opportunity is gone.</w:t>
      </w:r>
    </w:p>
    <w:p>
      <w:pPr>
        <w:spacing w:after="120"/>
      </w:pPr>
      <w:r>
        <w:rPr>
          <w:b/>
          <w:sz w:val="22"/>
        </w:rPr>
        <w:t>SR-07 — National budget cut delays Phase 1B / demonstrator.</w:t>
      </w:r>
      <w:r>
        <w:rPr>
          <w:sz w:val="22"/>
        </w:rPr>
        <w:t xml:space="preserve"> FCAS funding passes through three national parliaments (PLF in France, Bundeshaushalt in Germany, PGE in Spain). Any one of them can delay or reduce the next contracted tranche. The mitigation is the parallel-derisking path on Eurodrone and Eurofighter LTE — SPARTA milestones are decoupled from the FCAS critical path so a single national budget event does not collapse the case.</w:t>
      </w:r>
    </w:p>
    <w:p>
      <w:pPr>
        <w:spacing w:after="120"/>
      </w:pPr>
      <w:r>
        <w:rPr>
          <w:b/>
          <w:sz w:val="22"/>
        </w:rPr>
        <w:t>SR-08 — Airbus DS / Airbus Protect organisational friction.</w:t>
      </w:r>
      <w:r>
        <w:rPr>
          <w:sz w:val="22"/>
        </w:rPr>
        <w:t xml:space="preserve"> Possible turf conflict between the SPARTA programme and the existing Airbus Protect cyber business unit on overlapping go-to-market or content-pipeline scope. The mitigation is a joint go-to-market agreement at Airbus DS divisional level that fixes responsibilities and revenue sharing before they become contested.</w:t>
      </w:r>
    </w:p>
    <w:p>
      <w:pPr>
        <w:spacing w:after="120"/>
      </w:pPr>
      <w:r>
        <w:rPr>
          <w:b/>
          <w:sz w:val="22"/>
        </w:rPr>
        <w:t>SR-09 — NIS2 / Cyber Resilience Act scope creep.</w:t>
      </w:r>
      <w:r>
        <w:rPr>
          <w:sz w:val="22"/>
        </w:rPr>
        <w:t xml:space="preserve"> EU regulatory delegated acts could expand SPARTA's compliance scope mid-execution (auditability, incident-reporting, supply-chain-security obligations may all evolve). The mitigation is quarterly tracking of delegated acts and pre-emptive alignment of the P4 signed-content release process to the auditability requirements that are most likely to land.</w:t>
      </w:r>
    </w:p>
    <w:p>
      <w:pPr>
        <w:spacing w:after="120"/>
      </w:pPr>
      <w:r>
        <w:rPr>
          <w:b/>
          <w:sz w:val="22"/>
        </w:rPr>
        <w:t>SR-10 — 2019–2024 FCAS anchors require 2026 revalidation.</w:t>
      </w:r>
      <w:r>
        <w:rPr>
          <w:sz w:val="22"/>
        </w:rPr>
        <w:t xml:space="preserve"> The strategic claims in this analysis rest on primary sources dated 2017–2024. A material 2025 / 2026 programme event (Phase 1B re-negotiation, schedule slip, workshare change) could move the base case significantly. The source register of this analysis should be refreshed at T0+3 months and the model re-run with whatever 2026 reality looks like at that point. This risk is the corresponding entry to open point OP-STRAT-01.</w:t>
      </w:r>
    </w:p>
    <w:p>
      <w:pPr>
        <w:pStyle w:val="Heading3"/>
      </w:pPr>
      <w:r>
        <w:t>6.3.3 Pre- and post-mitigation visualisation</w:t>
      </w:r>
    </w:p>
    <w:p>
      <w:pPr>
        <w:spacing w:after="120"/>
      </w:pPr>
      <w:r>
        <w:rPr>
          <w:sz w:val="22"/>
        </w:rPr>
        <w:t>The figure below plots each strategic risk on a 5×5 likelihood × impact heatmap in both its pre-mitigation (gross) state and its post-mitigation (residual) state. Red dots show the gross-risk position; green dots show the residual position after the mitigations in the register are applied; arrows show the effect of the mitigation. Zone colours are conventional (green for low aggregate severity, yellow for moderate, orange for high, red for critical).</w:t>
      </w:r>
    </w:p>
    <w:p>
      <w:pPr>
        <w:spacing w:before="120" w:after="40"/>
        <w:jc w:val="center"/>
      </w:pPr>
      <w:r>
        <w:drawing>
          <wp:inline xmlns:a="http://schemas.openxmlformats.org/drawingml/2006/main" xmlns:pic="http://schemas.openxmlformats.org/drawingml/2006/picture">
            <wp:extent cx="5943600" cy="3874347"/>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5943600" cy="3874347"/>
                    </a:xfrm>
                    <a:prstGeom prst="rect"/>
                  </pic:spPr>
                </pic:pic>
              </a:graphicData>
            </a:graphic>
          </wp:inline>
        </w:drawing>
      </w:r>
    </w:p>
    <w:p>
      <w:pPr>
        <w:spacing w:before="0" w:after="120"/>
        <w:jc w:val="center"/>
      </w:pPr>
      <w:r>
        <w:rPr>
          <w:i/>
          <w:color w:val="52627A"/>
          <w:sz w:val="19"/>
        </w:rPr>
        <w:t>Figure 7. Risk heatmap — pre- and post-mitigation state of each strategic risk (SR-01..SR-10). Red dots = gross risk before mitigation. Green dots = residual risk after mitigation. Arrows = effect of the mitigation in the register. How to read this figure. The further up-and-to-the-right a dot sits, the more severe the risk; the longer the arrow, the more effective the planned mitigation. Engineering significance. The figure makes the residual-risk picture board-reviewable in one image: every arrow shortens the distance to the green zone, no risk remains in the red zone after mitigation, and the two highest-residual items (SR-01 and SR-02) are exactly the two risks that the §8 acceptance conditions are designed to act on in 2026. Limitations. Pre/post positions are analyst-set estimates expressing the qualitative L and I categories on a continuous 1–5 scale (Low = 2, L-M = 2.5, Medium = 3, M-H = 3.5, High = 4, Critical = 5); they are intended to make the relative effect of mitigations visible, not to substitute for a quantitative Monte-Carlo simulation.</w:t>
      </w:r>
    </w:p>
    <w:p>
      <w:pPr>
        <w:pStyle w:val="Heading3"/>
      </w:pPr>
      <w:r>
        <w:t>6.3.2 Residual risk acceptance</w:t>
      </w:r>
    </w:p>
    <w:p>
      <w:pPr>
        <w:spacing w:after="120"/>
      </w:pPr>
      <w:r>
        <w:rPr>
          <w:sz w:val="22"/>
        </w:rPr>
        <w:t>Residual risk after mitigation is explicit and board-reviewable. The technical CDR closure criterion C-14 (Deliv. 06 §13) requires a signed residual-risk register at CDR gate. For the strategic risk register above, the residual-risk acceptance question for the board is: does the board accept the probability-weighted expected NPV of €233 M (a value-creating outcome) as justifying the residual exposure described in the register, on the conditions stated in §8? The recommendation is that it should — but the decision is the board's.</w:t>
      </w:r>
    </w:p>
    <w:p>
      <w:pPr>
        <w:pStyle w:val="Heading2"/>
      </w:pPr>
      <w:r>
        <w:t>6.4 SWOT Synthesis</w:t>
      </w:r>
    </w:p>
    <w:p>
      <w:pPr>
        <w:spacing w:after="120"/>
      </w:pPr>
      <w:r>
        <w:rPr>
          <w:sz w:val="22"/>
        </w:rPr>
        <w:t>The SWOT (Strengths, Weaknesses, Opportunities, Threats) below consolidates the findings of §3 Market Analysis, §4 Capabilities Analysis, §6.1 Internal Fit, §6.2 External Fit and §6.3 Risk Assessment into a single page-level synthesis. Each cell is cross-referenced back to the source section so the reviewer can audit any individual claim. The framing makes the structure of the investment case explicit: SPARTA's strengths are predominantly internal and structural; its weaknesses are predominantly organisational and addressable; its opportunities are predominantly regulatory and time-bounded; its threats are predominantly competitive and political.</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STRENGTHS — internal, helpful</w:t>
            </w:r>
          </w:p>
        </w:tc>
        <w:tc>
          <w:tcPr>
            <w:tcW w:type="dxa" w:w="4986"/>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WEAKNESSES — internal, harmful</w:t>
            </w:r>
          </w:p>
        </w:tc>
      </w:tr>
      <w:tr>
        <w:tc>
          <w:tcPr>
            <w:tcW w:type="dxa" w:w="4986"/>
            <w:tcBorders>
              <w:top w:val="single" w:sz="4" w:color="DDE5EF"/>
              <w:left w:val="single" w:sz="4" w:color="DDE5EF"/>
              <w:bottom w:val="single" w:sz="4" w:color="DDE5EF"/>
              <w:right w:val="single" w:sz="4" w:color="DDE5EF"/>
            </w:tcBorders>
          </w:tcPr>
          <w:p>
            <w:pPr>
              <w:spacing w:after="0"/>
            </w:pPr>
            <w:r>
              <w:rPr>
                <w:sz w:val="22"/>
              </w:rPr>
              <w:br/>
            </w:r>
            <w:r>
              <w:rPr>
                <w:b/>
                <w:sz w:val="22"/>
              </w:rPr>
              <w:t>S1.</w:t>
            </w:r>
            <w:r>
              <w:rPr>
                <w:sz w:val="22"/>
              </w:rPr>
              <w:t xml:space="preserve"> Four-property structural moat — Combat Cloud primacy + MARS authority + mission-context access + TSOC analyst-workflow ownership (§2.3, §3.4, §4.1).</w:t>
            </w:r>
            <w:r>
              <w:rPr>
                <w:sz w:val="20"/>
              </w:rPr>
              <w:br/>
            </w:r>
            <w:r>
              <w:rPr>
                <w:sz w:val="20"/>
              </w:rPr>
              <w:br/>
            </w:r>
            <w:r>
              <w:rPr>
                <w:sz w:val="22"/>
              </w:rPr>
              <w:br/>
            </w:r>
            <w:r>
              <w:rPr>
                <w:b/>
                <w:sz w:val="22"/>
              </w:rPr>
              <w:t>S2.</w:t>
            </w:r>
            <w:r>
              <w:rPr>
                <w:sz w:val="22"/>
              </w:rPr>
              <w:t xml:space="preserve"> Airbus Protect cyber-defence expertise — earned by defending Airbus DS itself against real-world advanced adversaries, immediately below the operational profile of actual military operators (§2.3, §4.1.1).</w:t>
            </w:r>
            <w:r>
              <w:rPr>
                <w:sz w:val="20"/>
              </w:rPr>
              <w:br/>
            </w:r>
            <w:r>
              <w:rPr>
                <w:sz w:val="20"/>
              </w:rPr>
              <w:br/>
            </w:r>
            <w:r>
              <w:rPr>
                <w:sz w:val="22"/>
              </w:rPr>
              <w:br/>
            </w:r>
            <w:r>
              <w:rPr>
                <w:b/>
                <w:sz w:val="22"/>
              </w:rPr>
              <w:t>S3.</w:t>
            </w:r>
            <w:r>
              <w:rPr>
                <w:sz w:val="22"/>
              </w:rPr>
              <w:t xml:space="preserve"> Privileged platform ownership and access (Eurodrone, Eurofighter, A400M, MRTT, Tiger/NH90) — engineering depth no greenfield competitor can replicate inside the 2028–2029 window (§2.3, §4.1.1).</w:t>
            </w:r>
            <w:r>
              <w:rPr>
                <w:sz w:val="20"/>
              </w:rPr>
              <w:br/>
            </w:r>
            <w:r>
              <w:rPr>
                <w:sz w:val="20"/>
              </w:rPr>
              <w:br/>
            </w:r>
            <w:r>
              <w:rPr>
                <w:sz w:val="22"/>
              </w:rPr>
              <w:br/>
            </w:r>
            <w:r>
              <w:rPr>
                <w:b/>
                <w:sz w:val="22"/>
              </w:rPr>
              <w:t>S4.</w:t>
            </w:r>
            <w:r>
              <w:rPr>
                <w:sz w:val="22"/>
              </w:rPr>
              <w:t xml:space="preserve"> FCAS membership and standard-setting credibility — Airbus DS is already inside FCAS as Pillar 4 prime, with standing seats on the schema-board and the architecture board (§2.3, §4.1.1).</w:t>
            </w:r>
            <w:r>
              <w:rPr>
                <w:sz w:val="20"/>
              </w:rPr>
              <w:br/>
            </w:r>
            <w:r>
              <w:rPr>
                <w:sz w:val="20"/>
              </w:rPr>
              <w:br/>
            </w:r>
            <w:r>
              <w:rPr>
                <w:sz w:val="22"/>
              </w:rPr>
              <w:br/>
            </w:r>
            <w:r>
              <w:rPr>
                <w:b/>
                <w:sz w:val="22"/>
              </w:rPr>
              <w:t>S5.</w:t>
            </w:r>
            <w:r>
              <w:rPr>
                <w:sz w:val="22"/>
              </w:rPr>
              <w:t xml:space="preserve"> Multi-decade national-accreditation track record across DGA-MI, BSI, CCN-CERT (§4.1.2, §6.1.2).</w:t>
            </w:r>
            <w:r>
              <w:rPr>
                <w:sz w:val="20"/>
              </w:rPr>
              <w:br/>
            </w:r>
            <w:r>
              <w:rPr>
                <w:sz w:val="20"/>
              </w:rPr>
              <w:br/>
            </w:r>
            <w:r>
              <w:rPr>
                <w:sz w:val="22"/>
              </w:rPr>
              <w:br/>
            </w:r>
            <w:r>
              <w:rPr>
                <w:b/>
                <w:sz w:val="22"/>
              </w:rPr>
              <w:t>S6.</w:t>
            </w:r>
            <w:r>
              <w:rPr>
                <w:sz w:val="22"/>
              </w:rPr>
              <w:t xml:space="preserve"> Existing cleared-talent pool from A400M, MRTT, Eurofighter and Eurodrone — bypasses the 6–12-month national-clearance lead time (§4.1.3, §6.1.2, §7.2).</w:t>
            </w:r>
            <w:r>
              <w:rPr>
                <w:sz w:val="20"/>
              </w:rPr>
              <w:br/>
            </w:r>
            <w:r>
              <w:rPr>
                <w:sz w:val="20"/>
              </w:rPr>
              <w:br/>
            </w:r>
            <w:r>
              <w:rPr>
                <w:sz w:val="22"/>
              </w:rPr>
              <w:br/>
            </w:r>
            <w:r>
              <w:rPr>
                <w:b/>
                <w:sz w:val="22"/>
              </w:rPr>
              <w:t>S7.</w:t>
            </w:r>
            <w:r>
              <w:rPr>
                <w:sz w:val="22"/>
              </w:rPr>
              <w:t xml:space="preserve"> Asymmetric financial outcomes — 95% of probability space is value-creating; even the downside scenario returns €54 M NPV (§5.3).</w:t>
              <w:br/>
            </w:r>
          </w:p>
        </w:tc>
        <w:tc>
          <w:tcPr>
            <w:tcW w:type="dxa" w:w="4986"/>
            <w:tcBorders>
              <w:top w:val="single" w:sz="4" w:color="DDE5EF"/>
              <w:left w:val="single" w:sz="4" w:color="DDE5EF"/>
              <w:bottom w:val="single" w:sz="4" w:color="DDE5EF"/>
              <w:right w:val="single" w:sz="4" w:color="DDE5EF"/>
            </w:tcBorders>
          </w:tcPr>
          <w:p>
            <w:pPr>
              <w:spacing w:after="0"/>
            </w:pPr>
            <w:r>
              <w:rPr>
                <w:sz w:val="22"/>
              </w:rPr>
              <w:br/>
            </w:r>
            <w:r>
              <w:rPr>
                <w:b/>
                <w:sz w:val="22"/>
              </w:rPr>
              <w:t>W1.</w:t>
            </w:r>
            <w:r>
              <w:rPr>
                <w:sz w:val="22"/>
              </w:rPr>
              <w:t xml:space="preserve"> Programme-prime culture vs software-cadence requirement — impedance mismatch addressed only partly by the dual-cadence architecture (§6.1.3).</w:t>
            </w:r>
            <w:r>
              <w:rPr>
                <w:sz w:val="20"/>
              </w:rPr>
              <w:br/>
            </w:r>
            <w:r>
              <w:rPr>
                <w:sz w:val="20"/>
              </w:rPr>
              <w:br/>
            </w:r>
            <w:r>
              <w:rPr>
                <w:sz w:val="22"/>
              </w:rPr>
              <w:br/>
            </w:r>
            <w:r>
              <w:rPr>
                <w:b/>
                <w:sz w:val="22"/>
              </w:rPr>
              <w:t>W2.</w:t>
            </w:r>
            <w:r>
              <w:rPr>
                <w:sz w:val="22"/>
              </w:rPr>
              <w:t xml:space="preserve"> Signed-content production at SPARTA-anchored operational cadence is a current capability gap (§7.1).</w:t>
            </w:r>
            <w:r>
              <w:rPr>
                <w:sz w:val="20"/>
              </w:rPr>
              <w:br/>
            </w:r>
            <w:r>
              <w:rPr>
                <w:sz w:val="20"/>
              </w:rPr>
              <w:br/>
            </w:r>
            <w:r>
              <w:rPr>
                <w:sz w:val="22"/>
              </w:rPr>
              <w:br/>
            </w:r>
            <w:r>
              <w:rPr>
                <w:b/>
                <w:sz w:val="22"/>
              </w:rPr>
              <w:t>W3.</w:t>
            </w:r>
            <w:r>
              <w:rPr>
                <w:sz w:val="22"/>
              </w:rPr>
              <w:t xml:space="preserve"> Subscription-revenue billing is a current capability gap — Airbus DS revenue recognition is programme-milestone-oriented (§7.1).</w:t>
            </w:r>
            <w:r>
              <w:rPr>
                <w:sz w:val="20"/>
              </w:rPr>
              <w:br/>
            </w:r>
            <w:r>
              <w:rPr>
                <w:sz w:val="20"/>
              </w:rPr>
              <w:br/>
            </w:r>
            <w:r>
              <w:rPr>
                <w:sz w:val="22"/>
              </w:rPr>
              <w:br/>
            </w:r>
            <w:r>
              <w:rPr>
                <w:b/>
                <w:sz w:val="22"/>
              </w:rPr>
              <w:t>W4.</w:t>
            </w:r>
            <w:r>
              <w:rPr>
                <w:sz w:val="22"/>
              </w:rPr>
              <w:t xml:space="preserve"> Heavy FCAS-revenue concentration — 52% of base-case revenue from FCAS direct alone (§5.2.3, §6.3 SR-07).</w:t>
            </w:r>
            <w:r>
              <w:rPr>
                <w:sz w:val="20"/>
              </w:rPr>
              <w:br/>
            </w:r>
            <w:r>
              <w:rPr>
                <w:sz w:val="20"/>
              </w:rPr>
              <w:br/>
            </w:r>
            <w:r>
              <w:rPr>
                <w:sz w:val="22"/>
              </w:rPr>
              <w:br/>
            </w:r>
            <w:r>
              <w:rPr>
                <w:b/>
                <w:sz w:val="22"/>
              </w:rPr>
              <w:t>W5.</w:t>
            </w:r>
            <w:r>
              <w:rPr>
                <w:sz w:val="22"/>
              </w:rPr>
              <w:t xml:space="preserve"> Strategic anchors dated 2017–2024 still pending 2026 revalidation (§6.3 SR-10, OP-STRAT-01).</w:t>
            </w:r>
            <w:r>
              <w:rPr>
                <w:sz w:val="20"/>
              </w:rPr>
              <w:br/>
            </w:r>
            <w:r>
              <w:rPr>
                <w:sz w:val="20"/>
              </w:rPr>
              <w:br/>
            </w:r>
            <w:r>
              <w:rPr>
                <w:sz w:val="22"/>
              </w:rPr>
              <w:br/>
            </w:r>
            <w:r>
              <w:rPr>
                <w:b/>
                <w:sz w:val="22"/>
              </w:rPr>
              <w:t>W6.</w:t>
            </w:r>
            <w:r>
              <w:rPr>
                <w:sz w:val="22"/>
              </w:rPr>
              <w:t xml:space="preserve"> €154 M of base-case adjacent revenue lacks committed funding lines (§5.2.3).</w:t>
            </w:r>
            <w:r>
              <w:rPr>
                <w:sz w:val="20"/>
              </w:rPr>
              <w:br/>
            </w:r>
            <w:r>
              <w:rPr>
                <w:sz w:val="20"/>
              </w:rPr>
              <w:br/>
            </w:r>
            <w:r>
              <w:rPr>
                <w:sz w:val="22"/>
              </w:rPr>
              <w:br/>
            </w:r>
            <w:r>
              <w:rPr>
                <w:b/>
                <w:sz w:val="22"/>
              </w:rPr>
              <w:t>W7.</w:t>
            </w:r>
            <w:r>
              <w:rPr>
                <w:sz w:val="22"/>
              </w:rPr>
              <w:t xml:space="preserve"> Airbus DS decision-rhythm is structurally slower than the 2026–2029 schema-freeze window allows (§6.3 SR-02).</w:t>
              <w:br/>
            </w:r>
          </w:p>
        </w:tc>
      </w:tr>
    </w:tbl>
    <w:p>
      <w:pPr>
        <w:spacing w:after="40"/>
      </w:pPr>
    </w:p>
    <w:tbl>
      <w:tblPr>
        <w:tblStyle w:val="TableGrid"/>
        <w:tblW w:type="auto" w:w="0"/>
        <w:jc w:val="center"/>
        <w:tblLayout w:type="autofit"/>
        <w:tblLook w:firstColumn="1" w:firstRow="1" w:lastColumn="0" w:lastRow="0" w:noHBand="0" w:noVBand="1" w:val="04A0"/>
      </w:tblPr>
      <w:tblGrid>
        <w:gridCol w:w="4986"/>
        <w:gridCol w:w="4986"/>
      </w:tblGrid>
      <w:tr>
        <w:tc>
          <w:tcPr>
            <w:tcW w:type="dxa" w:w="4986"/>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OPPORTUNITIES — external, helpful</w:t>
            </w:r>
          </w:p>
        </w:tc>
        <w:tc>
          <w:tcPr>
            <w:tcW w:type="dxa" w:w="4986"/>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THREATS — external, harmful</w:t>
            </w:r>
          </w:p>
        </w:tc>
      </w:tr>
      <w:tr>
        <w:tc>
          <w:tcPr>
            <w:tcW w:type="dxa" w:w="4986"/>
            <w:tcBorders>
              <w:top w:val="single" w:sz="4" w:color="DDE5EF"/>
              <w:left w:val="single" w:sz="4" w:color="DDE5EF"/>
              <w:bottom w:val="single" w:sz="4" w:color="DDE5EF"/>
              <w:right w:val="single" w:sz="4" w:color="DDE5EF"/>
            </w:tcBorders>
          </w:tcPr>
          <w:p>
            <w:pPr>
              <w:spacing w:after="0"/>
            </w:pPr>
            <w:r>
              <w:rPr>
                <w:sz w:val="22"/>
              </w:rPr>
              <w:br/>
            </w:r>
            <w:r>
              <w:rPr>
                <w:b/>
                <w:sz w:val="22"/>
              </w:rPr>
              <w:t>O1.</w:t>
            </w:r>
            <w:r>
              <w:rPr>
                <w:sz w:val="22"/>
              </w:rPr>
              <w:t xml:space="preserve"> 2028–2029 FCAS Combat Cloud schema-freeze window — the strategic standard-setting opportunity (§2.2, §3.2, §6.3 SR-01).</w:t>
            </w:r>
            <w:r>
              <w:rPr>
                <w:sz w:val="20"/>
              </w:rPr>
              <w:br/>
            </w:r>
            <w:r>
              <w:rPr>
                <w:sz w:val="20"/>
              </w:rPr>
              <w:br/>
            </w:r>
            <w:r>
              <w:rPr>
                <w:sz w:val="22"/>
              </w:rPr>
              <w:br/>
            </w:r>
            <w:r>
              <w:rPr>
                <w:b/>
                <w:sz w:val="22"/>
              </w:rPr>
              <w:t>O2.</w:t>
            </w:r>
            <w:r>
              <w:rPr>
                <w:sz w:val="22"/>
              </w:rPr>
              <w:t xml:space="preserve"> Regulatory tailwinds — NIS2, EU Cyber Resilience Act and NATO FMN raise the floor on auditable cyber telemetry, growing the entire SAM (§3.2.1, §6.2.1).</w:t>
            </w:r>
            <w:r>
              <w:rPr>
                <w:sz w:val="20"/>
              </w:rPr>
              <w:br/>
            </w:r>
            <w:r>
              <w:rPr>
                <w:sz w:val="20"/>
              </w:rPr>
              <w:br/>
            </w:r>
            <w:r>
              <w:rPr>
                <w:sz w:val="22"/>
              </w:rPr>
              <w:br/>
            </w:r>
            <w:r>
              <w:rPr>
                <w:b/>
                <w:sz w:val="22"/>
              </w:rPr>
              <w:t>O3.</w:t>
            </w:r>
            <w:r>
              <w:rPr>
                <w:sz w:val="22"/>
              </w:rPr>
              <w:t xml:space="preserve"> EDF cyber-resilience co-funding lines available 2026–2034 (§3.6, §6.2.4).</w:t>
            </w:r>
            <w:r>
              <w:rPr>
                <w:sz w:val="20"/>
              </w:rPr>
              <w:br/>
            </w:r>
            <w:r>
              <w:rPr>
                <w:sz w:val="20"/>
              </w:rPr>
              <w:br/>
            </w:r>
            <w:r>
              <w:rPr>
                <w:sz w:val="22"/>
              </w:rPr>
              <w:br/>
            </w:r>
            <w:r>
              <w:rPr>
                <w:b/>
                <w:sz w:val="22"/>
              </w:rPr>
              <w:t>O4.</w:t>
            </w:r>
            <w:r>
              <w:rPr>
                <w:sz w:val="22"/>
              </w:rPr>
              <w:t xml:space="preserve"> Adjacent platform programmes — Eurofighter LTE, Eurodrone, MRTT, A400M — offer per-platform integration revenue plus recurring services attach (§3.3.2, §5.2.1).</w:t>
            </w:r>
            <w:r>
              <w:rPr>
                <w:sz w:val="20"/>
              </w:rPr>
              <w:br/>
            </w:r>
            <w:r>
              <w:rPr>
                <w:sz w:val="20"/>
              </w:rPr>
              <w:br/>
            </w:r>
            <w:r>
              <w:rPr>
                <w:sz w:val="22"/>
              </w:rPr>
              <w:br/>
            </w:r>
            <w:r>
              <w:rPr>
                <w:b/>
                <w:sz w:val="22"/>
              </w:rPr>
              <w:t>O5.</w:t>
            </w:r>
            <w:r>
              <w:rPr>
                <w:sz w:val="22"/>
              </w:rPr>
              <w:t xml:space="preserve"> Recurring-services revenue stream with software-services gross margin (55–65%), structurally higher than programme-prime margins (§5.2.2, §6.1.4).</w:t>
            </w:r>
            <w:r>
              <w:rPr>
                <w:sz w:val="20"/>
              </w:rPr>
              <w:br/>
            </w:r>
            <w:r>
              <w:rPr>
                <w:sz w:val="20"/>
              </w:rPr>
              <w:br/>
            </w:r>
            <w:r>
              <w:rPr>
                <w:sz w:val="22"/>
              </w:rPr>
              <w:br/>
            </w:r>
            <w:r>
              <w:rPr>
                <w:b/>
                <w:sz w:val="22"/>
              </w:rPr>
              <w:t>O6.</w:t>
            </w:r>
            <w:r>
              <w:rPr>
                <w:sz w:val="22"/>
              </w:rPr>
              <w:t xml:space="preserve"> Export envelope to NATO partners (Sweden, Finland, Poland) under sovereign-cyber overlays compatible with NATO FMN (§3.3.3, §3.6).</w:t>
            </w:r>
            <w:r>
              <w:rPr>
                <w:sz w:val="20"/>
              </w:rPr>
              <w:br/>
            </w:r>
            <w:r>
              <w:rPr>
                <w:sz w:val="20"/>
              </w:rPr>
              <w:br/>
            </w:r>
            <w:r>
              <w:rPr>
                <w:sz w:val="22"/>
              </w:rPr>
              <w:br/>
            </w:r>
            <w:r>
              <w:rPr>
                <w:b/>
                <w:sz w:val="22"/>
              </w:rPr>
              <w:t>O7.</w:t>
            </w:r>
            <w:r>
              <w:rPr>
                <w:sz w:val="22"/>
              </w:rPr>
              <w:t xml:space="preserve"> Long-term GCAP technical convergence — low-probability but high-upside (§3.3.3).</w:t>
            </w:r>
            <w:r>
              <w:rPr>
                <w:sz w:val="20"/>
              </w:rPr>
              <w:br/>
            </w:r>
            <w:r>
              <w:rPr>
                <w:sz w:val="20"/>
              </w:rPr>
              <w:br/>
            </w:r>
            <w:r>
              <w:rPr>
                <w:sz w:val="22"/>
              </w:rPr>
              <w:br/>
            </w:r>
            <w:r>
              <w:rPr>
                <w:b/>
                <w:sz w:val="22"/>
              </w:rPr>
              <w:t>O8.</w:t>
            </w:r>
            <w:r>
              <w:rPr>
                <w:sz w:val="22"/>
              </w:rPr>
              <w:t xml:space="preserve"> The two German entrants (Helsing.AI, BWI) focus on different parts of the stack — Helsing on mission-AI, BWI on Bundeswehr IT services. This leaves structural room for cooperation rather than direct head-to-head competition on the cyber-trust object (§3.4.1).</w:t>
              <w:br/>
            </w:r>
          </w:p>
        </w:tc>
        <w:tc>
          <w:tcPr>
            <w:tcW w:type="dxa" w:w="4986"/>
            <w:tcBorders>
              <w:top w:val="single" w:sz="4" w:color="DDE5EF"/>
              <w:left w:val="single" w:sz="4" w:color="DDE5EF"/>
              <w:bottom w:val="single" w:sz="4" w:color="DDE5EF"/>
              <w:right w:val="single" w:sz="4" w:color="DDE5EF"/>
            </w:tcBorders>
          </w:tcPr>
          <w:p>
            <w:pPr>
              <w:spacing w:after="0"/>
            </w:pPr>
            <w:r>
              <w:rPr>
                <w:sz w:val="22"/>
              </w:rPr>
              <w:br/>
            </w:r>
            <w:r>
              <w:rPr>
                <w:b/>
                <w:sz w:val="22"/>
              </w:rPr>
              <w:t>T1.</w:t>
            </w:r>
            <w:r>
              <w:rPr>
                <w:sz w:val="22"/>
              </w:rPr>
              <w:t xml:space="preserve"> US mission-cyber vendors (Anduril, Palantir, Shift5) setting a NATO-level standard before FCAS does (§3.4.1, §6.3 SR-06).</w:t>
            </w:r>
            <w:r>
              <w:rPr>
                <w:sz w:val="20"/>
              </w:rPr>
              <w:br/>
            </w:r>
            <w:r>
              <w:rPr>
                <w:sz w:val="20"/>
              </w:rPr>
              <w:br/>
            </w:r>
            <w:r>
              <w:rPr>
                <w:sz w:val="22"/>
              </w:rPr>
              <w:br/>
            </w:r>
            <w:r>
              <w:rPr>
                <w:b/>
                <w:sz w:val="22"/>
              </w:rPr>
              <w:t>T2.</w:t>
            </w:r>
            <w:r>
              <w:rPr>
                <w:sz w:val="22"/>
              </w:rPr>
              <w:t xml:space="preserve"> </w:t>
            </w:r>
            <w:r>
              <w:rPr>
                <w:b/>
                <w:sz w:val="22"/>
              </w:rPr>
              <w:t>Helsing.AI</w:t>
            </w:r>
            <w:r>
              <w:rPr>
                <w:sz w:val="22"/>
              </w:rPr>
              <w:t xml:space="preserve"> — Munich-based defence-AI start-up, software-first, sovereign-acceptable, aggressively winning Bundeswehr contracts. The most credible non-US new entrant that could contest SPARTA's positioning on the German side (§3.4.1, §3.4.5).</w:t>
            </w:r>
            <w:r>
              <w:rPr>
                <w:sz w:val="20"/>
              </w:rPr>
              <w:br/>
            </w:r>
            <w:r>
              <w:rPr>
                <w:sz w:val="20"/>
              </w:rPr>
              <w:br/>
            </w:r>
            <w:r>
              <w:rPr>
                <w:sz w:val="22"/>
              </w:rPr>
              <w:br/>
            </w:r>
            <w:r>
              <w:rPr>
                <w:b/>
                <w:sz w:val="22"/>
              </w:rPr>
              <w:t>T3.</w:t>
            </w:r>
            <w:r>
              <w:rPr>
                <w:sz w:val="22"/>
              </w:rPr>
              <w:t xml:space="preserve"> </w:t>
            </w:r>
            <w:r>
              <w:rPr>
                <w:b/>
                <w:sz w:val="22"/>
              </w:rPr>
              <w:t>BWI GmbH</w:t>
            </w:r>
            <w:r>
              <w:rPr>
                <w:sz w:val="22"/>
              </w:rPr>
              <w:t xml:space="preserve"> — Bundeswehr-owned IT services company with inside-track influence over German military IT modernisation procurement; functions as gatekeeper rather than direct rival (§3.4.1, §3.4.5).</w:t>
            </w:r>
            <w:r>
              <w:rPr>
                <w:sz w:val="20"/>
              </w:rPr>
              <w:br/>
            </w:r>
            <w:r>
              <w:rPr>
                <w:sz w:val="20"/>
              </w:rPr>
              <w:br/>
            </w:r>
            <w:r>
              <w:rPr>
                <w:sz w:val="22"/>
              </w:rPr>
              <w:br/>
            </w:r>
            <w:r>
              <w:rPr>
                <w:b/>
                <w:sz w:val="22"/>
              </w:rPr>
              <w:t>T4.</w:t>
            </w:r>
            <w:r>
              <w:rPr>
                <w:sz w:val="22"/>
              </w:rPr>
              <w:t xml:space="preserve"> Indra sovereign-cyber pushback if SPARTA appears to displace Indra's cyber-product line in Spain (§6.3 SR-04).</w:t>
            </w:r>
            <w:r>
              <w:rPr>
                <w:sz w:val="20"/>
              </w:rPr>
              <w:br/>
            </w:r>
            <w:r>
              <w:rPr>
                <w:sz w:val="20"/>
              </w:rPr>
              <w:br/>
            </w:r>
            <w:r>
              <w:rPr>
                <w:sz w:val="22"/>
              </w:rPr>
              <w:br/>
            </w:r>
            <w:r>
              <w:rPr>
                <w:b/>
                <w:sz w:val="22"/>
              </w:rPr>
              <w:t>T5.</w:t>
            </w:r>
            <w:r>
              <w:rPr>
                <w:sz w:val="22"/>
              </w:rPr>
              <w:t xml:space="preserve"> Dassault objection to perceived constraint on NGF autonomy (§6.3 SR-05).</w:t>
            </w:r>
            <w:r>
              <w:rPr>
                <w:sz w:val="20"/>
              </w:rPr>
              <w:br/>
            </w:r>
            <w:r>
              <w:rPr>
                <w:sz w:val="20"/>
              </w:rPr>
              <w:br/>
            </w:r>
            <w:r>
              <w:rPr>
                <w:sz w:val="22"/>
              </w:rPr>
              <w:br/>
            </w:r>
            <w:r>
              <w:rPr>
                <w:b/>
                <w:sz w:val="22"/>
              </w:rPr>
              <w:t>T6.</w:t>
            </w:r>
            <w:r>
              <w:rPr>
                <w:sz w:val="22"/>
              </w:rPr>
              <w:t xml:space="preserve"> National-budget cuts in FR / DE / ES delaying Phase 1B or Phase 2 demonstrator (§6.3 SR-07).</w:t>
            </w:r>
            <w:r>
              <w:rPr>
                <w:sz w:val="20"/>
              </w:rPr>
              <w:br/>
            </w:r>
            <w:r>
              <w:rPr>
                <w:sz w:val="20"/>
              </w:rPr>
              <w:br/>
            </w:r>
            <w:r>
              <w:rPr>
                <w:sz w:val="22"/>
              </w:rPr>
              <w:br/>
            </w:r>
            <w:r>
              <w:rPr>
                <w:b/>
                <w:sz w:val="22"/>
              </w:rPr>
              <w:t>T7.</w:t>
            </w:r>
            <w:r>
              <w:rPr>
                <w:sz w:val="22"/>
              </w:rPr>
              <w:t xml:space="preserve"> Re-opening of FCAS Phase 1B workshare if SPARTA is mis-framed as a new pillar (§6.3 SR-03).</w:t>
            </w:r>
            <w:r>
              <w:rPr>
                <w:sz w:val="20"/>
              </w:rPr>
              <w:br/>
            </w:r>
            <w:r>
              <w:rPr>
                <w:sz w:val="20"/>
              </w:rPr>
              <w:br/>
            </w:r>
            <w:r>
              <w:rPr>
                <w:sz w:val="22"/>
              </w:rPr>
              <w:br/>
            </w:r>
            <w:r>
              <w:rPr>
                <w:b/>
                <w:sz w:val="22"/>
              </w:rPr>
              <w:t>T8.</w:t>
            </w:r>
            <w:r>
              <w:rPr>
                <w:sz w:val="22"/>
              </w:rPr>
              <w:t xml:space="preserve"> MARS schema freezes without SPARTA trust object inside — the highest-impact single risk in the register (§6.3 SR-01).</w:t>
              <w:br/>
            </w:r>
          </w:p>
        </w:tc>
      </w:tr>
    </w:tbl>
    <w:p>
      <w:pPr>
        <w:spacing w:after="40"/>
      </w:pPr>
    </w:p>
    <w:p>
      <w:pPr>
        <w:pStyle w:val="Heading3"/>
      </w:pPr>
      <w:r>
        <w:t>6.4.1 Strategic posture implied by the SWOT</w:t>
      </w:r>
    </w:p>
    <w:p>
      <w:pPr>
        <w:spacing w:after="120"/>
      </w:pPr>
      <w:r>
        <w:rPr>
          <w:sz w:val="22"/>
        </w:rPr>
        <w:t xml:space="preserve">The strengths are concentrated in </w:t>
      </w:r>
      <w:r>
        <w:rPr>
          <w:i/>
          <w:sz w:val="22"/>
        </w:rPr>
        <w:t>structural assets</w:t>
      </w:r>
      <w:r>
        <w:rPr>
          <w:sz w:val="22"/>
        </w:rPr>
        <w:t xml:space="preserve"> (moat positions, Airbus Protect expertise, platform access, FCAS membership) that competitors cannot acquire by spending money. The weaknesses are concentrated in </w:t>
      </w:r>
      <w:r>
        <w:rPr>
          <w:i/>
          <w:sz w:val="22"/>
        </w:rPr>
        <w:t>organisational gaps</w:t>
      </w:r>
      <w:r>
        <w:rPr>
          <w:sz w:val="22"/>
        </w:rPr>
        <w:t xml:space="preserve"> (cadence mismatch, subscription billing, content-cadence) that Airbus DS can close internally inside the 2026–2029 window. The opportunities are concentrated in </w:t>
      </w:r>
      <w:r>
        <w:rPr>
          <w:i/>
          <w:sz w:val="22"/>
        </w:rPr>
        <w:t>time-bounded external events</w:t>
      </w:r>
      <w:r>
        <w:rPr>
          <w:sz w:val="22"/>
        </w:rPr>
        <w:t xml:space="preserve"> (schema freeze, regulatory tailwinds, EDF calls) that will not stay open indefinitely. The threats are concentrated in </w:t>
      </w:r>
      <w:r>
        <w:rPr>
          <w:i/>
          <w:sz w:val="22"/>
        </w:rPr>
        <w:t>competitive standard-setting</w:t>
      </w:r>
      <w:r>
        <w:rPr>
          <w:sz w:val="22"/>
        </w:rPr>
        <w:t xml:space="preserve"> (US vendors and Helsing.AI specifically) and in </w:t>
      </w:r>
      <w:r>
        <w:rPr>
          <w:i/>
          <w:sz w:val="22"/>
        </w:rPr>
        <w:t>political-programmatic risks</w:t>
      </w:r>
      <w:r>
        <w:rPr>
          <w:sz w:val="22"/>
        </w:rPr>
        <w:t xml:space="preserve"> within FCAS.</w:t>
      </w:r>
    </w:p>
    <w:p>
      <w:pPr>
        <w:spacing w:after="120"/>
      </w:pPr>
      <w:r>
        <w:rPr>
          <w:sz w:val="22"/>
        </w:rPr>
        <w:t xml:space="preserve">The strategic conclusion is a classic </w:t>
      </w:r>
      <w:r>
        <w:rPr>
          <w:b/>
          <w:sz w:val="22"/>
        </w:rPr>
        <w:t>SO posture</w:t>
      </w:r>
      <w:r>
        <w:rPr>
          <w:sz w:val="22"/>
        </w:rPr>
        <w:t xml:space="preserve"> (use Strengths to seize Opportunities): leverage the four-property moat, Airbus Protect's operational cyber expertise, platform ownership, and FCAS membership to lock SPARTA into the Combat Cloud schema during the 2028–2029 freeze window — before Helsing.AI, the US vendors, or any other new entrant can credibly contest the position. The conditional GO recommendation in §8 is the operational expression of this SO posture.</w:t>
      </w:r>
    </w:p>
    <w:p>
      <w:pPr>
        <w:pStyle w:val="Heading3"/>
      </w:pPr>
      <w:r>
        <w:t>6.4.2 Foot-in-the-door doctrine</w:t>
      </w:r>
    </w:p>
    <w:p>
      <w:pPr>
        <w:spacing w:after="120"/>
      </w:pPr>
      <w:r>
        <w:rPr>
          <w:sz w:val="22"/>
        </w:rPr>
        <w:t xml:space="preserve">The SO posture operationalises through a single guiding doctrine: </w:t>
      </w:r>
      <w:r>
        <w:rPr>
          <w:b/>
          <w:sz w:val="22"/>
        </w:rPr>
        <w:t>Airbus DS must establish a foot in the door early — and from that foothold, expand</w:t>
      </w:r>
      <w:r>
        <w:rPr>
          <w:sz w:val="22"/>
        </w:rPr>
        <w:t>. The doctrine has two non-negotiable operational implications, both visible across the SWOT:</w:t>
      </w:r>
    </w:p>
    <w:p>
      <w:pPr>
        <w:spacing w:after="40"/>
        <w:ind w:left="454"/>
      </w:pPr>
      <w:r>
        <w:rPr>
          <w:color w:val="101A2D"/>
          <w:sz w:val="22"/>
        </w:rPr>
        <w:t xml:space="preserve">- </w:t>
      </w:r>
      <w:r>
        <w:rPr>
          <w:b/>
          <w:sz w:val="22"/>
        </w:rPr>
        <w:t>Push for early definition of the standards and interfaces.</w:t>
      </w:r>
      <w:r>
        <w:rPr>
          <w:sz w:val="22"/>
        </w:rPr>
        <w:t xml:space="preserve"> The MARS schema, the seven external interfaces, the cross-domain release format, the trust-object data contract, and the signed-content release chain are all up for definition during the 2026–2029 window. Whichever vendor's formats become the substrate </w:t>
      </w:r>
      <w:r>
        <w:rPr>
          <w:i/>
          <w:sz w:val="22"/>
        </w:rPr>
        <w:t>during definition</w:t>
      </w:r>
      <w:r>
        <w:rPr>
          <w:sz w:val="22"/>
        </w:rPr>
        <w:t xml:space="preserve"> becomes the integration substrate for every higher-level system that follows — FCAS Combat Cloud, NATO Federated Mission Networking, coalition trust exchange, and any post-2030 adjacent programme that emits cyber-trust telemetry. Once those formats are frozen, retrofitting to a different vendor's contract is structurally expensive and politically costly. Airbus DS must </w:t>
      </w:r>
      <w:r>
        <w:rPr>
          <w:i/>
          <w:sz w:val="22"/>
        </w:rPr>
        <w:t>set</w:t>
      </w:r>
      <w:r>
        <w:rPr>
          <w:sz w:val="22"/>
        </w:rPr>
        <w:t xml:space="preserve"> the standards, not </w:t>
      </w:r>
      <w:r>
        <w:rPr>
          <w:i/>
          <w:sz w:val="22"/>
        </w:rPr>
        <w:t>conform</w:t>
      </w:r>
      <w:r>
        <w:rPr>
          <w:sz w:val="22"/>
        </w:rPr>
        <w:t xml:space="preserve"> to them, and the only way to do that is to be inside the rooms where they are written, with a working implementation in hand. This converts opportunities O1 (schema freeze) and O2 (regulatory tailwinds) into structural assets, and neutralises threats T1 (US vendors) and T2 (Helsing.AI) before they can establish their own contracts.</w:t>
      </w:r>
    </w:p>
    <w:p>
      <w:pPr>
        <w:spacing w:after="40"/>
        <w:ind w:left="454"/>
      </w:pPr>
      <w:r>
        <w:rPr>
          <w:color w:val="101A2D"/>
          <w:sz w:val="22"/>
        </w:rPr>
        <w:t xml:space="preserve">- </w:t>
      </w:r>
      <w:r>
        <w:rPr>
          <w:b/>
          <w:sz w:val="22"/>
        </w:rPr>
        <w:t>Push for entrance into service by 2029.</w:t>
      </w:r>
      <w:r>
        <w:rPr>
          <w:sz w:val="22"/>
        </w:rPr>
        <w:t xml:space="preserve"> A product in operations on a real fleet is a fundamentally different proposition from a product on paper. The 2029 IOC — ideally on the German Bundeswehr platform via the co-engineering route described in §1.3 and §4.3 — converts SPARTA from a credible promise into a credible operational reference. Operational references matter disproportionately in three places: in standard-setting forums (a working implementation outranks a specification), with national accreditation authorities (a fielded system has empirical evidence behind it), and with prospective adjacent customers (the Eurofighter LTE, Eurodrone, MRTT and export buyers do not procure paperware). The 2029 IOC is therefore not just a technical milestone — it is the moment SPARTA stops being an investment thesis and starts being an asset.</w:t>
      </w:r>
    </w:p>
    <w:p>
      <w:pPr>
        <w:spacing w:after="120"/>
      </w:pPr>
      <w:r>
        <w:rPr>
          <w:sz w:val="22"/>
        </w:rPr>
        <w:t>The doctrine resolves several apparent tensions in the SWOT. It explains why the plan accepts a constrained MVP scope at IOC (W2 cadence-gap is partially accepted because reaching the door is more strategically valuable than perfecting the product behind it). It explains why the manpower plan re-uses already-cleared staff transferred from existing programmes rather than hiring outside the cleared pool (S6) — clearance lead times would otherwise be incompatible with the 2029 gate. And it explains why the financial model accepts adjacent-revenue tail risk (W6) on the upside: the foot-in-the-door foothold is what unlocks the recurring-services attach across adjacent fleets later, and the recurring-services attach is what carries the long-run NPV.</w:t>
      </w:r>
    </w:p>
    <w:p>
      <w:pPr>
        <w:spacing w:after="120"/>
      </w:pPr>
      <w:r>
        <w:rPr>
          <w:i/>
          <w:sz w:val="22"/>
        </w:rPr>
        <w:t>Foot in the door now, full ecosystem later.</w:t>
      </w:r>
    </w:p>
    <w:p>
      <w:r>
        <w:br/>
      </w:r>
    </w:p>
    <w:p>
      <w:pPr>
        <w:pStyle w:val="Heading1"/>
      </w:pPr>
      <w:r>
        <w:t>7. Business Requirements</w:t>
      </w:r>
    </w:p>
    <w:p>
      <w:pPr>
        <w:pStyle w:val="Heading2"/>
      </w:pPr>
      <w:r>
        <w:t>7.1 Business Capabilities</w:t>
      </w:r>
    </w:p>
    <w:p>
      <w:pPr>
        <w:spacing w:after="120"/>
      </w:pPr>
      <w:r>
        <w:rPr>
          <w:sz w:val="22"/>
        </w:rPr>
        <w:t>Business capabilities — the business-level abilities Airbus DS must possess or build to deliver SPARTA — are mapped against the three operating-model maturity gates introduced in §4. Each capability is rated for current state (have / partial / gap), required state at first gate, and required state at steady state.</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Business capability</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Current state (2026)</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Required at Programme-execution gate (2029)</w:t>
            </w:r>
          </w:p>
        </w:tc>
        <w:tc>
          <w:tcPr>
            <w:tcW w:type="dxa" w:w="2493"/>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Required at Platform-business gate (2036)</w:t>
            </w:r>
          </w:p>
        </w:tc>
      </w:tr>
      <w:tr>
        <w:tc>
          <w:tcPr>
            <w:tcW w:type="dxa" w:w="2493"/>
            <w:tcBorders>
              <w:top w:val="single" w:sz="4" w:color="DDE5EF"/>
              <w:left w:val="single" w:sz="4" w:color="DDE5EF"/>
              <w:bottom w:val="single" w:sz="4" w:color="DDE5EF"/>
              <w:right w:val="single" w:sz="4" w:color="DDE5EF"/>
            </w:tcBorders>
          </w:tcPr>
          <w:p>
            <w:pPr>
              <w:spacing w:after="0"/>
            </w:pPr>
            <w:r>
              <w:rPr>
                <w:sz w:val="22"/>
              </w:rPr>
              <w:t>Schema authority — define and govern the canonical trust-object data contract for FCAS Combat Cloud</w:t>
            </w:r>
          </w:p>
        </w:tc>
        <w:tc>
          <w:tcPr>
            <w:tcW w:type="dxa" w:w="2493"/>
            <w:tcBorders>
              <w:top w:val="single" w:sz="4" w:color="DDE5EF"/>
              <w:left w:val="single" w:sz="4" w:color="DDE5EF"/>
              <w:bottom w:val="single" w:sz="4" w:color="DDE5EF"/>
              <w:right w:val="single" w:sz="4" w:color="DDE5EF"/>
            </w:tcBorders>
          </w:tcPr>
          <w:p>
            <w:pPr>
              <w:spacing w:after="0"/>
            </w:pPr>
            <w:r>
              <w:rPr>
                <w:sz w:val="22"/>
              </w:rPr>
              <w:t>Partial — Airbus DS owns the MARS reference but the SPARTA-specific trust-object insertion is incomplete</w:t>
            </w:r>
          </w:p>
        </w:tc>
        <w:tc>
          <w:tcPr>
            <w:tcW w:type="dxa" w:w="2493"/>
            <w:tcBorders>
              <w:top w:val="single" w:sz="4" w:color="DDE5EF"/>
              <w:left w:val="single" w:sz="4" w:color="DDE5EF"/>
              <w:bottom w:val="single" w:sz="4" w:color="DDE5EF"/>
              <w:right w:val="single" w:sz="4" w:color="DDE5EF"/>
            </w:tcBorders>
          </w:tcPr>
          <w:p>
            <w:pPr>
              <w:spacing w:after="0"/>
            </w:pPr>
            <w:r>
              <w:rPr>
                <w:sz w:val="22"/>
              </w:rPr>
              <w:t>Have — SPARTA trust objects in MARS canonical schema</w:t>
            </w:r>
          </w:p>
        </w:tc>
        <w:tc>
          <w:tcPr>
            <w:tcW w:type="dxa" w:w="2493"/>
            <w:tcBorders>
              <w:top w:val="single" w:sz="4" w:color="DDE5EF"/>
              <w:left w:val="single" w:sz="4" w:color="DDE5EF"/>
              <w:bottom w:val="single" w:sz="4" w:color="DDE5EF"/>
              <w:right w:val="single" w:sz="4" w:color="DDE5EF"/>
            </w:tcBorders>
          </w:tcPr>
          <w:p>
            <w:pPr>
              <w:spacing w:after="0"/>
            </w:pPr>
            <w:r>
              <w:rPr>
                <w:sz w:val="22"/>
              </w:rPr>
              <w:t>Have — extended to coalition tier; cross-domain release governance mature</w:t>
            </w:r>
          </w:p>
        </w:tc>
      </w:tr>
      <w:tr>
        <w:tc>
          <w:tcPr>
            <w:tcW w:type="dxa" w:w="2493"/>
            <w:tcBorders>
              <w:top w:val="single" w:sz="4" w:color="DDE5EF"/>
              <w:left w:val="single" w:sz="4" w:color="DDE5EF"/>
              <w:bottom w:val="single" w:sz="4" w:color="DDE5EF"/>
              <w:right w:val="single" w:sz="4" w:color="DDE5EF"/>
            </w:tcBorders>
          </w:tcPr>
          <w:p>
            <w:pPr>
              <w:spacing w:after="0"/>
            </w:pPr>
            <w:r>
              <w:rPr>
                <w:sz w:val="22"/>
              </w:rPr>
              <w:t>Signed-content production — produce monotonically versioned, auditable detection content on operational cadence</w:t>
            </w:r>
          </w:p>
        </w:tc>
        <w:tc>
          <w:tcPr>
            <w:tcW w:type="dxa" w:w="2493"/>
            <w:tcBorders>
              <w:top w:val="single" w:sz="4" w:color="DDE5EF"/>
              <w:left w:val="single" w:sz="4" w:color="DDE5EF"/>
              <w:bottom w:val="single" w:sz="4" w:color="DDE5EF"/>
              <w:right w:val="single" w:sz="4" w:color="DDE5EF"/>
            </w:tcBorders>
          </w:tcPr>
          <w:p>
            <w:pPr>
              <w:spacing w:after="0"/>
            </w:pPr>
            <w:r>
              <w:rPr>
                <w:sz w:val="22"/>
              </w:rPr>
              <w:t>Gap — pipeline exists at Airbus Protect but not at SPARTA-anchored content cadence (operational days–weeks rhythm)</w:t>
            </w:r>
          </w:p>
        </w:tc>
        <w:tc>
          <w:tcPr>
            <w:tcW w:type="dxa" w:w="2493"/>
            <w:tcBorders>
              <w:top w:val="single" w:sz="4" w:color="DDE5EF"/>
              <w:left w:val="single" w:sz="4" w:color="DDE5EF"/>
              <w:bottom w:val="single" w:sz="4" w:color="DDE5EF"/>
              <w:right w:val="single" w:sz="4" w:color="DDE5EF"/>
            </w:tcBorders>
          </w:tcPr>
          <w:p>
            <w:pPr>
              <w:spacing w:after="0"/>
            </w:pPr>
            <w:r>
              <w:rPr>
                <w:sz w:val="22"/>
              </w:rPr>
              <w:t>Have — first PolicyBundle v1.0 in production</w:t>
            </w:r>
          </w:p>
        </w:tc>
        <w:tc>
          <w:tcPr>
            <w:tcW w:type="dxa" w:w="2493"/>
            <w:tcBorders>
              <w:top w:val="single" w:sz="4" w:color="DDE5EF"/>
              <w:left w:val="single" w:sz="4" w:color="DDE5EF"/>
              <w:bottom w:val="single" w:sz="4" w:color="DDE5EF"/>
              <w:right w:val="single" w:sz="4" w:color="DDE5EF"/>
            </w:tcBorders>
          </w:tcPr>
          <w:p>
            <w:pPr>
              <w:spacing w:after="0"/>
            </w:pPr>
            <w:r>
              <w:rPr>
                <w:sz w:val="22"/>
              </w:rPr>
              <w:t>Have — multi-fleet, multi-tier release discipline</w:t>
            </w:r>
          </w:p>
        </w:tc>
      </w:tr>
      <w:tr>
        <w:tc>
          <w:tcPr>
            <w:tcW w:type="dxa" w:w="2493"/>
            <w:tcBorders>
              <w:top w:val="single" w:sz="4" w:color="DDE5EF"/>
              <w:left w:val="single" w:sz="4" w:color="DDE5EF"/>
              <w:bottom w:val="single" w:sz="4" w:color="DDE5EF"/>
              <w:right w:val="single" w:sz="4" w:color="DDE5EF"/>
            </w:tcBorders>
          </w:tcPr>
          <w:p>
            <w:pPr>
              <w:spacing w:after="0"/>
            </w:pPr>
            <w:r>
              <w:rPr>
                <w:sz w:val="22"/>
              </w:rPr>
              <w:t>Identity &amp; PKI integration — accredited node, operator and peer identity binding with revocation</w:t>
            </w:r>
          </w:p>
        </w:tc>
        <w:tc>
          <w:tcPr>
            <w:tcW w:type="dxa" w:w="2493"/>
            <w:tcBorders>
              <w:top w:val="single" w:sz="4" w:color="DDE5EF"/>
              <w:left w:val="single" w:sz="4" w:color="DDE5EF"/>
              <w:bottom w:val="single" w:sz="4" w:color="DDE5EF"/>
              <w:right w:val="single" w:sz="4" w:color="DDE5EF"/>
            </w:tcBorders>
          </w:tcPr>
          <w:p>
            <w:pPr>
              <w:spacing w:after="0"/>
            </w:pPr>
            <w:r>
              <w:rPr>
                <w:sz w:val="22"/>
              </w:rPr>
              <w:t>Have — CymID®-class service available via IF-EXT-05 [R-2]</w:t>
            </w:r>
          </w:p>
        </w:tc>
        <w:tc>
          <w:tcPr>
            <w:tcW w:type="dxa" w:w="2493"/>
            <w:tcBorders>
              <w:top w:val="single" w:sz="4" w:color="DDE5EF"/>
              <w:left w:val="single" w:sz="4" w:color="DDE5EF"/>
              <w:bottom w:val="single" w:sz="4" w:color="DDE5EF"/>
              <w:right w:val="single" w:sz="4" w:color="DDE5EF"/>
            </w:tcBorders>
          </w:tcPr>
          <w:p>
            <w:pPr>
              <w:spacing w:after="0"/>
            </w:pPr>
            <w:r>
              <w:rPr>
                <w:sz w:val="22"/>
              </w:rPr>
              <w:t>Have — extended to operator and peer scope</w:t>
            </w:r>
          </w:p>
        </w:tc>
        <w:tc>
          <w:tcPr>
            <w:tcW w:type="dxa" w:w="2493"/>
            <w:tcBorders>
              <w:top w:val="single" w:sz="4" w:color="DDE5EF"/>
              <w:left w:val="single" w:sz="4" w:color="DDE5EF"/>
              <w:bottom w:val="single" w:sz="4" w:color="DDE5EF"/>
              <w:right w:val="single" w:sz="4" w:color="DDE5EF"/>
            </w:tcBorders>
          </w:tcPr>
          <w:p>
            <w:pPr>
              <w:spacing w:after="0"/>
            </w:pPr>
            <w:r>
              <w:rPr>
                <w:sz w:val="22"/>
              </w:rPr>
              <w:t>Have — PQ-ready signature profile fully rotated in</w:t>
            </w:r>
          </w:p>
        </w:tc>
      </w:tr>
      <w:tr>
        <w:tc>
          <w:tcPr>
            <w:tcW w:type="dxa" w:w="2493"/>
            <w:tcBorders>
              <w:top w:val="single" w:sz="4" w:color="DDE5EF"/>
              <w:left w:val="single" w:sz="4" w:color="DDE5EF"/>
              <w:bottom w:val="single" w:sz="4" w:color="DDE5EF"/>
              <w:right w:val="single" w:sz="4" w:color="DDE5EF"/>
            </w:tcBorders>
          </w:tcPr>
          <w:p>
            <w:pPr>
              <w:spacing w:after="0"/>
            </w:pPr>
            <w:r>
              <w:rPr>
                <w:sz w:val="22"/>
              </w:rPr>
              <w:t>Accreditation engagement — interface with national accreditation authorities under their methodologies</w:t>
            </w:r>
          </w:p>
        </w:tc>
        <w:tc>
          <w:tcPr>
            <w:tcW w:type="dxa" w:w="2493"/>
            <w:tcBorders>
              <w:top w:val="single" w:sz="4" w:color="DDE5EF"/>
              <w:left w:val="single" w:sz="4" w:color="DDE5EF"/>
              <w:bottom w:val="single" w:sz="4" w:color="DDE5EF"/>
              <w:right w:val="single" w:sz="4" w:color="DDE5EF"/>
            </w:tcBorders>
          </w:tcPr>
          <w:p>
            <w:pPr>
              <w:spacing w:after="0"/>
            </w:pPr>
            <w:r>
              <w:rPr>
                <w:sz w:val="22"/>
              </w:rPr>
              <w:t>Have — Airbus DS has multi-decade track record across A400M, MRTT, Eurofighter, Eurodrone [R-2]</w:t>
            </w:r>
          </w:p>
        </w:tc>
        <w:tc>
          <w:tcPr>
            <w:tcW w:type="dxa" w:w="2493"/>
            <w:tcBorders>
              <w:top w:val="single" w:sz="4" w:color="DDE5EF"/>
              <w:left w:val="single" w:sz="4" w:color="DDE5EF"/>
              <w:bottom w:val="single" w:sz="4" w:color="DDE5EF"/>
              <w:right w:val="single" w:sz="4" w:color="DDE5EF"/>
            </w:tcBorders>
          </w:tcPr>
          <w:p>
            <w:pPr>
              <w:spacing w:after="0"/>
            </w:pPr>
            <w:r>
              <w:rPr>
                <w:sz w:val="22"/>
              </w:rPr>
              <w:t>Have — SPARTA-specific accreditation packages in flight</w:t>
            </w:r>
          </w:p>
        </w:tc>
        <w:tc>
          <w:tcPr>
            <w:tcW w:type="dxa" w:w="2493"/>
            <w:tcBorders>
              <w:top w:val="single" w:sz="4" w:color="DDE5EF"/>
              <w:left w:val="single" w:sz="4" w:color="DDE5EF"/>
              <w:bottom w:val="single" w:sz="4" w:color="DDE5EF"/>
              <w:right w:val="single" w:sz="4" w:color="DDE5EF"/>
            </w:tcBorders>
          </w:tcPr>
          <w:p>
            <w:pPr>
              <w:spacing w:after="0"/>
            </w:pPr>
            <w:r>
              <w:rPr>
                <w:sz w:val="22"/>
              </w:rPr>
              <w:t>Have — repeatable across nations and platforms</w:t>
            </w:r>
          </w:p>
        </w:tc>
      </w:tr>
      <w:tr>
        <w:tc>
          <w:tcPr>
            <w:tcW w:type="dxa" w:w="2493"/>
            <w:tcBorders>
              <w:top w:val="single" w:sz="4" w:color="DDE5EF"/>
              <w:left w:val="single" w:sz="4" w:color="DDE5EF"/>
              <w:bottom w:val="single" w:sz="4" w:color="DDE5EF"/>
              <w:right w:val="single" w:sz="4" w:color="DDE5EF"/>
            </w:tcBorders>
          </w:tcPr>
          <w:p>
            <w:pPr>
              <w:spacing w:after="0"/>
            </w:pPr>
            <w:r>
              <w:rPr>
                <w:sz w:val="22"/>
              </w:rPr>
              <w:t>Operating model — dual-cadence (accredited software baseline + operational content)</w:t>
            </w:r>
          </w:p>
        </w:tc>
        <w:tc>
          <w:tcPr>
            <w:tcW w:type="dxa" w:w="2493"/>
            <w:tcBorders>
              <w:top w:val="single" w:sz="4" w:color="DDE5EF"/>
              <w:left w:val="single" w:sz="4" w:color="DDE5EF"/>
              <w:bottom w:val="single" w:sz="4" w:color="DDE5EF"/>
              <w:right w:val="single" w:sz="4" w:color="DDE5EF"/>
            </w:tcBorders>
          </w:tcPr>
          <w:p>
            <w:pPr>
              <w:spacing w:after="0"/>
            </w:pPr>
            <w:r>
              <w:rPr>
                <w:sz w:val="22"/>
              </w:rPr>
              <w:t>Partial — accredited side mature, operational-cadence side needs joint Airbus DS / Airbus Protect CCB stand-up</w:t>
            </w:r>
          </w:p>
        </w:tc>
        <w:tc>
          <w:tcPr>
            <w:tcW w:type="dxa" w:w="2493"/>
            <w:tcBorders>
              <w:top w:val="single" w:sz="4" w:color="DDE5EF"/>
              <w:left w:val="single" w:sz="4" w:color="DDE5EF"/>
              <w:bottom w:val="single" w:sz="4" w:color="DDE5EF"/>
              <w:right w:val="single" w:sz="4" w:color="DDE5EF"/>
            </w:tcBorders>
          </w:tcPr>
          <w:p>
            <w:pPr>
              <w:spacing w:after="0"/>
            </w:pPr>
            <w:r>
              <w:rPr>
                <w:sz w:val="22"/>
              </w:rPr>
              <w:t>Have — CCB operational; content-pipeline cadence demonstrated</w:t>
            </w:r>
          </w:p>
        </w:tc>
        <w:tc>
          <w:tcPr>
            <w:tcW w:type="dxa" w:w="2493"/>
            <w:tcBorders>
              <w:top w:val="single" w:sz="4" w:color="DDE5EF"/>
              <w:left w:val="single" w:sz="4" w:color="DDE5EF"/>
              <w:bottom w:val="single" w:sz="4" w:color="DDE5EF"/>
              <w:right w:val="single" w:sz="4" w:color="DDE5EF"/>
            </w:tcBorders>
          </w:tcPr>
          <w:p>
            <w:pPr>
              <w:spacing w:after="0"/>
            </w:pPr>
            <w:r>
              <w:rPr>
                <w:sz w:val="22"/>
              </w:rPr>
              <w:t>Have — steady-state content cadence; discrete services P&amp;L line</w:t>
            </w:r>
          </w:p>
        </w:tc>
      </w:tr>
      <w:tr>
        <w:tc>
          <w:tcPr>
            <w:tcW w:type="dxa" w:w="2493"/>
            <w:tcBorders>
              <w:top w:val="single" w:sz="4" w:color="DDE5EF"/>
              <w:left w:val="single" w:sz="4" w:color="DDE5EF"/>
              <w:bottom w:val="single" w:sz="4" w:color="DDE5EF"/>
              <w:right w:val="single" w:sz="4" w:color="DDE5EF"/>
            </w:tcBorders>
          </w:tcPr>
          <w:p>
            <w:pPr>
              <w:spacing w:after="0"/>
            </w:pPr>
            <w:r>
              <w:rPr>
                <w:sz w:val="22"/>
              </w:rPr>
              <w:t>Threat-modelling and red-team capability — sustained adversarial research</w:t>
            </w:r>
          </w:p>
        </w:tc>
        <w:tc>
          <w:tcPr>
            <w:tcW w:type="dxa" w:w="2493"/>
            <w:tcBorders>
              <w:top w:val="single" w:sz="4" w:color="DDE5EF"/>
              <w:left w:val="single" w:sz="4" w:color="DDE5EF"/>
              <w:bottom w:val="single" w:sz="4" w:color="DDE5EF"/>
              <w:right w:val="single" w:sz="4" w:color="DDE5EF"/>
            </w:tcBorders>
          </w:tcPr>
          <w:p>
            <w:pPr>
              <w:spacing w:after="0"/>
            </w:pPr>
            <w:r>
              <w:rPr>
                <w:sz w:val="22"/>
              </w:rPr>
              <w:t>Partial — Airbus Protect has cyber-content cells; sustained red-team capability is partial</w:t>
            </w:r>
          </w:p>
        </w:tc>
        <w:tc>
          <w:tcPr>
            <w:tcW w:type="dxa" w:w="2493"/>
            <w:tcBorders>
              <w:top w:val="single" w:sz="4" w:color="DDE5EF"/>
              <w:left w:val="single" w:sz="4" w:color="DDE5EF"/>
              <w:bottom w:val="single" w:sz="4" w:color="DDE5EF"/>
              <w:right w:val="single" w:sz="4" w:color="DDE5EF"/>
            </w:tcBorders>
          </w:tcPr>
          <w:p>
            <w:pPr>
              <w:spacing w:after="0"/>
            </w:pPr>
            <w:r>
              <w:rPr>
                <w:sz w:val="22"/>
              </w:rPr>
              <w:t>Have — annual red-team campaign against NT-01..NT-22 (Deliv. 06 §12)</w:t>
            </w:r>
          </w:p>
        </w:tc>
        <w:tc>
          <w:tcPr>
            <w:tcW w:type="dxa" w:w="2493"/>
            <w:tcBorders>
              <w:top w:val="single" w:sz="4" w:color="DDE5EF"/>
              <w:left w:val="single" w:sz="4" w:color="DDE5EF"/>
              <w:bottom w:val="single" w:sz="4" w:color="DDE5EF"/>
              <w:right w:val="single" w:sz="4" w:color="DDE5EF"/>
            </w:tcBorders>
          </w:tcPr>
          <w:p>
            <w:pPr>
              <w:spacing w:after="0"/>
            </w:pPr>
            <w:r>
              <w:rPr>
                <w:sz w:val="22"/>
              </w:rPr>
              <w:t>Have — institutionalised under CCD-COE partnership [R-21]</w:t>
            </w:r>
          </w:p>
        </w:tc>
      </w:tr>
      <w:tr>
        <w:tc>
          <w:tcPr>
            <w:tcW w:type="dxa" w:w="2493"/>
            <w:tcBorders>
              <w:top w:val="single" w:sz="4" w:color="DDE5EF"/>
              <w:left w:val="single" w:sz="4" w:color="DDE5EF"/>
              <w:bottom w:val="single" w:sz="4" w:color="DDE5EF"/>
              <w:right w:val="single" w:sz="4" w:color="DDE5EF"/>
            </w:tcBorders>
          </w:tcPr>
          <w:p>
            <w:pPr>
              <w:spacing w:after="0"/>
            </w:pPr>
            <w:r>
              <w:rPr>
                <w:sz w:val="22"/>
              </w:rPr>
              <w:t>Partnership management — Indra, Thales, OCCAR, EDF consortium leadership</w:t>
            </w:r>
          </w:p>
        </w:tc>
        <w:tc>
          <w:tcPr>
            <w:tcW w:type="dxa" w:w="2493"/>
            <w:tcBorders>
              <w:top w:val="single" w:sz="4" w:color="DDE5EF"/>
              <w:left w:val="single" w:sz="4" w:color="DDE5EF"/>
              <w:bottom w:val="single" w:sz="4" w:color="DDE5EF"/>
              <w:right w:val="single" w:sz="4" w:color="DDE5EF"/>
            </w:tcBorders>
          </w:tcPr>
          <w:p>
            <w:pPr>
              <w:spacing w:after="0"/>
            </w:pPr>
            <w:r>
              <w:rPr>
                <w:sz w:val="22"/>
              </w:rPr>
              <w:t>Partial — Airbus DS has the relationships; SPARTA-specific arrangements are nascent</w:t>
            </w:r>
          </w:p>
        </w:tc>
        <w:tc>
          <w:tcPr>
            <w:tcW w:type="dxa" w:w="2493"/>
            <w:tcBorders>
              <w:top w:val="single" w:sz="4" w:color="DDE5EF"/>
              <w:left w:val="single" w:sz="4" w:color="DDE5EF"/>
              <w:bottom w:val="single" w:sz="4" w:color="DDE5EF"/>
              <w:right w:val="single" w:sz="4" w:color="DDE5EF"/>
            </w:tcBorders>
          </w:tcPr>
          <w:p>
            <w:pPr>
              <w:spacing w:after="0"/>
            </w:pPr>
            <w:r>
              <w:rPr>
                <w:sz w:val="22"/>
              </w:rPr>
              <w:t>Have — joint demo plan with Indra; EDF consortium led; OCCAR engaged</w:t>
            </w:r>
          </w:p>
        </w:tc>
        <w:tc>
          <w:tcPr>
            <w:tcW w:type="dxa" w:w="2493"/>
            <w:tcBorders>
              <w:top w:val="single" w:sz="4" w:color="DDE5EF"/>
              <w:left w:val="single" w:sz="4" w:color="DDE5EF"/>
              <w:bottom w:val="single" w:sz="4" w:color="DDE5EF"/>
              <w:right w:val="single" w:sz="4" w:color="DDE5EF"/>
            </w:tcBorders>
          </w:tcPr>
          <w:p>
            <w:pPr>
              <w:spacing w:after="0"/>
            </w:pPr>
            <w:r>
              <w:rPr>
                <w:sz w:val="22"/>
              </w:rPr>
              <w:t>Have — NATO FMN onboarding underway; GCAP convergence explored</w:t>
            </w:r>
          </w:p>
        </w:tc>
      </w:tr>
      <w:tr>
        <w:tc>
          <w:tcPr>
            <w:tcW w:type="dxa" w:w="2493"/>
            <w:tcBorders>
              <w:top w:val="single" w:sz="4" w:color="DDE5EF"/>
              <w:left w:val="single" w:sz="4" w:color="DDE5EF"/>
              <w:bottom w:val="single" w:sz="4" w:color="DDE5EF"/>
              <w:right w:val="single" w:sz="4" w:color="DDE5EF"/>
            </w:tcBorders>
          </w:tcPr>
          <w:p>
            <w:pPr>
              <w:spacing w:after="0"/>
            </w:pPr>
            <w:r>
              <w:rPr>
                <w:sz w:val="22"/>
              </w:rPr>
              <w:t>Sales and recurring-services billing — transactional capability for subscription revenue</w:t>
            </w:r>
          </w:p>
        </w:tc>
        <w:tc>
          <w:tcPr>
            <w:tcW w:type="dxa" w:w="2493"/>
            <w:tcBorders>
              <w:top w:val="single" w:sz="4" w:color="DDE5EF"/>
              <w:left w:val="single" w:sz="4" w:color="DDE5EF"/>
              <w:bottom w:val="single" w:sz="4" w:color="DDE5EF"/>
              <w:right w:val="single" w:sz="4" w:color="DDE5EF"/>
            </w:tcBorders>
          </w:tcPr>
          <w:p>
            <w:pPr>
              <w:spacing w:after="0"/>
            </w:pPr>
            <w:r>
              <w:rPr>
                <w:sz w:val="22"/>
              </w:rPr>
              <w:t>Gap — Airbus DS revenue recognition is programme-milestone-oriented; subscription billing capability is limited</w:t>
            </w:r>
          </w:p>
        </w:tc>
        <w:tc>
          <w:tcPr>
            <w:tcW w:type="dxa" w:w="2493"/>
            <w:tcBorders>
              <w:top w:val="single" w:sz="4" w:color="DDE5EF"/>
              <w:left w:val="single" w:sz="4" w:color="DDE5EF"/>
              <w:bottom w:val="single" w:sz="4" w:color="DDE5EF"/>
              <w:right w:val="single" w:sz="4" w:color="DDE5EF"/>
            </w:tcBorders>
          </w:tcPr>
          <w:p>
            <w:pPr>
              <w:spacing w:after="0"/>
            </w:pPr>
            <w:r>
              <w:rPr>
                <w:sz w:val="22"/>
              </w:rPr>
              <w:t>Partial — first signed-content subscription customer (P4) onboarded with bespoke billing</w:t>
            </w:r>
          </w:p>
        </w:tc>
        <w:tc>
          <w:tcPr>
            <w:tcW w:type="dxa" w:w="2493"/>
            <w:tcBorders>
              <w:top w:val="single" w:sz="4" w:color="DDE5EF"/>
              <w:left w:val="single" w:sz="4" w:color="DDE5EF"/>
              <w:bottom w:val="single" w:sz="4" w:color="DDE5EF"/>
              <w:right w:val="single" w:sz="4" w:color="DDE5EF"/>
            </w:tcBorders>
          </w:tcPr>
          <w:p>
            <w:pPr>
              <w:spacing w:after="0"/>
            </w:pPr>
            <w:r>
              <w:rPr>
                <w:sz w:val="22"/>
              </w:rPr>
              <w:t>Have — discrete services billing function; ARR reportable</w:t>
            </w:r>
          </w:p>
        </w:tc>
      </w:tr>
      <w:tr>
        <w:tc>
          <w:tcPr>
            <w:tcW w:type="dxa" w:w="2493"/>
            <w:tcBorders>
              <w:top w:val="single" w:sz="4" w:color="DDE5EF"/>
              <w:left w:val="single" w:sz="4" w:color="DDE5EF"/>
              <w:bottom w:val="single" w:sz="4" w:color="DDE5EF"/>
              <w:right w:val="single" w:sz="4" w:color="DDE5EF"/>
            </w:tcBorders>
          </w:tcPr>
          <w:p>
            <w:pPr>
              <w:spacing w:after="0"/>
            </w:pPr>
            <w:r>
              <w:rPr>
                <w:b/>
                <w:sz w:val="22"/>
              </w:rPr>
              <w:t>Cleared-talent supply — pool of staff with active national-Secret-level clearance and SPARTA-relevant skills</w:t>
            </w:r>
          </w:p>
        </w:tc>
        <w:tc>
          <w:tcPr>
            <w:tcW w:type="dxa" w:w="2493"/>
            <w:tcBorders>
              <w:top w:val="single" w:sz="4" w:color="DDE5EF"/>
              <w:left w:val="single" w:sz="4" w:color="DDE5EF"/>
              <w:bottom w:val="single" w:sz="4" w:color="DDE5EF"/>
              <w:right w:val="single" w:sz="4" w:color="DDE5EF"/>
            </w:tcBorders>
          </w:tcPr>
          <w:p>
            <w:pPr>
              <w:spacing w:after="0"/>
            </w:pPr>
            <w:r>
              <w:rPr>
                <w:sz w:val="22"/>
              </w:rPr>
              <w:t>Partial — Airbus DS / Airbus Protect already hold a sizeable pool of cleared engineers and content analysts from A400M, MRTT, Eurofighter and Eurodrone work; the SPARTA-specific allocation is not yet formalised</w:t>
            </w:r>
          </w:p>
        </w:tc>
        <w:tc>
          <w:tcPr>
            <w:tcW w:type="dxa" w:w="2493"/>
            <w:tcBorders>
              <w:top w:val="single" w:sz="4" w:color="DDE5EF"/>
              <w:left w:val="single" w:sz="4" w:color="DDE5EF"/>
              <w:bottom w:val="single" w:sz="4" w:color="DDE5EF"/>
              <w:right w:val="single" w:sz="4" w:color="DDE5EF"/>
            </w:tcBorders>
          </w:tcPr>
          <w:p>
            <w:pPr>
              <w:spacing w:after="0"/>
            </w:pPr>
            <w:r>
              <w:rPr>
                <w:sz w:val="22"/>
              </w:rPr>
              <w:t>Have — dedicated SPARTA team of ~18 cleared FTE in place, sourced almost entirely from internal transfers</w:t>
            </w:r>
          </w:p>
        </w:tc>
        <w:tc>
          <w:tcPr>
            <w:tcW w:type="dxa" w:w="2493"/>
            <w:tcBorders>
              <w:top w:val="single" w:sz="4" w:color="DDE5EF"/>
              <w:left w:val="single" w:sz="4" w:color="DDE5EF"/>
              <w:bottom w:val="single" w:sz="4" w:color="DDE5EF"/>
              <w:right w:val="single" w:sz="4" w:color="DDE5EF"/>
            </w:tcBorders>
          </w:tcPr>
          <w:p>
            <w:pPr>
              <w:spacing w:after="0"/>
            </w:pPr>
            <w:r>
              <w:rPr>
                <w:sz w:val="22"/>
              </w:rPr>
              <w:t>Have — sustainable staffing pipeline including formal partnerships with NATO CCD-COE for distributed-systems talent</w:t>
            </w:r>
          </w:p>
        </w:tc>
      </w:tr>
    </w:tbl>
    <w:p>
      <w:pPr>
        <w:spacing w:after="40"/>
      </w:pPr>
    </w:p>
    <w:p>
      <w:pPr>
        <w:spacing w:after="120"/>
      </w:pPr>
      <w:r>
        <w:rPr>
          <w:sz w:val="22"/>
        </w:rPr>
        <w:t xml:space="preserve">Two capability gaps deserve explicit attention: </w:t>
      </w:r>
      <w:r>
        <w:rPr>
          <w:b/>
          <w:sz w:val="22"/>
        </w:rPr>
        <w:t>signed-content production at SPARTA-anchored cadence</w:t>
      </w:r>
      <w:r>
        <w:rPr>
          <w:sz w:val="22"/>
        </w:rPr>
        <w:t xml:space="preserve"> (currently a gap; required by the 2029 gate) and </w:t>
      </w:r>
      <w:r>
        <w:rPr>
          <w:b/>
          <w:sz w:val="22"/>
        </w:rPr>
        <w:t>recurring-services billing and revenue recognition</w:t>
      </w:r>
      <w:r>
        <w:rPr>
          <w:sz w:val="22"/>
        </w:rPr>
        <w:t xml:space="preserve"> (currently a gap; partial by 2029; required by 2036). Both gaps are addressable inside the existing Airbus DS organisation through partnership with Airbus Protect (for content production) and through working with Airbus DS Finance to establish subscription-revenue recognition under the relevant International Financial Reporting Standards (IFRS) — specifically IFRS 15 on revenue from contracts with customers — for billing. Neither gap is structurally novel for the European defence-prime industry — Thales DIS, Indra, and BAE Systems Digital all operate subscription-style cyber-content businesses inside larger programme-driven primes — and the lift required is bounded.</w:t>
      </w:r>
    </w:p>
    <w:p>
      <w:pPr>
        <w:spacing w:after="120"/>
      </w:pPr>
      <w:r>
        <w:rPr>
          <w:sz w:val="22"/>
        </w:rPr>
        <w:t xml:space="preserve">A third dimension — </w:t>
      </w:r>
      <w:r>
        <w:rPr>
          <w:b/>
          <w:sz w:val="22"/>
        </w:rPr>
        <w:t>cleared-talent supply</w:t>
      </w:r>
      <w:r>
        <w:rPr>
          <w:sz w:val="22"/>
        </w:rPr>
        <w:t xml:space="preserve"> — is treated as partial rather than as a gap. Airbus DS and Airbus Protect already hold a sizeable pool of staff cleared at national Secret level or above, accumulated through A400M, MRTT, Eurofighter and Eurodrone work. The SPARTA-specific staffing plan in §4.1.3 is structured to draw from this pool rather than to hire net-new staff from outside Airbus DS, because the 6–12-month national-clearance lead times would otherwise be incompatible with the Q3 2026 acceptance window. Formalising the SPARTA allocation against this pool is a low-effort, high-leverage action — it converts a hidden assumption into a stated capability that is independently auditable.</w:t>
      </w:r>
    </w:p>
    <w:p>
      <w:pPr>
        <w:pStyle w:val="Heading2"/>
      </w:pPr>
      <w:r>
        <w:t>7.2 Business Constraints</w:t>
      </w:r>
    </w:p>
    <w:p>
      <w:pPr>
        <w:spacing w:after="120"/>
      </w:pPr>
      <w:r>
        <w:rPr>
          <w:sz w:val="22"/>
        </w:rPr>
        <w:t>Business constraints are conditions outside SPARTA management control that shape what is and is not achievable. They are categorised below by source.</w:t>
      </w:r>
    </w:p>
    <w:p>
      <w:pPr>
        <w:pStyle w:val="Heading3"/>
      </w:pPr>
      <w:r>
        <w:t>7.2.1 Programmatic constraints</w:t>
      </w:r>
    </w:p>
    <w:p>
      <w:pPr>
        <w:spacing w:after="40"/>
        <w:ind w:left="454"/>
      </w:pPr>
      <w:r>
        <w:rPr>
          <w:color w:val="101A2D"/>
          <w:sz w:val="22"/>
        </w:rPr>
        <w:t xml:space="preserve">- </w:t>
      </w:r>
      <w:r>
        <w:rPr>
          <w:b/>
          <w:sz w:val="22"/>
        </w:rPr>
        <w:t>Pillar 4 workshare envelope</w:t>
      </w:r>
      <w:r>
        <w:rPr>
          <w:sz w:val="22"/>
        </w:rPr>
        <w:t xml:space="preserve"> — SPARTA must operate within the existing Airbus DS Pillar 4 contracted workshare. Any framing of SPARTA as a new pillar would re-open the workshare negotiation that ran 18+ months in 2021–2022 [R-1] and is therefore strictly forbidden.</w:t>
      </w:r>
    </w:p>
    <w:p>
      <w:pPr>
        <w:spacing w:after="40"/>
        <w:ind w:left="454"/>
      </w:pPr>
      <w:r>
        <w:rPr>
          <w:color w:val="101A2D"/>
          <w:sz w:val="22"/>
        </w:rPr>
        <w:t xml:space="preserve">- </w:t>
      </w:r>
      <w:r>
        <w:rPr>
          <w:b/>
          <w:sz w:val="22"/>
        </w:rPr>
        <w:t>FCAS Industrial Steering rhythm</w:t>
      </w:r>
      <w:r>
        <w:rPr>
          <w:sz w:val="22"/>
        </w:rPr>
        <w:t xml:space="preserve"> — SPARTA workshare statements, schema decisions and demonstrator gates must align to the FCAS Industrial Steering Committee meeting cadence, which runs on a multi-month rhythm and is structurally not flexible to SPARTA-internal scheduling needs.</w:t>
      </w:r>
    </w:p>
    <w:p>
      <w:pPr>
        <w:spacing w:after="40"/>
        <w:ind w:left="454"/>
      </w:pPr>
      <w:r>
        <w:rPr>
          <w:color w:val="101A2D"/>
          <w:sz w:val="22"/>
        </w:rPr>
        <w:t xml:space="preserve">- </w:t>
      </w:r>
      <w:r>
        <w:rPr>
          <w:b/>
          <w:sz w:val="22"/>
        </w:rPr>
        <w:t>National budget cycles</w:t>
      </w:r>
      <w:r>
        <w:rPr>
          <w:sz w:val="22"/>
        </w:rPr>
        <w:t xml:space="preserve"> — FCAS Phase 1B and successor phase funding is voted annually through the French Projet de Loi de Finances (PLF), the German Bundeshaushalt, and the Spanish Presupuestos Generales del Estado (PGE) [R-7]. SPARTA milestone planning must absorb the schedule risk of any single national budget being delayed or reduced.</w:t>
      </w:r>
    </w:p>
    <w:p>
      <w:pPr>
        <w:spacing w:after="40"/>
        <w:ind w:left="454"/>
      </w:pPr>
      <w:r>
        <w:rPr>
          <w:color w:val="101A2D"/>
          <w:sz w:val="22"/>
        </w:rPr>
        <w:t xml:space="preserve">- </w:t>
      </w:r>
      <w:r>
        <w:rPr>
          <w:b/>
          <w:sz w:val="22"/>
        </w:rPr>
        <w:t>OCCAR contracting model</w:t>
      </w:r>
      <w:r>
        <w:rPr>
          <w:sz w:val="22"/>
        </w:rPr>
        <w:t xml:space="preserve"> — for Eurodrone-anchored derisking activity, SPARTA must operate within the OCCAR multi-national contracting model rather than bilateral contracting [R-2].</w:t>
      </w:r>
    </w:p>
    <w:p>
      <w:pPr>
        <w:spacing w:after="40"/>
        <w:ind w:left="454"/>
      </w:pPr>
      <w:r>
        <w:rPr>
          <w:color w:val="101A2D"/>
          <w:sz w:val="22"/>
        </w:rPr>
        <w:t xml:space="preserve">- </w:t>
      </w:r>
      <w:r>
        <w:rPr>
          <w:b/>
          <w:sz w:val="22"/>
        </w:rPr>
        <w:t>National-clearance lead times</w:t>
      </w:r>
      <w:r>
        <w:rPr>
          <w:sz w:val="22"/>
        </w:rPr>
        <w:t xml:space="preserve"> — net-new staff hiring is bounded by national security-clearance lead times (6–12 months in France and Germany, 6–9 months in Spain) plus a further 2–3 months for NATO and EU clearance reciprocity. Two-thirds of the dedicated SPARTA team requires national Secret-level clearance or higher. The staffing plan in §4.1.3 therefore relies on transferring already-cleared staff from existing Airbus DS / Airbus Protect programmes; the alternative — hiring outside the existing cleared pool — is not viable within the Q3 2026 acceptance window.</w:t>
      </w:r>
    </w:p>
    <w:p>
      <w:pPr>
        <w:pStyle w:val="Heading3"/>
      </w:pPr>
      <w:r>
        <w:t>7.2.2 Regulatory constraints</w:t>
      </w:r>
    </w:p>
    <w:p>
      <w:pPr>
        <w:spacing w:after="40"/>
        <w:ind w:left="454"/>
      </w:pPr>
      <w:r>
        <w:rPr>
          <w:color w:val="101A2D"/>
          <w:sz w:val="22"/>
        </w:rPr>
        <w:t xml:space="preserve">- </w:t>
      </w:r>
      <w:r>
        <w:rPr>
          <w:b/>
          <w:sz w:val="22"/>
        </w:rPr>
        <w:t>NIS2 Directive</w:t>
      </w:r>
      <w:r>
        <w:rPr>
          <w:sz w:val="22"/>
        </w:rPr>
        <w:t xml:space="preserve"> [R-12] imposes specific auditability, incident-reporting and supply-chain-security requirements that SPARTA must satisfy.</w:t>
      </w:r>
    </w:p>
    <w:p>
      <w:pPr>
        <w:spacing w:after="40"/>
        <w:ind w:left="454"/>
      </w:pPr>
      <w:r>
        <w:rPr>
          <w:color w:val="101A2D"/>
          <w:sz w:val="22"/>
        </w:rPr>
        <w:t xml:space="preserve">- </w:t>
      </w:r>
      <w:r>
        <w:rPr>
          <w:b/>
          <w:sz w:val="22"/>
        </w:rPr>
        <w:t>EU Cyber Resilience Act</w:t>
      </w:r>
      <w:r>
        <w:rPr>
          <w:sz w:val="22"/>
        </w:rPr>
        <w:t xml:space="preserve"> [R-13] imposes horizontal cybersecurity requirements on products with digital elements; SPARTA's P1 / P3 / P5 / P6 packages fall within scope.</w:t>
      </w:r>
    </w:p>
    <w:p>
      <w:pPr>
        <w:spacing w:after="40"/>
        <w:ind w:left="454"/>
      </w:pPr>
      <w:r>
        <w:rPr>
          <w:color w:val="101A2D"/>
          <w:sz w:val="22"/>
        </w:rPr>
        <w:t xml:space="preserve">- </w:t>
      </w:r>
      <w:r>
        <w:rPr>
          <w:b/>
          <w:sz w:val="22"/>
        </w:rPr>
        <w:t>National sovereign-accreditation methodologies</w:t>
      </w:r>
      <w:r>
        <w:rPr>
          <w:sz w:val="22"/>
        </w:rPr>
        <w:t xml:space="preserve"> [R-15][R-16] — DGA-MI, ANSSI, BSI, CCN-CERT, INCIBE methodologies are non-substitutable; each national customer requires alignment to its own framework.</w:t>
      </w:r>
    </w:p>
    <w:p>
      <w:pPr>
        <w:spacing w:after="40"/>
        <w:ind w:left="454"/>
      </w:pPr>
      <w:r>
        <w:rPr>
          <w:color w:val="101A2D"/>
          <w:sz w:val="22"/>
        </w:rPr>
        <w:t xml:space="preserve">- </w:t>
      </w:r>
      <w:r>
        <w:rPr>
          <w:b/>
          <w:sz w:val="22"/>
        </w:rPr>
        <w:t>Classification scope</w:t>
      </w:r>
      <w:r>
        <w:rPr>
          <w:sz w:val="22"/>
        </w:rPr>
        <w:t xml:space="preserve"> — programme classification of the SPARTA datapack is currently tracked as Open Point OP-CLS-01 (Datapack Index §7). The recurring-services content stream (P4) operates under classification-aware release rules that must align to national overlays.</w:t>
      </w:r>
    </w:p>
    <w:p>
      <w:pPr>
        <w:spacing w:after="40"/>
        <w:ind w:left="454"/>
      </w:pPr>
      <w:r>
        <w:rPr>
          <w:color w:val="101A2D"/>
          <w:sz w:val="22"/>
        </w:rPr>
        <w:t xml:space="preserve">- </w:t>
      </w:r>
      <w:r>
        <w:rPr>
          <w:b/>
          <w:sz w:val="22"/>
        </w:rPr>
        <w:t>Export-control compliance</w:t>
      </w:r>
      <w:r>
        <w:rPr>
          <w:sz w:val="22"/>
        </w:rPr>
        <w:t xml:space="preserve"> — any extension of SPARTA into the export envelope must satisfy the relevant national export-control regimes (French Direction générale de l'armement (DGA) dual-use controls, German export-licence regime, Spanish Junta Interministerial control). For US technology elements, International Traffic in Arms Regulations (ITAR) or Export Administration Regulations (EAR) compliance may apply if any US-origin components are present in the SPARTA stack.</w:t>
      </w:r>
    </w:p>
    <w:p>
      <w:pPr>
        <w:pStyle w:val="Heading3"/>
      </w:pPr>
      <w:r>
        <w:t>7.2.3 Financial constraints</w:t>
      </w:r>
    </w:p>
    <w:p>
      <w:pPr>
        <w:spacing w:after="40"/>
        <w:ind w:left="454"/>
      </w:pPr>
      <w:r>
        <w:rPr>
          <w:color w:val="101A2D"/>
          <w:sz w:val="22"/>
        </w:rPr>
        <w:t xml:space="preserve">- </w:t>
      </w:r>
      <w:r>
        <w:rPr>
          <w:b/>
          <w:sz w:val="22"/>
        </w:rPr>
        <w:t>NRE envelope</w:t>
      </w:r>
      <w:r>
        <w:rPr>
          <w:sz w:val="22"/>
        </w:rPr>
        <w:t xml:space="preserve"> — €58–88 M over 2026–2038 is the working envelope. Material upward revision requires re-approval from Airbus DS Strategy and Finance, plus revisitation of the Pillar 4 workshare in extreme cases.</w:t>
      </w:r>
    </w:p>
    <w:p>
      <w:pPr>
        <w:spacing w:after="40"/>
        <w:ind w:left="454"/>
      </w:pPr>
      <w:r>
        <w:rPr>
          <w:color w:val="101A2D"/>
          <w:sz w:val="22"/>
        </w:rPr>
        <w:t xml:space="preserve">- </w:t>
      </w:r>
      <w:r>
        <w:rPr>
          <w:b/>
          <w:sz w:val="22"/>
        </w:rPr>
        <w:t>Recurring operating cost</w:t>
      </w:r>
      <w:r>
        <w:rPr>
          <w:sz w:val="22"/>
        </w:rPr>
        <w:t xml:space="preserve"> — €4–8 M / year run-rate from 2034 onward must be sustained throughout the operational life of FCAS and adjacent fleets, which extends into the 2050s. This is a multi-decade financial commitment.</w:t>
      </w:r>
    </w:p>
    <w:p>
      <w:pPr>
        <w:spacing w:after="40"/>
        <w:ind w:left="454"/>
      </w:pPr>
      <w:r>
        <w:rPr>
          <w:color w:val="101A2D"/>
          <w:sz w:val="22"/>
        </w:rPr>
        <w:t xml:space="preserve">- </w:t>
      </w:r>
      <w:r>
        <w:rPr>
          <w:b/>
          <w:sz w:val="22"/>
        </w:rPr>
        <w:t>WACC discipline</w:t>
      </w:r>
      <w:r>
        <w:rPr>
          <w:sz w:val="22"/>
        </w:rPr>
        <w:t xml:space="preserve"> — model assumes 8.0% nominal WACC per Airbus SE blended average [R-2]. WACC sensitivity is documented in §5.3.3.</w:t>
      </w:r>
    </w:p>
    <w:p>
      <w:pPr>
        <w:spacing w:after="40"/>
        <w:ind w:left="454"/>
      </w:pPr>
      <w:r>
        <w:rPr>
          <w:color w:val="101A2D"/>
          <w:sz w:val="22"/>
        </w:rPr>
        <w:t xml:space="preserve">- </w:t>
      </w:r>
      <w:r>
        <w:rPr>
          <w:b/>
          <w:sz w:val="22"/>
        </w:rPr>
        <w:t>Foreign exchange exposure</w:t>
      </w:r>
      <w:r>
        <w:rPr>
          <w:sz w:val="22"/>
        </w:rPr>
        <w:t xml:space="preserve"> — modest, principally EUR/USD on potential US-originated component supply and any NATO FMN export pricing. Sensitivity is +€5% EUR strength → −€11 M NPV (§5.3.3).</w:t>
      </w:r>
    </w:p>
    <w:p>
      <w:pPr>
        <w:pStyle w:val="Heading3"/>
      </w:pPr>
      <w:r>
        <w:t>7.2.4 Technical constraints (from datapack baseline)</w:t>
      </w:r>
    </w:p>
    <w:p>
      <w:pPr>
        <w:spacing w:after="40"/>
        <w:ind w:left="454"/>
      </w:pPr>
      <w:r>
        <w:rPr>
          <w:color w:val="101A2D"/>
          <w:sz w:val="22"/>
        </w:rPr>
        <w:t xml:space="preserve">- </w:t>
      </w:r>
      <w:r>
        <w:rPr>
          <w:b/>
          <w:sz w:val="22"/>
        </w:rPr>
        <w:t>CDR-ready Draft C.4 baseline is frozen for the purpose of this plan.</w:t>
      </w:r>
      <w:r>
        <w:rPr>
          <w:sz w:val="22"/>
        </w:rPr>
        <w:t xml:space="preserve"> Any business decision in this plan must operate within the technical commitments of the SPARTA Datapack Deliverables 01–06 (56 SYS-* requirements, 7 IF-EXT, 7 IF-INT, 7 PBS components, 10-function FBS, NT-01..NT-22 negative tests, C-01..C-15 CDR closure criteria).</w:t>
      </w:r>
    </w:p>
    <w:p>
      <w:pPr>
        <w:spacing w:after="40"/>
        <w:ind w:left="454"/>
      </w:pPr>
      <w:r>
        <w:rPr>
          <w:color w:val="101A2D"/>
          <w:sz w:val="22"/>
        </w:rPr>
        <w:t xml:space="preserve">- </w:t>
      </w:r>
      <w:r>
        <w:rPr>
          <w:b/>
          <w:sz w:val="22"/>
        </w:rPr>
        <w:t>SYS-DC-001 advisory-only design constraint.</w:t>
      </w:r>
      <w:r>
        <w:rPr>
          <w:sz w:val="22"/>
        </w:rPr>
        <w:t xml:space="preserve"> Any business proposal that would require SPARTA to assume mission command authority is rejected by the technical constraint and the political mitigation strategy alike.</w:t>
      </w:r>
    </w:p>
    <w:p>
      <w:pPr>
        <w:spacing w:after="40"/>
        <w:ind w:left="454"/>
      </w:pPr>
      <w:r>
        <w:rPr>
          <w:color w:val="101A2D"/>
          <w:sz w:val="22"/>
        </w:rPr>
        <w:t xml:space="preserve">- </w:t>
      </w:r>
      <w:r>
        <w:rPr>
          <w:b/>
          <w:sz w:val="22"/>
        </w:rPr>
        <w:t>Authority Matrix (Deliv. 06 §7) is normative.</w:t>
      </w:r>
      <w:r>
        <w:rPr>
          <w:sz w:val="22"/>
        </w:rPr>
        <w:t xml:space="preserve"> Business commitments to customers must be consistent with the Authority Matrix; promises of unbounded autonomous protective action are out of scope.</w:t>
      </w:r>
    </w:p>
    <w:p>
      <w:pPr>
        <w:pStyle w:val="Heading3"/>
      </w:pPr>
      <w:r>
        <w:t>7.2.5 Political constraints</w:t>
      </w:r>
    </w:p>
    <w:p>
      <w:pPr>
        <w:spacing w:after="40"/>
        <w:ind w:left="454"/>
      </w:pPr>
      <w:r>
        <w:rPr>
          <w:color w:val="101A2D"/>
          <w:sz w:val="22"/>
        </w:rPr>
        <w:t xml:space="preserve">- </w:t>
      </w:r>
      <w:r>
        <w:rPr>
          <w:b/>
          <w:sz w:val="22"/>
        </w:rPr>
        <w:t>FR / DE / ES political balance</w:t>
      </w:r>
      <w:r>
        <w:rPr>
          <w:sz w:val="22"/>
        </w:rPr>
        <w:t xml:space="preserve"> — the SPARTA narrative cannot frame Airbus DS as advantaged at the expense of Dassault, Indra or sovereign national interests; framing must be programmatic-cooperative rather than competitive-Airbus-prime.</w:t>
      </w:r>
    </w:p>
    <w:p>
      <w:pPr>
        <w:spacing w:after="40"/>
        <w:ind w:left="454"/>
      </w:pPr>
      <w:r>
        <w:rPr>
          <w:color w:val="101A2D"/>
          <w:sz w:val="22"/>
        </w:rPr>
        <w:t xml:space="preserve">- </w:t>
      </w:r>
      <w:r>
        <w:rPr>
          <w:b/>
          <w:sz w:val="22"/>
        </w:rPr>
        <w:t>Sovereignty preservation</w:t>
      </w:r>
      <w:r>
        <w:rPr>
          <w:sz w:val="22"/>
        </w:rPr>
        <w:t xml:space="preserve"> — the per-nation policy-bundle architecture (a single shared data contract supporting multiple per-nation policy bundles) is the technical articulation of the sovereignty constraint. Any business model that requires identical national configurations is non-viable.</w:t>
      </w:r>
    </w:p>
    <w:p>
      <w:pPr>
        <w:spacing w:after="40"/>
        <w:ind w:left="454"/>
      </w:pPr>
      <w:r>
        <w:rPr>
          <w:color w:val="101A2D"/>
          <w:sz w:val="22"/>
        </w:rPr>
        <w:t xml:space="preserve">- </w:t>
      </w:r>
      <w:r>
        <w:rPr>
          <w:b/>
          <w:sz w:val="22"/>
        </w:rPr>
        <w:t>Dual-use ethics</w:t>
      </w:r>
      <w:r>
        <w:rPr>
          <w:sz w:val="22"/>
        </w:rPr>
        <w:t xml:space="preserve"> — particularly in Germany, parliamentary scrutiny of dual-use cyber capability under the Bundestag is structurally present. SPARTA's advisory-only design constraint (SYS-DC-001) is the substantive answer to this scrutiny; the explainability commitment (SYS-DATA-003) is the procedural answer [R-15].</w:t>
      </w:r>
    </w:p>
    <w:p>
      <w:r>
        <w:br/>
      </w:r>
    </w:p>
    <w:p>
      <w:pPr>
        <w:pStyle w:val="Heading1"/>
      </w:pPr>
      <w:r>
        <w:t>8. Conclusions</w:t>
      </w:r>
    </w:p>
    <w:p>
      <w:pPr>
        <w:pStyle w:val="Heading2"/>
      </w:pPr>
      <w:r>
        <w:t>8.1 Recommendation</w:t>
      </w:r>
    </w:p>
    <w:tbl>
      <w:tblPr>
        <w:tblW w:type="auto" w:w="0"/>
        <w:jc w:val="center"/>
        <w:tblLook w:firstColumn="1" w:firstRow="1" w:lastColumn="0" w:lastRow="0" w:noHBand="0" w:noVBand="1" w:val="04A0"/>
      </w:tblPr>
      <w:tblGrid>
        <w:gridCol w:w="9972"/>
      </w:tblGrid>
      <w:tr>
        <w:tc>
          <w:tcPr>
            <w:tcW w:type="dxa" w:w="9972"/>
            <w:tcBorders>
              <w:top w:val="single" w:sz="4" w:color="0A5B47"/>
              <w:left w:val="single" w:sz="32" w:color="0A5B47"/>
              <w:bottom w:val="single" w:sz="4" w:color="0A5B47"/>
              <w:right w:val="single" w:sz="4" w:color="0A5B47"/>
            </w:tcBorders>
            <w:shd w:val="clear" w:color="auto" w:fill="ECFDF5"/>
          </w:tcPr>
          <w:p>
            <w:pPr>
              <w:spacing w:after="40"/>
            </w:pPr>
            <w:r>
              <w:rPr>
                <w:b/>
                <w:color w:val="101A2D"/>
                <w:sz w:val="22"/>
              </w:rPr>
              <w:t>Recommendation — GO, conditional</w:t>
            </w:r>
          </w:p>
          <w:p>
            <w:pPr>
              <w:spacing w:after="80"/>
            </w:pPr>
            <w:r>
              <w:rPr>
                <w:sz w:val="22"/>
              </w:rPr>
              <w:t>The SPARTA Strategy Cell recommends that the Airbus DS executive board and the FCAS Programme Steering Committee authorise SPARTA investment under the conditions listed below. The recommendation is based on five concurring lines of evidence: a clear and growing structural capability gap in European mission-edge cyber (§2.2, §3.2); a defensible value proposition resting on the four properties that no European or US competitor simultaneously holds (§2.3, §3.1); a market of attractive size, growth, and switching-cost characteristics (§3.2, §3.3); a probability-weighted expected NPV of €233 M against a non-recurring envelope of €58–88 M (§5.3); and a risk profile in which even the downside scenario is value-accretive (§5.3.2, §6.3). The structural asymmetry of outcomes favours GO. The conditional caveat reflects that the financial figures are analyst-modelled and require P&amp;L-grade Finance re-run, and that the strategic anchors in §1–§3 require 2026 source revalidation (OP-STRAT-01).</w:t>
            </w:r>
          </w:p>
          <w:p>
            <w:pPr>
              <w:spacing w:after="80"/>
            </w:pPr>
            <w:r>
              <w:rPr>
                <w:sz w:val="22"/>
              </w:rPr>
              <w:t xml:space="preserve">Underlying the GO recommendation is the </w:t>
            </w:r>
            <w:r>
              <w:rPr>
                <w:b/>
                <w:sz w:val="22"/>
              </w:rPr>
              <w:t>foot-in-the-door doctrine</w:t>
            </w:r>
            <w:r>
              <w:rPr>
                <w:sz w:val="22"/>
              </w:rPr>
              <w:t xml:space="preserve"> articulated in §6.4.2: Airbus DS must establish a foothold early and expand from it. Operationally this means two non-negotiable pushes — (i) </w:t>
            </w:r>
            <w:r>
              <w:rPr>
                <w:i/>
                <w:sz w:val="22"/>
              </w:rPr>
              <w:t>push for early definition of the standards and interfaces</w:t>
            </w:r>
            <w:r>
              <w:rPr>
                <w:sz w:val="22"/>
              </w:rPr>
              <w:t xml:space="preserve"> (MARS schema, IF-EXT-01..07, trust-object data contract, signed-content release chain), so that SPARTA becomes the integration substrate for every higher-level system that follows rather than retrofitting to formats others define; and (ii) </w:t>
            </w:r>
            <w:r>
              <w:rPr>
                <w:i/>
                <w:sz w:val="22"/>
              </w:rPr>
              <w:t>push for entrance into service by 2029</w:t>
            </w:r>
            <w:r>
              <w:rPr>
                <w:sz w:val="22"/>
              </w:rPr>
              <w:t xml:space="preserve"> — ideally on the German Bundeswehr platform via the co-engineering route — so that SPARTA reaches standard-setting forums, accreditation authorities and prospective adjacent customers as a fielded operational reference rather than as a paper proposition. The conditional GO is the authorisation to act on both pushes simultaneously.</w:t>
            </w:r>
          </w:p>
        </w:tc>
      </w:tr>
    </w:tbl>
    <w:p>
      <w:pPr>
        <w:spacing w:after="40"/>
      </w:pPr>
    </w:p>
    <w:p>
      <w:pPr>
        <w:pStyle w:val="Heading2"/>
      </w:pPr>
      <w:r>
        <w:t>8.2 Conditions for approval</w:t>
      </w:r>
    </w:p>
    <w:p>
      <w:pPr>
        <w:spacing w:after="120"/>
      </w:pPr>
      <w:r>
        <w:rPr>
          <w:sz w:val="22"/>
        </w:rPr>
        <w:t>The five conditions on which the GO recommendation depends are reproduced here in their decision-ready form, each with the named decision authority and the closure deadline.</w:t>
      </w:r>
    </w:p>
    <w:p>
      <w:pPr>
        <w:spacing w:after="40"/>
        <w:ind w:left="454"/>
      </w:pPr>
      <w:r>
        <w:rPr>
          <w:color w:val="101A2D"/>
          <w:sz w:val="22"/>
        </w:rPr>
        <w:t xml:space="preserve">1. </w:t>
      </w:r>
      <w:r>
        <w:rPr>
          <w:b/>
          <w:sz w:val="22"/>
        </w:rPr>
        <w:t>Workshare statement.</w:t>
      </w:r>
      <w:r>
        <w:rPr>
          <w:sz w:val="22"/>
        </w:rPr>
        <w:t xml:space="preserve"> A written workshare statement positioning SPARTA inside Combat Cloud (Pillar 4), co-signed at Airbus DS / FCAS Programme level before the next FCAS Industrial Steering Committee. Owner: Programme Sponsor. Deadline: Q2 2026.</w:t>
      </w:r>
    </w:p>
    <w:p>
      <w:pPr>
        <w:spacing w:after="40"/>
        <w:ind w:left="454"/>
      </w:pPr>
      <w:r>
        <w:rPr>
          <w:color w:val="101A2D"/>
          <w:sz w:val="22"/>
        </w:rPr>
        <w:t xml:space="preserve">2. </w:t>
      </w:r>
      <w:r>
        <w:rPr>
          <w:b/>
          <w:sz w:val="22"/>
        </w:rPr>
        <w:t>Letter of intent on schema inclusion.</w:t>
      </w:r>
      <w:r>
        <w:rPr>
          <w:sz w:val="22"/>
        </w:rPr>
        <w:t xml:space="preserve"> A letter of intent from the FCAS Combat Cloud architecture board to fold SPARTA trust objects (NodeStatus, AnomalyEvent, TrustAssessment, ResponseRecommendation, PolicyBundle, EvidencePackage, HealthReport, PeerSummary) into the MARS canonical schema before schema freeze. Owner: FCAS Combat Cloud Architecture Board. Deadline: Q3 2026.</w:t>
      </w:r>
    </w:p>
    <w:p>
      <w:pPr>
        <w:spacing w:after="40"/>
        <w:ind w:left="454"/>
      </w:pPr>
      <w:r>
        <w:rPr>
          <w:color w:val="101A2D"/>
          <w:sz w:val="22"/>
        </w:rPr>
        <w:t xml:space="preserve">3. </w:t>
      </w:r>
      <w:r>
        <w:rPr>
          <w:b/>
          <w:sz w:val="22"/>
        </w:rPr>
        <w:t>Joint demonstration plan with Indra.</w:t>
      </w:r>
      <w:r>
        <w:rPr>
          <w:sz w:val="22"/>
        </w:rPr>
        <w:t xml:space="preserve"> A signed joint demonstration plan with Indra Sistemas on the TSOC adjudication interface, to neutralise Spanish sovereign-cyber pushback and convert Indra from a potential rival into a downstream complement. Owner: SPARTA Strategy Cell. Deadline: Q3 2026.</w:t>
      </w:r>
    </w:p>
    <w:p>
      <w:pPr>
        <w:spacing w:after="40"/>
        <w:ind w:left="454"/>
      </w:pPr>
      <w:r>
        <w:rPr>
          <w:color w:val="101A2D"/>
          <w:sz w:val="22"/>
        </w:rPr>
        <w:t xml:space="preserve">4. </w:t>
      </w:r>
      <w:r>
        <w:rPr>
          <w:b/>
          <w:sz w:val="22"/>
        </w:rPr>
        <w:t>Finance re-run.</w:t>
      </w:r>
      <w:r>
        <w:rPr>
          <w:sz w:val="22"/>
        </w:rPr>
        <w:t xml:space="preserve"> Airbus DS Strategy &amp; Finance to re-run §5 of this plan against P&amp;L-grade inputs and to confirm the recurring-services pricing model. Owner: Airbus DS Strategy &amp; Finance. Deadline: Q4 2026 (concurrent with OP-STRAT-01 closure).</w:t>
      </w:r>
    </w:p>
    <w:p>
      <w:pPr>
        <w:spacing w:after="40"/>
        <w:ind w:left="454"/>
      </w:pPr>
      <w:r>
        <w:rPr>
          <w:color w:val="101A2D"/>
          <w:sz w:val="22"/>
        </w:rPr>
        <w:t xml:space="preserve">5. </w:t>
      </w:r>
      <w:r>
        <w:rPr>
          <w:b/>
          <w:sz w:val="22"/>
        </w:rPr>
        <w:t>HIL closure of provisional performance values.</w:t>
      </w:r>
      <w:r>
        <w:rPr>
          <w:sz w:val="22"/>
        </w:rPr>
        <w:t xml:space="preserve"> Closure of provisional SYS-PERF-001..007 and SYS-RAM-004 values on at least one representative node-class HIL (OP-PERF-01). Owner: Chief Systems Engineer. Deadline: T0+5 months (concurrent with CDR window).</w:t>
      </w:r>
    </w:p>
    <w:p>
      <w:pPr>
        <w:pStyle w:val="Heading2"/>
      </w:pPr>
      <w:r>
        <w:t>8.3 Decision request to the board</w:t>
      </w:r>
    </w:p>
    <w:p>
      <w:pPr>
        <w:spacing w:after="120"/>
      </w:pPr>
      <w:r>
        <w:rPr>
          <w:sz w:val="22"/>
        </w:rPr>
        <w:t xml:space="preserve">The decision request to the Airbus DS executive board is a single binary verdict: </w:t>
      </w:r>
      <w:r>
        <w:rPr>
          <w:b/>
          <w:sz w:val="22"/>
        </w:rPr>
        <w:t>GO conditional</w:t>
      </w:r>
      <w:r>
        <w:rPr>
          <w:sz w:val="22"/>
        </w:rPr>
        <w:t xml:space="preserve"> on the five conditions above, or </w:t>
      </w:r>
      <w:r>
        <w:rPr>
          <w:b/>
          <w:sz w:val="22"/>
        </w:rPr>
        <w:t>NO-GO</w:t>
      </w:r>
      <w:r>
        <w:rPr>
          <w:sz w:val="22"/>
        </w:rPr>
        <w:t>. A third option — PIVOT — would be triggered only if conditions (1) or (2) cannot be met by Q3 2026, in which case the pivot would be to anchor SPARTA on Eurodrone and Eurofighter LTE in parallel and defer the FCAS Combat Cloud anchoring to a later schema-revision cycle. The PIVOT case retains a positive NPV (close to the downside scenario of §5.3.2, approximately €54 M) but loses most of the strategic moat. The recommendation is strongly that the board choose GO conditional.</w:t>
      </w:r>
    </w:p>
    <w:p>
      <w:pPr>
        <w:pStyle w:val="Heading2"/>
      </w:pPr>
      <w:r>
        <w:t>8.4 Closing observation</w:t>
      </w:r>
    </w:p>
    <w:p>
      <w:pPr>
        <w:spacing w:after="120"/>
      </w:pPr>
      <w:r>
        <w:rPr>
          <w:sz w:val="22"/>
        </w:rPr>
        <w:t>The pragmatic case for SPARTA is not that it is a guaranteed revenue stream — defence-cyber programmes never are. The pragmatic case is that it is the cheapest available insurance policy against a worse outcome: a future in which Airbus DS is the integrator to a cyber-trust data contract that a third-party vendor defined, in a Combat Cloud whose value depends on that contract, on platforms that Airbus DS otherwise leads. The strategic asymmetry of acting now versus deferring is large and one-directional. The board should authorise GO conditional, on the five conditions stated, and direct the SPARTA Strategy Cell to deliver the conditions by the Q3 2026 inflexion point.</w:t>
      </w:r>
    </w:p>
    <w:p>
      <w:r>
        <w:br/>
      </w:r>
    </w:p>
    <w:p>
      <w:pPr>
        <w:pStyle w:val="Heading1"/>
      </w:pPr>
      <w:r>
        <w:t>9. Glossary &amp; Identifier Conventions</w:t>
      </w:r>
    </w:p>
    <w:p>
      <w:pPr>
        <w:spacing w:after="120"/>
      </w:pPr>
      <w:r>
        <w:rPr>
          <w:sz w:val="22"/>
        </w:rPr>
        <w:t>This section is the single authoritative source for the acronyms, defined terms and identifier conventions used in the body of this business plan. Where a term is also used in the SPARTA System Definition Datapack, the datapack reference is given so the reader can audit the technical definition. The glossary is grouped by category for review-board legibility.</w:t>
      </w:r>
    </w:p>
    <w:p>
      <w:pPr>
        <w:pStyle w:val="Heading2"/>
      </w:pPr>
      <w:r>
        <w:t>9.1 SPARTA-specific acronyms and product terms</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Term</w:t>
            </w:r>
          </w:p>
        </w:tc>
        <w:tc>
          <w:tcPr>
            <w:tcW w:type="dxa" w:w="4986"/>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Definition</w:t>
            </w:r>
          </w:p>
        </w:tc>
      </w:tr>
      <w:tr>
        <w:tc>
          <w:tcPr>
            <w:tcW w:type="dxa" w:w="4986"/>
            <w:tcBorders>
              <w:top w:val="single" w:sz="4" w:color="DDE5EF"/>
              <w:left w:val="single" w:sz="4" w:color="DDE5EF"/>
              <w:bottom w:val="single" w:sz="4" w:color="DDE5EF"/>
              <w:right w:val="single" w:sz="4" w:color="DDE5EF"/>
            </w:tcBorders>
          </w:tcPr>
          <w:p>
            <w:pPr>
              <w:spacing w:after="0"/>
            </w:pPr>
            <w:r>
              <w:rPr>
                <w:sz w:val="22"/>
              </w:rPr>
              <w:t>SPARTA</w:t>
            </w:r>
          </w:p>
        </w:tc>
        <w:tc>
          <w:tcPr>
            <w:tcW w:type="dxa" w:w="4986"/>
            <w:tcBorders>
              <w:top w:val="single" w:sz="4" w:color="DDE5EF"/>
              <w:left w:val="single" w:sz="4" w:color="DDE5EF"/>
              <w:bottom w:val="single" w:sz="4" w:color="DDE5EF"/>
              <w:right w:val="single" w:sz="4" w:color="DDE5EF"/>
            </w:tcBorders>
          </w:tcPr>
          <w:p>
            <w:pPr>
              <w:spacing w:after="0"/>
            </w:pPr>
            <w:r>
              <w:rPr>
                <w:sz w:val="22"/>
              </w:rPr>
              <w:t>Secure Platform Awareness, Resilience, Trust &amp; Assessment — the product of interest. A platform-agnostic, mission-aware cyber sensing and trust-fusion software layer hosted on tactical Edge nodes.</w:t>
            </w:r>
          </w:p>
        </w:tc>
      </w:tr>
      <w:tr>
        <w:tc>
          <w:tcPr>
            <w:tcW w:type="dxa" w:w="4986"/>
            <w:tcBorders>
              <w:top w:val="single" w:sz="4" w:color="DDE5EF"/>
              <w:left w:val="single" w:sz="4" w:color="DDE5EF"/>
              <w:bottom w:val="single" w:sz="4" w:color="DDE5EF"/>
              <w:right w:val="single" w:sz="4" w:color="DDE5EF"/>
            </w:tcBorders>
          </w:tcPr>
          <w:p>
            <w:pPr>
              <w:spacing w:after="0"/>
            </w:pPr>
            <w:r>
              <w:rPr>
                <w:sz w:val="22"/>
              </w:rPr>
              <w:t>MARS</w:t>
            </w:r>
          </w:p>
        </w:tc>
        <w:tc>
          <w:tcPr>
            <w:tcW w:type="dxa" w:w="4986"/>
            <w:tcBorders>
              <w:top w:val="single" w:sz="4" w:color="DDE5EF"/>
              <w:left w:val="single" w:sz="4" w:color="DDE5EF"/>
              <w:bottom w:val="single" w:sz="4" w:color="DDE5EF"/>
              <w:right w:val="single" w:sz="4" w:color="DDE5EF"/>
            </w:tcBorders>
          </w:tcPr>
          <w:p>
            <w:pPr>
              <w:spacing w:after="0"/>
            </w:pPr>
            <w:r>
              <w:rPr>
                <w:sz w:val="22"/>
              </w:rPr>
              <w:t xml:space="preserve">The Airbus DS on-platform virtualization layer (hypervisor / container orchestration) on each Edge node. Authoritative definition: Datapack Index §8.1. </w:t>
            </w:r>
            <w:r>
              <w:rPr>
                <w:b/>
                <w:sz w:val="22"/>
              </w:rPr>
              <w:t>Not a mission authority.</w:t>
            </w:r>
          </w:p>
        </w:tc>
      </w:tr>
      <w:tr>
        <w:tc>
          <w:tcPr>
            <w:tcW w:type="dxa" w:w="4986"/>
            <w:tcBorders>
              <w:top w:val="single" w:sz="4" w:color="DDE5EF"/>
              <w:left w:val="single" w:sz="4" w:color="DDE5EF"/>
              <w:bottom w:val="single" w:sz="4" w:color="DDE5EF"/>
              <w:right w:val="single" w:sz="4" w:color="DDE5EF"/>
            </w:tcBorders>
          </w:tcPr>
          <w:p>
            <w:pPr>
              <w:spacing w:after="0"/>
            </w:pPr>
            <w:r>
              <w:rPr>
                <w:sz w:val="22"/>
              </w:rPr>
              <w:t>TSOC</w:t>
            </w:r>
          </w:p>
        </w:tc>
        <w:tc>
          <w:tcPr>
            <w:tcW w:type="dxa" w:w="4986"/>
            <w:tcBorders>
              <w:top w:val="single" w:sz="4" w:color="DDE5EF"/>
              <w:left w:val="single" w:sz="4" w:color="DDE5EF"/>
              <w:bottom w:val="single" w:sz="4" w:color="DDE5EF"/>
              <w:right w:val="single" w:sz="4" w:color="DDE5EF"/>
            </w:tcBorders>
          </w:tcPr>
          <w:p>
            <w:pPr>
              <w:spacing w:after="0"/>
            </w:pPr>
            <w:r>
              <w:rPr>
                <w:sz w:val="22"/>
              </w:rPr>
              <w:t>Tactical Security Operations Centre. Reference instance: Airbus TSOC (operated within Airbus Protect, including Orion Malware® and CymID®-class services).</w:t>
            </w:r>
          </w:p>
        </w:tc>
      </w:tr>
      <w:tr>
        <w:tc>
          <w:tcPr>
            <w:tcW w:type="dxa" w:w="4986"/>
            <w:tcBorders>
              <w:top w:val="single" w:sz="4" w:color="DDE5EF"/>
              <w:left w:val="single" w:sz="4" w:color="DDE5EF"/>
              <w:bottom w:val="single" w:sz="4" w:color="DDE5EF"/>
              <w:right w:val="single" w:sz="4" w:color="DDE5EF"/>
            </w:tcBorders>
          </w:tcPr>
          <w:p>
            <w:pPr>
              <w:spacing w:after="0"/>
            </w:pPr>
            <w:r>
              <w:rPr>
                <w:sz w:val="22"/>
              </w:rPr>
              <w:t>Command C2</w:t>
            </w:r>
          </w:p>
        </w:tc>
        <w:tc>
          <w:tcPr>
            <w:tcW w:type="dxa" w:w="4986"/>
            <w:tcBorders>
              <w:top w:val="single" w:sz="4" w:color="DDE5EF"/>
              <w:left w:val="single" w:sz="4" w:color="DDE5EF"/>
              <w:bottom w:val="single" w:sz="4" w:color="DDE5EF"/>
              <w:right w:val="single" w:sz="4" w:color="DDE5EF"/>
            </w:tcBorders>
          </w:tcPr>
          <w:p>
            <w:pPr>
              <w:spacing w:after="0"/>
            </w:pPr>
            <w:r>
              <w:rPr>
                <w:sz w:val="22"/>
              </w:rPr>
              <w:t>Ground mission command — owns mission authority (tasking, mission-phase change, mission end, mission-scope physical-link disconnect). PBS component #6.</w:t>
            </w:r>
          </w:p>
        </w:tc>
      </w:tr>
      <w:tr>
        <w:tc>
          <w:tcPr>
            <w:tcW w:type="dxa" w:w="4986"/>
            <w:tcBorders>
              <w:top w:val="single" w:sz="4" w:color="DDE5EF"/>
              <w:left w:val="single" w:sz="4" w:color="DDE5EF"/>
              <w:bottom w:val="single" w:sz="4" w:color="DDE5EF"/>
              <w:right w:val="single" w:sz="4" w:color="DDE5EF"/>
            </w:tcBorders>
          </w:tcPr>
          <w:p>
            <w:pPr>
              <w:spacing w:after="0"/>
            </w:pPr>
            <w:r>
              <w:rPr>
                <w:sz w:val="22"/>
              </w:rPr>
              <w:t>Security C2</w:t>
            </w:r>
          </w:p>
        </w:tc>
        <w:tc>
          <w:tcPr>
            <w:tcW w:type="dxa" w:w="4986"/>
            <w:tcBorders>
              <w:top w:val="single" w:sz="4" w:color="DDE5EF"/>
              <w:left w:val="single" w:sz="4" w:color="DDE5EF"/>
              <w:bottom w:val="single" w:sz="4" w:color="DDE5EF"/>
              <w:right w:val="single" w:sz="4" w:color="DDE5EF"/>
            </w:tcBorders>
          </w:tcPr>
          <w:p>
            <w:pPr>
              <w:spacing w:after="0"/>
            </w:pPr>
            <w:r>
              <w:rPr>
                <w:sz w:val="22"/>
              </w:rPr>
              <w:t>Ground defensive-cyber command. Authorises fleet-level cyber response, co-signs fleet-wide PolicyBundle release. PBS component #7. Distinct from Command C2.</w:t>
            </w:r>
          </w:p>
        </w:tc>
      </w:tr>
      <w:tr>
        <w:tc>
          <w:tcPr>
            <w:tcW w:type="dxa" w:w="4986"/>
            <w:tcBorders>
              <w:top w:val="single" w:sz="4" w:color="DDE5EF"/>
              <w:left w:val="single" w:sz="4" w:color="DDE5EF"/>
              <w:bottom w:val="single" w:sz="4" w:color="DDE5EF"/>
              <w:right w:val="single" w:sz="4" w:color="DDE5EF"/>
            </w:tcBorders>
          </w:tcPr>
          <w:p>
            <w:pPr>
              <w:spacing w:after="0"/>
            </w:pPr>
            <w:r>
              <w:rPr>
                <w:sz w:val="22"/>
              </w:rPr>
              <w:t>Edge nodes</w:t>
            </w:r>
          </w:p>
        </w:tc>
        <w:tc>
          <w:tcPr>
            <w:tcW w:type="dxa" w:w="4986"/>
            <w:tcBorders>
              <w:top w:val="single" w:sz="4" w:color="DDE5EF"/>
              <w:left w:val="single" w:sz="4" w:color="DDE5EF"/>
              <w:bottom w:val="single" w:sz="4" w:color="DDE5EF"/>
              <w:right w:val="single" w:sz="4" w:color="DDE5EF"/>
            </w:tcBorders>
          </w:tcPr>
          <w:p>
            <w:pPr>
              <w:spacing w:after="0"/>
            </w:pPr>
            <w:r>
              <w:rPr>
                <w:sz w:val="22"/>
              </w:rPr>
              <w:t>Tactical platforms (airborne, ground-mobile or maritime) hosting the SPARTA Edge Agent. PBS component #3. Reference integration class: Eurodrone-class Medium-Altitude Long-Endurance Remotely Piloted Aircraft System.</w:t>
            </w:r>
          </w:p>
        </w:tc>
      </w:tr>
      <w:tr>
        <w:tc>
          <w:tcPr>
            <w:tcW w:type="dxa" w:w="4986"/>
            <w:tcBorders>
              <w:top w:val="single" w:sz="4" w:color="DDE5EF"/>
              <w:left w:val="single" w:sz="4" w:color="DDE5EF"/>
              <w:bottom w:val="single" w:sz="4" w:color="DDE5EF"/>
              <w:right w:val="single" w:sz="4" w:color="DDE5EF"/>
            </w:tcBorders>
          </w:tcPr>
          <w:p>
            <w:pPr>
              <w:spacing w:after="0"/>
            </w:pPr>
            <w:r>
              <w:rPr>
                <w:sz w:val="22"/>
              </w:rPr>
              <w:t>Fog nodes</w:t>
            </w:r>
          </w:p>
        </w:tc>
        <w:tc>
          <w:tcPr>
            <w:tcW w:type="dxa" w:w="4986"/>
            <w:tcBorders>
              <w:top w:val="single" w:sz="4" w:color="DDE5EF"/>
              <w:left w:val="single" w:sz="4" w:color="DDE5EF"/>
              <w:bottom w:val="single" w:sz="4" w:color="DDE5EF"/>
              <w:right w:val="single" w:sz="4" w:color="DDE5EF"/>
            </w:tcBorders>
          </w:tcPr>
          <w:p>
            <w:pPr>
              <w:spacing w:after="0"/>
            </w:pPr>
            <w:r>
              <w:rPr>
                <w:sz w:val="22"/>
              </w:rPr>
              <w:t>Intermediate compute tier between Edge and Ground. Required only for the post-CDR Mode-B-peer extension. PBS component #4.</w:t>
            </w:r>
          </w:p>
        </w:tc>
      </w:tr>
      <w:tr>
        <w:tc>
          <w:tcPr>
            <w:tcW w:type="dxa" w:w="4986"/>
            <w:tcBorders>
              <w:top w:val="single" w:sz="4" w:color="DDE5EF"/>
              <w:left w:val="single" w:sz="4" w:color="DDE5EF"/>
              <w:bottom w:val="single" w:sz="4" w:color="DDE5EF"/>
              <w:right w:val="single" w:sz="4" w:color="DDE5EF"/>
            </w:tcBorders>
          </w:tcPr>
          <w:p>
            <w:pPr>
              <w:spacing w:after="0"/>
            </w:pPr>
            <w:r>
              <w:rPr>
                <w:sz w:val="22"/>
              </w:rPr>
              <w:t>FCS</w:t>
            </w:r>
          </w:p>
        </w:tc>
        <w:tc>
          <w:tcPr>
            <w:tcW w:type="dxa" w:w="4986"/>
            <w:tcBorders>
              <w:top w:val="single" w:sz="4" w:color="DDE5EF"/>
              <w:left w:val="single" w:sz="4" w:color="DDE5EF"/>
              <w:bottom w:val="single" w:sz="4" w:color="DDE5EF"/>
              <w:right w:val="single" w:sz="4" w:color="DDE5EF"/>
            </w:tcBorders>
          </w:tcPr>
          <w:p>
            <w:pPr>
              <w:spacing w:after="0"/>
            </w:pPr>
            <w:r>
              <w:rPr>
                <w:sz w:val="22"/>
              </w:rPr>
              <w:t xml:space="preserve">Flight Control System — safety-critical avionics subsystem of the host platform. </w:t>
            </w:r>
            <w:r>
              <w:rPr>
                <w:b/>
                <w:sz w:val="22"/>
              </w:rPr>
              <w:t>Authority-only / hard boundary / no SPARTA write path.</w:t>
            </w:r>
            <w:r>
              <w:rPr>
                <w:sz w:val="22"/>
              </w:rPr>
              <w:t xml:space="preserve"> Not a PBS component.</w:t>
            </w:r>
          </w:p>
        </w:tc>
      </w:tr>
      <w:tr>
        <w:tc>
          <w:tcPr>
            <w:tcW w:type="dxa" w:w="4986"/>
            <w:tcBorders>
              <w:top w:val="single" w:sz="4" w:color="DDE5EF"/>
              <w:left w:val="single" w:sz="4" w:color="DDE5EF"/>
              <w:bottom w:val="single" w:sz="4" w:color="DDE5EF"/>
              <w:right w:val="single" w:sz="4" w:color="DDE5EF"/>
            </w:tcBorders>
          </w:tcPr>
          <w:p>
            <w:pPr>
              <w:spacing w:after="0"/>
            </w:pPr>
            <w:r>
              <w:rPr>
                <w:sz w:val="22"/>
              </w:rPr>
              <w:t>DDIL</w:t>
            </w:r>
          </w:p>
        </w:tc>
        <w:tc>
          <w:tcPr>
            <w:tcW w:type="dxa" w:w="4986"/>
            <w:tcBorders>
              <w:top w:val="single" w:sz="4" w:color="DDE5EF"/>
              <w:left w:val="single" w:sz="4" w:color="DDE5EF"/>
              <w:bottom w:val="single" w:sz="4" w:color="DDE5EF"/>
              <w:right w:val="single" w:sz="4" w:color="DDE5EF"/>
            </w:tcBorders>
          </w:tcPr>
          <w:p>
            <w:pPr>
              <w:spacing w:after="0"/>
            </w:pPr>
            <w:r>
              <w:rPr>
                <w:sz w:val="22"/>
              </w:rPr>
              <w:t>Disconnected, Degraded, Intermittent, Limited — the operational norm for an airborne tactical node, and the engineering envelope SPARTA is designed to survive.</w:t>
            </w:r>
          </w:p>
        </w:tc>
      </w:tr>
      <w:tr>
        <w:tc>
          <w:tcPr>
            <w:tcW w:type="dxa" w:w="4986"/>
            <w:tcBorders>
              <w:top w:val="single" w:sz="4" w:color="DDE5EF"/>
              <w:left w:val="single" w:sz="4" w:color="DDE5EF"/>
              <w:bottom w:val="single" w:sz="4" w:color="DDE5EF"/>
              <w:right w:val="single" w:sz="4" w:color="DDE5EF"/>
            </w:tcBorders>
          </w:tcPr>
          <w:p>
            <w:pPr>
              <w:spacing w:after="0"/>
            </w:pPr>
            <w:r>
              <w:rPr>
                <w:sz w:val="22"/>
              </w:rPr>
              <w:t>Mode A / B / C</w:t>
            </w:r>
          </w:p>
        </w:tc>
        <w:tc>
          <w:tcPr>
            <w:tcW w:type="dxa" w:w="4986"/>
            <w:tcBorders>
              <w:top w:val="single" w:sz="4" w:color="DDE5EF"/>
              <w:left w:val="single" w:sz="4" w:color="DDE5EF"/>
              <w:bottom w:val="single" w:sz="4" w:color="DDE5EF"/>
              <w:right w:val="single" w:sz="4" w:color="DDE5EF"/>
            </w:tcBorders>
          </w:tcPr>
          <w:p>
            <w:pPr>
              <w:spacing w:after="0"/>
            </w:pPr>
            <w:r>
              <w:rPr>
                <w:sz w:val="22"/>
              </w:rPr>
              <w:t>Phased deployment levels: edge-local (A) / +tactical correlation, Mode-B-peer extension (B) / +TSOC-linked adaptive (C).</w:t>
            </w:r>
          </w:p>
        </w:tc>
      </w:tr>
      <w:tr>
        <w:tc>
          <w:tcPr>
            <w:tcW w:type="dxa" w:w="4986"/>
            <w:tcBorders>
              <w:top w:val="single" w:sz="4" w:color="DDE5EF"/>
              <w:left w:val="single" w:sz="4" w:color="DDE5EF"/>
              <w:bottom w:val="single" w:sz="4" w:color="DDE5EF"/>
              <w:right w:val="single" w:sz="4" w:color="DDE5EF"/>
            </w:tcBorders>
          </w:tcPr>
          <w:p>
            <w:pPr>
              <w:spacing w:after="0"/>
            </w:pPr>
            <w:r>
              <w:rPr>
                <w:sz w:val="22"/>
              </w:rPr>
              <w:t>NodeStatus, TrustAssessment, AnomalyEvent, PeerSummary, ResponseRecommendation, PolicyBundle, EvidencePackage, HealthReport</w:t>
            </w:r>
          </w:p>
        </w:tc>
        <w:tc>
          <w:tcPr>
            <w:tcW w:type="dxa" w:w="4986"/>
            <w:tcBorders>
              <w:top w:val="single" w:sz="4" w:color="DDE5EF"/>
              <w:left w:val="single" w:sz="4" w:color="DDE5EF"/>
              <w:bottom w:val="single" w:sz="4" w:color="DDE5EF"/>
              <w:right w:val="single" w:sz="4" w:color="DDE5EF"/>
            </w:tcBorders>
          </w:tcPr>
          <w:p>
            <w:pPr>
              <w:spacing w:after="0"/>
            </w:pPr>
            <w:r>
              <w:rPr>
                <w:sz w:val="22"/>
              </w:rPr>
              <w:t>The eight canonical SPARTA data objects emitted across the system boundary. Schemas in Datapack Deliv. 03 §11.</w:t>
            </w:r>
          </w:p>
        </w:tc>
      </w:tr>
      <w:tr>
        <w:tc>
          <w:tcPr>
            <w:tcW w:type="dxa" w:w="4986"/>
            <w:tcBorders>
              <w:top w:val="single" w:sz="4" w:color="DDE5EF"/>
              <w:left w:val="single" w:sz="4" w:color="DDE5EF"/>
              <w:bottom w:val="single" w:sz="4" w:color="DDE5EF"/>
              <w:right w:val="single" w:sz="4" w:color="DDE5EF"/>
            </w:tcBorders>
          </w:tcPr>
          <w:p>
            <w:pPr>
              <w:spacing w:after="0"/>
            </w:pPr>
            <w:r>
              <w:rPr>
                <w:sz w:val="22"/>
              </w:rPr>
              <w:t>P1 .. P6</w:t>
            </w:r>
          </w:p>
        </w:tc>
        <w:tc>
          <w:tcPr>
            <w:tcW w:type="dxa" w:w="4986"/>
            <w:tcBorders>
              <w:top w:val="single" w:sz="4" w:color="DDE5EF"/>
              <w:left w:val="single" w:sz="4" w:color="DDE5EF"/>
              <w:bottom w:val="single" w:sz="4" w:color="DDE5EF"/>
              <w:right w:val="single" w:sz="4" w:color="DDE5EF"/>
            </w:tcBorders>
          </w:tcPr>
          <w:p>
            <w:pPr>
              <w:spacing w:after="0"/>
            </w:pPr>
            <w:r>
              <w:rPr>
                <w:sz w:val="22"/>
              </w:rPr>
              <w:t>SPARTA internal product packages: P1 Edge Agent software · P2 Tactical Correlator (Mode-B-peer extension) · P3 Schema &amp; Interface Libraries · P4 Signed Content Pipeline · P5 Integration &amp; Support Tooling · P6 Identity &amp; Key Material.</w:t>
            </w:r>
          </w:p>
        </w:tc>
      </w:tr>
      <w:tr>
        <w:tc>
          <w:tcPr>
            <w:tcW w:type="dxa" w:w="4986"/>
            <w:tcBorders>
              <w:top w:val="single" w:sz="4" w:color="DDE5EF"/>
              <w:left w:val="single" w:sz="4" w:color="DDE5EF"/>
              <w:bottom w:val="single" w:sz="4" w:color="DDE5EF"/>
              <w:right w:val="single" w:sz="4" w:color="DDE5EF"/>
            </w:tcBorders>
          </w:tcPr>
          <w:p>
            <w:pPr>
              <w:spacing w:after="0"/>
            </w:pPr>
            <w:r>
              <w:rPr>
                <w:sz w:val="22"/>
              </w:rPr>
              <w:t>S1, S2, S3</w:t>
            </w:r>
          </w:p>
        </w:tc>
        <w:tc>
          <w:tcPr>
            <w:tcW w:type="dxa" w:w="4986"/>
            <w:tcBorders>
              <w:top w:val="single" w:sz="4" w:color="DDE5EF"/>
              <w:left w:val="single" w:sz="4" w:color="DDE5EF"/>
              <w:bottom w:val="single" w:sz="4" w:color="DDE5EF"/>
              <w:right w:val="single" w:sz="4" w:color="DDE5EF"/>
            </w:tcBorders>
          </w:tcPr>
          <w:p>
            <w:pPr>
              <w:spacing w:after="0"/>
            </w:pPr>
            <w:r>
              <w:rPr>
                <w:sz w:val="22"/>
              </w:rPr>
              <w:t>Revenue streams in §5: S1 FCAS direct · S2 Adjacent platform programmes · S3 Recurring signed-content services.</w:t>
            </w:r>
          </w:p>
        </w:tc>
      </w:tr>
      <w:tr>
        <w:tc>
          <w:tcPr>
            <w:tcW w:type="dxa" w:w="4986"/>
            <w:tcBorders>
              <w:top w:val="single" w:sz="4" w:color="DDE5EF"/>
              <w:left w:val="single" w:sz="4" w:color="DDE5EF"/>
              <w:bottom w:val="single" w:sz="4" w:color="DDE5EF"/>
              <w:right w:val="single" w:sz="4" w:color="DDE5EF"/>
            </w:tcBorders>
          </w:tcPr>
          <w:p>
            <w:pPr>
              <w:spacing w:after="0"/>
            </w:pPr>
            <w:r>
              <w:rPr>
                <w:sz w:val="22"/>
              </w:rPr>
              <w:t>IF-EXT-01 .. IF-EXT-07</w:t>
            </w:r>
          </w:p>
        </w:tc>
        <w:tc>
          <w:tcPr>
            <w:tcW w:type="dxa" w:w="4986"/>
            <w:tcBorders>
              <w:top w:val="single" w:sz="4" w:color="DDE5EF"/>
              <w:left w:val="single" w:sz="4" w:color="DDE5EF"/>
              <w:bottom w:val="single" w:sz="4" w:color="DDE5EF"/>
              <w:right w:val="single" w:sz="4" w:color="DDE5EF"/>
            </w:tcBorders>
          </w:tcPr>
          <w:p>
            <w:pPr>
              <w:spacing w:after="0"/>
            </w:pPr>
            <w:r>
              <w:rPr>
                <w:sz w:val="22"/>
              </w:rPr>
              <w:t>The seven SPARTA external interfaces — MARS, TSOC, Peer (Mode-B-peer extension), Host Platform, Accredited Identity Provider, TSOC Malware-Verdict Service, Cross-Domain Sanitizer. Detailed in Datapack Deliv. 03 §8.1.</w:t>
            </w:r>
          </w:p>
        </w:tc>
      </w:tr>
      <w:tr>
        <w:tc>
          <w:tcPr>
            <w:tcW w:type="dxa" w:w="4986"/>
            <w:tcBorders>
              <w:top w:val="single" w:sz="4" w:color="DDE5EF"/>
              <w:left w:val="single" w:sz="4" w:color="DDE5EF"/>
              <w:bottom w:val="single" w:sz="4" w:color="DDE5EF"/>
              <w:right w:val="single" w:sz="4" w:color="DDE5EF"/>
            </w:tcBorders>
          </w:tcPr>
          <w:p>
            <w:pPr>
              <w:spacing w:after="0"/>
            </w:pPr>
            <w:r>
              <w:rPr>
                <w:sz w:val="22"/>
              </w:rPr>
              <w:t>IF-INT-01 .. IF-INT-07</w:t>
            </w:r>
          </w:p>
        </w:tc>
        <w:tc>
          <w:tcPr>
            <w:tcW w:type="dxa" w:w="4986"/>
            <w:tcBorders>
              <w:top w:val="single" w:sz="4" w:color="DDE5EF"/>
              <w:left w:val="single" w:sz="4" w:color="DDE5EF"/>
              <w:bottom w:val="single" w:sz="4" w:color="DDE5EF"/>
              <w:right w:val="single" w:sz="4" w:color="DDE5EF"/>
            </w:tcBorders>
          </w:tcPr>
          <w:p>
            <w:pPr>
              <w:spacing w:after="0"/>
            </w:pPr>
            <w:r>
              <w:rPr>
                <w:sz w:val="22"/>
              </w:rPr>
              <w:t>The seven SPARTA internal interfaces between Edge Agent components. Detailed in Datapack Deliv. 03 §8.2.</w:t>
            </w:r>
          </w:p>
        </w:tc>
      </w:tr>
      <w:tr>
        <w:tc>
          <w:tcPr>
            <w:tcW w:type="dxa" w:w="4986"/>
            <w:tcBorders>
              <w:top w:val="single" w:sz="4" w:color="DDE5EF"/>
              <w:left w:val="single" w:sz="4" w:color="DDE5EF"/>
              <w:bottom w:val="single" w:sz="4" w:color="DDE5EF"/>
              <w:right w:val="single" w:sz="4" w:color="DDE5EF"/>
            </w:tcBorders>
          </w:tcPr>
          <w:p>
            <w:pPr>
              <w:spacing w:after="0"/>
            </w:pPr>
            <w:r>
              <w:rPr>
                <w:sz w:val="22"/>
              </w:rPr>
              <w:t>F1 .. F10, F7.4, F4.3 etc.</w:t>
            </w:r>
          </w:p>
        </w:tc>
        <w:tc>
          <w:tcPr>
            <w:tcW w:type="dxa" w:w="4986"/>
            <w:tcBorders>
              <w:top w:val="single" w:sz="4" w:color="DDE5EF"/>
              <w:left w:val="single" w:sz="4" w:color="DDE5EF"/>
              <w:bottom w:val="single" w:sz="4" w:color="DDE5EF"/>
              <w:right w:val="single" w:sz="4" w:color="DDE5EF"/>
            </w:tcBorders>
          </w:tcPr>
          <w:p>
            <w:pPr>
              <w:spacing w:after="0"/>
            </w:pPr>
            <w:r>
              <w:rPr>
                <w:sz w:val="22"/>
              </w:rPr>
              <w:t>Functions of the SPARTA Functional Breakdown Structure: F1 Collect · F2 Normalize &amp; Enrich · F3 Detect · F4 Triage · F5 Store &amp; Protect · F6 Transmit (DDIL) · F7 Interface with TSOC · F8 Integrate with drone (read-only) · F9 Manage integrity &amp; configuration · F10 Configure locally. Detailed in Datapack Deliv. 03 §4.</w:t>
            </w:r>
          </w:p>
        </w:tc>
      </w:tr>
      <w:tr>
        <w:tc>
          <w:tcPr>
            <w:tcW w:type="dxa" w:w="4986"/>
            <w:tcBorders>
              <w:top w:val="single" w:sz="4" w:color="DDE5EF"/>
              <w:left w:val="single" w:sz="4" w:color="DDE5EF"/>
              <w:bottom w:val="single" w:sz="4" w:color="DDE5EF"/>
              <w:right w:val="single" w:sz="4" w:color="DDE5EF"/>
            </w:tcBorders>
          </w:tcPr>
          <w:p>
            <w:pPr>
              <w:spacing w:after="0"/>
            </w:pPr>
            <w:r>
              <w:rPr>
                <w:sz w:val="22"/>
              </w:rPr>
              <w:t>MOE-01 .. MOE-06</w:t>
            </w:r>
          </w:p>
        </w:tc>
        <w:tc>
          <w:tcPr>
            <w:tcW w:type="dxa" w:w="4986"/>
            <w:tcBorders>
              <w:top w:val="single" w:sz="4" w:color="DDE5EF"/>
              <w:left w:val="single" w:sz="4" w:color="DDE5EF"/>
              <w:bottom w:val="single" w:sz="4" w:color="DDE5EF"/>
              <w:right w:val="single" w:sz="4" w:color="DDE5EF"/>
            </w:tcBorders>
          </w:tcPr>
          <w:p>
            <w:pPr>
              <w:spacing w:after="0"/>
            </w:pPr>
            <w:r>
              <w:rPr>
                <w:sz w:val="22"/>
              </w:rPr>
              <w:t>The six Measures of Effectiveness defined in Datapack Deliv. 01 §5.3: mission trust-awareness timeliness, operational relevance of outputs, mission continuity under degradation, analyst utility, false-action containment, adversary resilience.</w:t>
            </w:r>
          </w:p>
        </w:tc>
      </w:tr>
      <w:tr>
        <w:tc>
          <w:tcPr>
            <w:tcW w:type="dxa" w:w="4986"/>
            <w:tcBorders>
              <w:top w:val="single" w:sz="4" w:color="DDE5EF"/>
              <w:left w:val="single" w:sz="4" w:color="DDE5EF"/>
              <w:bottom w:val="single" w:sz="4" w:color="DDE5EF"/>
              <w:right w:val="single" w:sz="4" w:color="DDE5EF"/>
            </w:tcBorders>
          </w:tcPr>
          <w:p>
            <w:pPr>
              <w:spacing w:after="0"/>
            </w:pPr>
            <w:r>
              <w:rPr>
                <w:sz w:val="22"/>
              </w:rPr>
              <w:t>SYS-FUNC-*, SYS-PERF-*, SYS-OPS-*, SYS-IF-*, SYS-DATA-*, SYS-SAFE-*, SYS-SEC-*, SYS-RAM-*, SYS-ENV-*, SYS-HFE-*, SYS-DC-*</w:t>
            </w:r>
          </w:p>
        </w:tc>
        <w:tc>
          <w:tcPr>
            <w:tcW w:type="dxa" w:w="4986"/>
            <w:tcBorders>
              <w:top w:val="single" w:sz="4" w:color="DDE5EF"/>
              <w:left w:val="single" w:sz="4" w:color="DDE5EF"/>
              <w:bottom w:val="single" w:sz="4" w:color="DDE5EF"/>
              <w:right w:val="single" w:sz="4" w:color="DDE5EF"/>
            </w:tcBorders>
          </w:tcPr>
          <w:p>
            <w:pPr>
              <w:spacing w:after="0"/>
            </w:pPr>
            <w:r>
              <w:rPr>
                <w:sz w:val="22"/>
              </w:rPr>
              <w:t>The 56 SYS-* system requirements across 11 categories — Functional, Performance, Operational, Interface, Data, Safety, Security, Reliability/Availability/Maintainability (RAM), Environmental, Human Factors Engineering (HFE), Design Constraint. Detailed in Datapack Deliv. 02 §5.</w:t>
            </w:r>
          </w:p>
        </w:tc>
      </w:tr>
      <w:tr>
        <w:tc>
          <w:tcPr>
            <w:tcW w:type="dxa" w:w="4986"/>
            <w:tcBorders>
              <w:top w:val="single" w:sz="4" w:color="DDE5EF"/>
              <w:left w:val="single" w:sz="4" w:color="DDE5EF"/>
              <w:bottom w:val="single" w:sz="4" w:color="DDE5EF"/>
              <w:right w:val="single" w:sz="4" w:color="DDE5EF"/>
            </w:tcBorders>
          </w:tcPr>
          <w:p>
            <w:pPr>
              <w:spacing w:after="0"/>
            </w:pPr>
            <w:r>
              <w:rPr>
                <w:sz w:val="22"/>
              </w:rPr>
              <w:t>NT-01 .. NT-22</w:t>
            </w:r>
          </w:p>
        </w:tc>
        <w:tc>
          <w:tcPr>
            <w:tcW w:type="dxa" w:w="4986"/>
            <w:tcBorders>
              <w:top w:val="single" w:sz="4" w:color="DDE5EF"/>
              <w:left w:val="single" w:sz="4" w:color="DDE5EF"/>
              <w:bottom w:val="single" w:sz="4" w:color="DDE5EF"/>
              <w:right w:val="single" w:sz="4" w:color="DDE5EF"/>
            </w:tcBorders>
          </w:tcPr>
          <w:p>
            <w:pPr>
              <w:spacing w:after="0"/>
            </w:pPr>
            <w:r>
              <w:rPr>
                <w:sz w:val="22"/>
              </w:rPr>
              <w:t>The twenty-two negative tests in the Security Negative Test Plan (Datapack Deliv. 06 §12). Each test scripts an attacker behaviour and a defender-side success criterion, supporting the red-team campaign in Validation Campaign V6.</w:t>
            </w:r>
          </w:p>
        </w:tc>
      </w:tr>
      <w:tr>
        <w:tc>
          <w:tcPr>
            <w:tcW w:type="dxa" w:w="4986"/>
            <w:tcBorders>
              <w:top w:val="single" w:sz="4" w:color="DDE5EF"/>
              <w:left w:val="single" w:sz="4" w:color="DDE5EF"/>
              <w:bottom w:val="single" w:sz="4" w:color="DDE5EF"/>
              <w:right w:val="single" w:sz="4" w:color="DDE5EF"/>
            </w:tcBorders>
          </w:tcPr>
          <w:p>
            <w:pPr>
              <w:spacing w:after="0"/>
            </w:pPr>
            <w:r>
              <w:rPr>
                <w:sz w:val="22"/>
              </w:rPr>
              <w:t>SR-01 .. SR-10</w:t>
            </w:r>
          </w:p>
        </w:tc>
        <w:tc>
          <w:tcPr>
            <w:tcW w:type="dxa" w:w="4986"/>
            <w:tcBorders>
              <w:top w:val="single" w:sz="4" w:color="DDE5EF"/>
              <w:left w:val="single" w:sz="4" w:color="DDE5EF"/>
              <w:bottom w:val="single" w:sz="4" w:color="DDE5EF"/>
              <w:right w:val="single" w:sz="4" w:color="DDE5EF"/>
            </w:tcBorders>
          </w:tcPr>
          <w:p>
            <w:pPr>
              <w:spacing w:after="0"/>
            </w:pPr>
            <w:r>
              <w:rPr>
                <w:sz w:val="22"/>
              </w:rPr>
              <w:t>Strategic risks enumerated in §6.3 of this plan — technical, organisational, programmatic, political, competitive, regulatory and strategic-data classes. Each carries a pre- and post-mitigation position on the §6.3.3 risk heatmap (Figure 7).</w:t>
            </w:r>
          </w:p>
        </w:tc>
      </w:tr>
      <w:tr>
        <w:tc>
          <w:tcPr>
            <w:tcW w:type="dxa" w:w="4986"/>
            <w:tcBorders>
              <w:top w:val="single" w:sz="4" w:color="DDE5EF"/>
              <w:left w:val="single" w:sz="4" w:color="DDE5EF"/>
              <w:bottom w:val="single" w:sz="4" w:color="DDE5EF"/>
              <w:right w:val="single" w:sz="4" w:color="DDE5EF"/>
            </w:tcBorders>
          </w:tcPr>
          <w:p>
            <w:pPr>
              <w:spacing w:after="0"/>
            </w:pPr>
            <w:r>
              <w:rPr>
                <w:sz w:val="22"/>
              </w:rPr>
              <w:t>OP-STRAT-01, OP-ICD-01, OP-PERF-01, OP-AUTH-01, OP-XDOM-01, OP-THR-01, OP-CLS-01, OP-FOG-01, OP-PEER-01</w:t>
            </w:r>
          </w:p>
        </w:tc>
        <w:tc>
          <w:tcPr>
            <w:tcW w:type="dxa" w:w="4986"/>
            <w:tcBorders>
              <w:top w:val="single" w:sz="4" w:color="DDE5EF"/>
              <w:left w:val="single" w:sz="4" w:color="DDE5EF"/>
              <w:bottom w:val="single" w:sz="4" w:color="DDE5EF"/>
              <w:right w:val="single" w:sz="4" w:color="DDE5EF"/>
            </w:tcBorders>
          </w:tcPr>
          <w:p>
            <w:pPr>
              <w:spacing w:after="0"/>
            </w:pPr>
            <w:r>
              <w:rPr>
                <w:sz w:val="22"/>
              </w:rPr>
              <w:t>Open Points carried over from the SPARTA Datapack (Index §7 and Deliv. 06 §14). Each carries owner, evidence, due date, residual risk and closure criterion.</w:t>
            </w:r>
          </w:p>
        </w:tc>
      </w:tr>
      <w:tr>
        <w:tc>
          <w:tcPr>
            <w:tcW w:type="dxa" w:w="4986"/>
            <w:tcBorders>
              <w:top w:val="single" w:sz="4" w:color="DDE5EF"/>
              <w:left w:val="single" w:sz="4" w:color="DDE5EF"/>
              <w:bottom w:val="single" w:sz="4" w:color="DDE5EF"/>
              <w:right w:val="single" w:sz="4" w:color="DDE5EF"/>
            </w:tcBorders>
          </w:tcPr>
          <w:p>
            <w:pPr>
              <w:spacing w:after="0"/>
            </w:pPr>
            <w:r>
              <w:rPr>
                <w:sz w:val="22"/>
              </w:rPr>
              <w:t>V1 .. V7</w:t>
            </w:r>
          </w:p>
        </w:tc>
        <w:tc>
          <w:tcPr>
            <w:tcW w:type="dxa" w:w="4986"/>
            <w:tcBorders>
              <w:top w:val="single" w:sz="4" w:color="DDE5EF"/>
              <w:left w:val="single" w:sz="4" w:color="DDE5EF"/>
              <w:bottom w:val="single" w:sz="4" w:color="DDE5EF"/>
              <w:right w:val="single" w:sz="4" w:color="DDE5EF"/>
            </w:tcBorders>
          </w:tcPr>
          <w:p>
            <w:pPr>
              <w:spacing w:after="0"/>
            </w:pPr>
            <w:r>
              <w:rPr>
                <w:sz w:val="22"/>
              </w:rPr>
              <w:t>Validation campaigns in Datapack Deliv. 04 §7.1 — V1 detection &amp; trust generation, V2 tactical correlation (Mode-B-peer extension), V3 disconnected operation, V4 policy-controlled action, V5 operator &amp; analyst utility (HFE), V6 adversarial resilience (red-team), V7 accreditation demonstration.</w:t>
            </w:r>
          </w:p>
        </w:tc>
      </w:tr>
      <w:tr>
        <w:tc>
          <w:tcPr>
            <w:tcW w:type="dxa" w:w="4986"/>
            <w:tcBorders>
              <w:top w:val="single" w:sz="4" w:color="DDE5EF"/>
              <w:left w:val="single" w:sz="4" w:color="DDE5EF"/>
              <w:bottom w:val="single" w:sz="4" w:color="DDE5EF"/>
              <w:right w:val="single" w:sz="4" w:color="DDE5EF"/>
            </w:tcBorders>
          </w:tcPr>
          <w:p>
            <w:pPr>
              <w:spacing w:after="0"/>
            </w:pPr>
            <w:r>
              <w:rPr>
                <w:sz w:val="22"/>
              </w:rPr>
              <w:t>C-01 .. C-15</w:t>
            </w:r>
          </w:p>
        </w:tc>
        <w:tc>
          <w:tcPr>
            <w:tcW w:type="dxa" w:w="4986"/>
            <w:tcBorders>
              <w:top w:val="single" w:sz="4" w:color="DDE5EF"/>
              <w:left w:val="single" w:sz="4" w:color="DDE5EF"/>
              <w:bottom w:val="single" w:sz="4" w:color="DDE5EF"/>
              <w:right w:val="single" w:sz="4" w:color="DDE5EF"/>
            </w:tcBorders>
          </w:tcPr>
          <w:p>
            <w:pPr>
              <w:spacing w:after="0"/>
            </w:pPr>
            <w:r>
              <w:rPr>
                <w:sz w:val="22"/>
              </w:rPr>
              <w:t>CDR closure criteria in Datapack Deliv. 06 §13. Each is a pass/fail gate at Critical Design Review with a named evidence artefact.</w:t>
            </w:r>
          </w:p>
        </w:tc>
      </w:tr>
      <w:tr>
        <w:tc>
          <w:tcPr>
            <w:tcW w:type="dxa" w:w="4986"/>
            <w:tcBorders>
              <w:top w:val="single" w:sz="4" w:color="DDE5EF"/>
              <w:left w:val="single" w:sz="4" w:color="DDE5EF"/>
              <w:bottom w:val="single" w:sz="4" w:color="DDE5EF"/>
              <w:right w:val="single" w:sz="4" w:color="DDE5EF"/>
            </w:tcBorders>
          </w:tcPr>
          <w:p>
            <w:pPr>
              <w:spacing w:after="0"/>
            </w:pPr>
            <w:r>
              <w:rPr>
                <w:sz w:val="22"/>
              </w:rPr>
              <w:t>T0</w:t>
            </w:r>
          </w:p>
        </w:tc>
        <w:tc>
          <w:tcPr>
            <w:tcW w:type="dxa" w:w="4986"/>
            <w:tcBorders>
              <w:top w:val="single" w:sz="4" w:color="DDE5EF"/>
              <w:left w:val="single" w:sz="4" w:color="DDE5EF"/>
              <w:bottom w:val="single" w:sz="4" w:color="DDE5EF"/>
              <w:right w:val="single" w:sz="4" w:color="DDE5EF"/>
            </w:tcBorders>
          </w:tcPr>
          <w:p>
            <w:pPr>
              <w:spacing w:after="0"/>
            </w:pPr>
            <w:r>
              <w:rPr>
                <w:sz w:val="22"/>
              </w:rPr>
              <w:t>"Time zero" — used as the reference for the milestone deadlines in §8 (e.g. T0+3 months). T0 is the date on which this plan is formally adopted by the Airbus DS executive board.</w:t>
            </w:r>
          </w:p>
        </w:tc>
      </w:tr>
      <w:tr>
        <w:tc>
          <w:tcPr>
            <w:tcW w:type="dxa" w:w="4986"/>
            <w:tcBorders>
              <w:top w:val="single" w:sz="4" w:color="DDE5EF"/>
              <w:left w:val="single" w:sz="4" w:color="DDE5EF"/>
              <w:bottom w:val="single" w:sz="4" w:color="DDE5EF"/>
              <w:right w:val="single" w:sz="4" w:color="DDE5EF"/>
            </w:tcBorders>
          </w:tcPr>
          <w:p>
            <w:pPr>
              <w:spacing w:after="0"/>
            </w:pPr>
            <w:r>
              <w:rPr>
                <w:sz w:val="22"/>
              </w:rPr>
              <w:t>Q2 / Q3 / Q4</w:t>
            </w:r>
          </w:p>
        </w:tc>
        <w:tc>
          <w:tcPr>
            <w:tcW w:type="dxa" w:w="4986"/>
            <w:tcBorders>
              <w:top w:val="single" w:sz="4" w:color="DDE5EF"/>
              <w:left w:val="single" w:sz="4" w:color="DDE5EF"/>
              <w:bottom w:val="single" w:sz="4" w:color="DDE5EF"/>
              <w:right w:val="single" w:sz="4" w:color="DDE5EF"/>
            </w:tcBorders>
          </w:tcPr>
          <w:p>
            <w:pPr>
              <w:spacing w:after="0"/>
            </w:pPr>
            <w:r>
              <w:rPr>
                <w:sz w:val="22"/>
              </w:rPr>
              <w:t>Second / Third / Fourth calendar quarter of the named year.</w:t>
            </w:r>
          </w:p>
        </w:tc>
      </w:tr>
    </w:tbl>
    <w:p>
      <w:pPr>
        <w:spacing w:after="40"/>
      </w:pPr>
    </w:p>
    <w:p>
      <w:pPr>
        <w:pStyle w:val="Heading2"/>
      </w:pPr>
      <w:r>
        <w:t>9.2 Programme, platform and entity acronyms</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Term</w:t>
            </w:r>
          </w:p>
        </w:tc>
        <w:tc>
          <w:tcPr>
            <w:tcW w:type="dxa" w:w="4986"/>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Definition</w:t>
            </w:r>
          </w:p>
        </w:tc>
      </w:tr>
      <w:tr>
        <w:tc>
          <w:tcPr>
            <w:tcW w:type="dxa" w:w="4986"/>
            <w:tcBorders>
              <w:top w:val="single" w:sz="4" w:color="DDE5EF"/>
              <w:left w:val="single" w:sz="4" w:color="DDE5EF"/>
              <w:bottom w:val="single" w:sz="4" w:color="DDE5EF"/>
              <w:right w:val="single" w:sz="4" w:color="DDE5EF"/>
            </w:tcBorders>
          </w:tcPr>
          <w:p>
            <w:pPr>
              <w:spacing w:after="0"/>
            </w:pPr>
            <w:r>
              <w:rPr>
                <w:sz w:val="22"/>
              </w:rPr>
              <w:t>FCAS</w:t>
            </w:r>
          </w:p>
        </w:tc>
        <w:tc>
          <w:tcPr>
            <w:tcW w:type="dxa" w:w="4986"/>
            <w:tcBorders>
              <w:top w:val="single" w:sz="4" w:color="DDE5EF"/>
              <w:left w:val="single" w:sz="4" w:color="DDE5EF"/>
              <w:bottom w:val="single" w:sz="4" w:color="DDE5EF"/>
              <w:right w:val="single" w:sz="4" w:color="DDE5EF"/>
            </w:tcBorders>
          </w:tcPr>
          <w:p>
            <w:pPr>
              <w:spacing w:after="0"/>
            </w:pPr>
            <w:r>
              <w:rPr>
                <w:sz w:val="22"/>
              </w:rPr>
              <w:t>Future Combat Air System — the Franco-German-Spanish sixth-generation combat-air programme. Also called Système de Combat Aérien du Futur (SCAF) in France and Next Generation Weapon System (NGWS) in Germany.</w:t>
            </w:r>
          </w:p>
        </w:tc>
      </w:tr>
      <w:tr>
        <w:tc>
          <w:tcPr>
            <w:tcW w:type="dxa" w:w="4986"/>
            <w:tcBorders>
              <w:top w:val="single" w:sz="4" w:color="DDE5EF"/>
              <w:left w:val="single" w:sz="4" w:color="DDE5EF"/>
              <w:bottom w:val="single" w:sz="4" w:color="DDE5EF"/>
              <w:right w:val="single" w:sz="4" w:color="DDE5EF"/>
            </w:tcBorders>
          </w:tcPr>
          <w:p>
            <w:pPr>
              <w:spacing w:after="0"/>
            </w:pPr>
            <w:r>
              <w:rPr>
                <w:sz w:val="22"/>
              </w:rPr>
              <w:t>SCAF</w:t>
            </w:r>
          </w:p>
        </w:tc>
        <w:tc>
          <w:tcPr>
            <w:tcW w:type="dxa" w:w="4986"/>
            <w:tcBorders>
              <w:top w:val="single" w:sz="4" w:color="DDE5EF"/>
              <w:left w:val="single" w:sz="4" w:color="DDE5EF"/>
              <w:bottom w:val="single" w:sz="4" w:color="DDE5EF"/>
              <w:right w:val="single" w:sz="4" w:color="DDE5EF"/>
            </w:tcBorders>
          </w:tcPr>
          <w:p>
            <w:pPr>
              <w:spacing w:after="0"/>
            </w:pPr>
            <w:r>
              <w:rPr>
                <w:i/>
                <w:sz w:val="22"/>
              </w:rPr>
              <w:t>Système de Combat Aérien du Futur</w:t>
            </w:r>
            <w:r>
              <w:rPr>
                <w:sz w:val="22"/>
              </w:rPr>
              <w:t xml:space="preserve"> — the French name for FCAS.</w:t>
            </w:r>
          </w:p>
        </w:tc>
      </w:tr>
      <w:tr>
        <w:tc>
          <w:tcPr>
            <w:tcW w:type="dxa" w:w="4986"/>
            <w:tcBorders>
              <w:top w:val="single" w:sz="4" w:color="DDE5EF"/>
              <w:left w:val="single" w:sz="4" w:color="DDE5EF"/>
              <w:bottom w:val="single" w:sz="4" w:color="DDE5EF"/>
              <w:right w:val="single" w:sz="4" w:color="DDE5EF"/>
            </w:tcBorders>
          </w:tcPr>
          <w:p>
            <w:pPr>
              <w:spacing w:after="0"/>
            </w:pPr>
            <w:r>
              <w:rPr>
                <w:sz w:val="22"/>
              </w:rPr>
              <w:t>NGWS</w:t>
            </w:r>
          </w:p>
        </w:tc>
        <w:tc>
          <w:tcPr>
            <w:tcW w:type="dxa" w:w="4986"/>
            <w:tcBorders>
              <w:top w:val="single" w:sz="4" w:color="DDE5EF"/>
              <w:left w:val="single" w:sz="4" w:color="DDE5EF"/>
              <w:bottom w:val="single" w:sz="4" w:color="DDE5EF"/>
              <w:right w:val="single" w:sz="4" w:color="DDE5EF"/>
            </w:tcBorders>
          </w:tcPr>
          <w:p>
            <w:pPr>
              <w:spacing w:after="0"/>
            </w:pPr>
            <w:r>
              <w:rPr>
                <w:sz w:val="22"/>
              </w:rPr>
              <w:t>Next Generation Weapon System — the German name for FCAS.</w:t>
            </w:r>
          </w:p>
        </w:tc>
      </w:tr>
      <w:tr>
        <w:tc>
          <w:tcPr>
            <w:tcW w:type="dxa" w:w="4986"/>
            <w:tcBorders>
              <w:top w:val="single" w:sz="4" w:color="DDE5EF"/>
              <w:left w:val="single" w:sz="4" w:color="DDE5EF"/>
              <w:bottom w:val="single" w:sz="4" w:color="DDE5EF"/>
              <w:right w:val="single" w:sz="4" w:color="DDE5EF"/>
            </w:tcBorders>
          </w:tcPr>
          <w:p>
            <w:pPr>
              <w:spacing w:after="0"/>
            </w:pPr>
            <w:r>
              <w:rPr>
                <w:sz w:val="22"/>
              </w:rPr>
              <w:t>NGF</w:t>
            </w:r>
          </w:p>
        </w:tc>
        <w:tc>
          <w:tcPr>
            <w:tcW w:type="dxa" w:w="4986"/>
            <w:tcBorders>
              <w:top w:val="single" w:sz="4" w:color="DDE5EF"/>
              <w:left w:val="single" w:sz="4" w:color="DDE5EF"/>
              <w:bottom w:val="single" w:sz="4" w:color="DDE5EF"/>
              <w:right w:val="single" w:sz="4" w:color="DDE5EF"/>
            </w:tcBorders>
          </w:tcPr>
          <w:p>
            <w:pPr>
              <w:spacing w:after="0"/>
            </w:pPr>
            <w:r>
              <w:rPr>
                <w:sz w:val="22"/>
              </w:rPr>
              <w:t>Next Generation Fighter — the manned-fighter pillar (Pillar 1) of FCAS, Dassault Aviation prime.</w:t>
            </w:r>
          </w:p>
        </w:tc>
      </w:tr>
      <w:tr>
        <w:tc>
          <w:tcPr>
            <w:tcW w:type="dxa" w:w="4986"/>
            <w:tcBorders>
              <w:top w:val="single" w:sz="4" w:color="DDE5EF"/>
              <w:left w:val="single" w:sz="4" w:color="DDE5EF"/>
              <w:bottom w:val="single" w:sz="4" w:color="DDE5EF"/>
              <w:right w:val="single" w:sz="4" w:color="DDE5EF"/>
            </w:tcBorders>
          </w:tcPr>
          <w:p>
            <w:pPr>
              <w:spacing w:after="0"/>
            </w:pPr>
            <w:r>
              <w:rPr>
                <w:sz w:val="22"/>
              </w:rPr>
              <w:t>GCAP</w:t>
            </w:r>
          </w:p>
        </w:tc>
        <w:tc>
          <w:tcPr>
            <w:tcW w:type="dxa" w:w="4986"/>
            <w:tcBorders>
              <w:top w:val="single" w:sz="4" w:color="DDE5EF"/>
              <w:left w:val="single" w:sz="4" w:color="DDE5EF"/>
              <w:bottom w:val="single" w:sz="4" w:color="DDE5EF"/>
              <w:right w:val="single" w:sz="4" w:color="DDE5EF"/>
            </w:tcBorders>
          </w:tcPr>
          <w:p>
            <w:pPr>
              <w:spacing w:after="0"/>
            </w:pPr>
            <w:r>
              <w:rPr>
                <w:sz w:val="22"/>
              </w:rPr>
              <w:t>Global Combat Air Programme — the UK / Italy / Japan sixth-generation combat-air trilateral programme, convention signed 14 December 2023.</w:t>
            </w:r>
          </w:p>
        </w:tc>
      </w:tr>
      <w:tr>
        <w:tc>
          <w:tcPr>
            <w:tcW w:type="dxa" w:w="4986"/>
            <w:tcBorders>
              <w:top w:val="single" w:sz="4" w:color="DDE5EF"/>
              <w:left w:val="single" w:sz="4" w:color="DDE5EF"/>
              <w:bottom w:val="single" w:sz="4" w:color="DDE5EF"/>
              <w:right w:val="single" w:sz="4" w:color="DDE5EF"/>
            </w:tcBorders>
          </w:tcPr>
          <w:p>
            <w:pPr>
              <w:spacing w:after="0"/>
            </w:pPr>
            <w:r>
              <w:rPr>
                <w:sz w:val="22"/>
              </w:rPr>
              <w:t>CCA</w:t>
            </w:r>
          </w:p>
        </w:tc>
        <w:tc>
          <w:tcPr>
            <w:tcW w:type="dxa" w:w="4986"/>
            <w:tcBorders>
              <w:top w:val="single" w:sz="4" w:color="DDE5EF"/>
              <w:left w:val="single" w:sz="4" w:color="DDE5EF"/>
              <w:bottom w:val="single" w:sz="4" w:color="DDE5EF"/>
              <w:right w:val="single" w:sz="4" w:color="DDE5EF"/>
            </w:tcBorders>
          </w:tcPr>
          <w:p>
            <w:pPr>
              <w:spacing w:after="0"/>
            </w:pPr>
            <w:r>
              <w:rPr>
                <w:sz w:val="22"/>
              </w:rPr>
              <w:t>Collaborative Combat Aircraft — the US Air Force loyal-wingman / autonomous-collaborative-platform programme. Increment 1 awarded April 2024 to Anduril Industries and General Atomics Aeronautical Systems.</w:t>
            </w:r>
          </w:p>
        </w:tc>
      </w:tr>
      <w:tr>
        <w:tc>
          <w:tcPr>
            <w:tcW w:type="dxa" w:w="4986"/>
            <w:tcBorders>
              <w:top w:val="single" w:sz="4" w:color="DDE5EF"/>
              <w:left w:val="single" w:sz="4" w:color="DDE5EF"/>
              <w:bottom w:val="single" w:sz="4" w:color="DDE5EF"/>
              <w:right w:val="single" w:sz="4" w:color="DDE5EF"/>
            </w:tcBorders>
          </w:tcPr>
          <w:p>
            <w:pPr>
              <w:spacing w:after="0"/>
            </w:pPr>
            <w:r>
              <w:rPr>
                <w:sz w:val="22"/>
              </w:rPr>
              <w:t>LTE</w:t>
            </w:r>
          </w:p>
        </w:tc>
        <w:tc>
          <w:tcPr>
            <w:tcW w:type="dxa" w:w="4986"/>
            <w:tcBorders>
              <w:top w:val="single" w:sz="4" w:color="DDE5EF"/>
              <w:left w:val="single" w:sz="4" w:color="DDE5EF"/>
              <w:bottom w:val="single" w:sz="4" w:color="DDE5EF"/>
              <w:right w:val="single" w:sz="4" w:color="DDE5EF"/>
            </w:tcBorders>
          </w:tcPr>
          <w:p>
            <w:pPr>
              <w:spacing w:after="0"/>
            </w:pPr>
            <w:r>
              <w:rPr>
                <w:sz w:val="22"/>
              </w:rPr>
              <w:t>Long-Term Evolution — the Eurofighter mid-life-update programme.</w:t>
            </w:r>
          </w:p>
        </w:tc>
      </w:tr>
      <w:tr>
        <w:tc>
          <w:tcPr>
            <w:tcW w:type="dxa" w:w="4986"/>
            <w:tcBorders>
              <w:top w:val="single" w:sz="4" w:color="DDE5EF"/>
              <w:left w:val="single" w:sz="4" w:color="DDE5EF"/>
              <w:bottom w:val="single" w:sz="4" w:color="DDE5EF"/>
              <w:right w:val="single" w:sz="4" w:color="DDE5EF"/>
            </w:tcBorders>
          </w:tcPr>
          <w:p>
            <w:pPr>
              <w:spacing w:after="0"/>
            </w:pPr>
            <w:r>
              <w:rPr>
                <w:sz w:val="22"/>
              </w:rPr>
              <w:t>MRTT</w:t>
            </w:r>
          </w:p>
        </w:tc>
        <w:tc>
          <w:tcPr>
            <w:tcW w:type="dxa" w:w="4986"/>
            <w:tcBorders>
              <w:top w:val="single" w:sz="4" w:color="DDE5EF"/>
              <w:left w:val="single" w:sz="4" w:color="DDE5EF"/>
              <w:bottom w:val="single" w:sz="4" w:color="DDE5EF"/>
              <w:right w:val="single" w:sz="4" w:color="DDE5EF"/>
            </w:tcBorders>
          </w:tcPr>
          <w:p>
            <w:pPr>
              <w:spacing w:after="0"/>
            </w:pPr>
            <w:r>
              <w:rPr>
                <w:sz w:val="22"/>
              </w:rPr>
              <w:t>Multi-Role Tanker Transport — the Airbus A330-based aerial-refuelling and transport platform.</w:t>
            </w:r>
          </w:p>
        </w:tc>
      </w:tr>
      <w:tr>
        <w:tc>
          <w:tcPr>
            <w:tcW w:type="dxa" w:w="4986"/>
            <w:tcBorders>
              <w:top w:val="single" w:sz="4" w:color="DDE5EF"/>
              <w:left w:val="single" w:sz="4" w:color="DDE5EF"/>
              <w:bottom w:val="single" w:sz="4" w:color="DDE5EF"/>
              <w:right w:val="single" w:sz="4" w:color="DDE5EF"/>
            </w:tcBorders>
          </w:tcPr>
          <w:p>
            <w:pPr>
              <w:spacing w:after="0"/>
            </w:pPr>
            <w:r>
              <w:rPr>
                <w:sz w:val="22"/>
              </w:rPr>
              <w:t>A400M</w:t>
            </w:r>
          </w:p>
        </w:tc>
        <w:tc>
          <w:tcPr>
            <w:tcW w:type="dxa" w:w="4986"/>
            <w:tcBorders>
              <w:top w:val="single" w:sz="4" w:color="DDE5EF"/>
              <w:left w:val="single" w:sz="4" w:color="DDE5EF"/>
              <w:bottom w:val="single" w:sz="4" w:color="DDE5EF"/>
              <w:right w:val="single" w:sz="4" w:color="DDE5EF"/>
            </w:tcBorders>
          </w:tcPr>
          <w:p>
            <w:pPr>
              <w:spacing w:after="0"/>
            </w:pPr>
            <w:r>
              <w:rPr>
                <w:sz w:val="22"/>
              </w:rPr>
              <w:t>Airbus Atlas A400M — four-engine military transport aircraft.</w:t>
            </w:r>
          </w:p>
        </w:tc>
      </w:tr>
      <w:tr>
        <w:tc>
          <w:tcPr>
            <w:tcW w:type="dxa" w:w="4986"/>
            <w:tcBorders>
              <w:top w:val="single" w:sz="4" w:color="DDE5EF"/>
              <w:left w:val="single" w:sz="4" w:color="DDE5EF"/>
              <w:bottom w:val="single" w:sz="4" w:color="DDE5EF"/>
              <w:right w:val="single" w:sz="4" w:color="DDE5EF"/>
            </w:tcBorders>
          </w:tcPr>
          <w:p>
            <w:pPr>
              <w:spacing w:after="0"/>
            </w:pPr>
            <w:r>
              <w:rPr>
                <w:sz w:val="22"/>
              </w:rPr>
              <w:t>NH90</w:t>
            </w:r>
          </w:p>
        </w:tc>
        <w:tc>
          <w:tcPr>
            <w:tcW w:type="dxa" w:w="4986"/>
            <w:tcBorders>
              <w:top w:val="single" w:sz="4" w:color="DDE5EF"/>
              <w:left w:val="single" w:sz="4" w:color="DDE5EF"/>
              <w:bottom w:val="single" w:sz="4" w:color="DDE5EF"/>
              <w:right w:val="single" w:sz="4" w:color="DDE5EF"/>
            </w:tcBorders>
          </w:tcPr>
          <w:p>
            <w:pPr>
              <w:spacing w:after="0"/>
            </w:pPr>
            <w:r>
              <w:rPr>
                <w:sz w:val="22"/>
              </w:rPr>
              <w:t>Twin-engine NATO-class transport and utility helicopter (NHIndustries).</w:t>
            </w:r>
          </w:p>
        </w:tc>
      </w:tr>
      <w:tr>
        <w:tc>
          <w:tcPr>
            <w:tcW w:type="dxa" w:w="4986"/>
            <w:tcBorders>
              <w:top w:val="single" w:sz="4" w:color="DDE5EF"/>
              <w:left w:val="single" w:sz="4" w:color="DDE5EF"/>
              <w:bottom w:val="single" w:sz="4" w:color="DDE5EF"/>
              <w:right w:val="single" w:sz="4" w:color="DDE5EF"/>
            </w:tcBorders>
          </w:tcPr>
          <w:p>
            <w:pPr>
              <w:spacing w:after="0"/>
            </w:pPr>
            <w:r>
              <w:rPr>
                <w:sz w:val="22"/>
              </w:rPr>
              <w:t>Eurodrone</w:t>
            </w:r>
          </w:p>
        </w:tc>
        <w:tc>
          <w:tcPr>
            <w:tcW w:type="dxa" w:w="4986"/>
            <w:tcBorders>
              <w:top w:val="single" w:sz="4" w:color="DDE5EF"/>
              <w:left w:val="single" w:sz="4" w:color="DDE5EF"/>
              <w:bottom w:val="single" w:sz="4" w:color="DDE5EF"/>
              <w:right w:val="single" w:sz="4" w:color="DDE5EF"/>
            </w:tcBorders>
          </w:tcPr>
          <w:p>
            <w:pPr>
              <w:spacing w:after="0"/>
            </w:pPr>
            <w:r>
              <w:rPr>
                <w:sz w:val="22"/>
              </w:rPr>
              <w:t>European Medium-Altitude Long-Endurance (MALE) Remotely Piloted Aircraft System (RPAS); Airbus DS prime; OCCAR-contracted February 2022.</w:t>
            </w:r>
          </w:p>
        </w:tc>
      </w:tr>
      <w:tr>
        <w:tc>
          <w:tcPr>
            <w:tcW w:type="dxa" w:w="4986"/>
            <w:tcBorders>
              <w:top w:val="single" w:sz="4" w:color="DDE5EF"/>
              <w:left w:val="single" w:sz="4" w:color="DDE5EF"/>
              <w:bottom w:val="single" w:sz="4" w:color="DDE5EF"/>
              <w:right w:val="single" w:sz="4" w:color="DDE5EF"/>
            </w:tcBorders>
          </w:tcPr>
          <w:p>
            <w:pPr>
              <w:spacing w:after="0"/>
            </w:pPr>
            <w:r>
              <w:rPr>
                <w:sz w:val="22"/>
              </w:rPr>
              <w:t>RPAS</w:t>
            </w:r>
          </w:p>
        </w:tc>
        <w:tc>
          <w:tcPr>
            <w:tcW w:type="dxa" w:w="4986"/>
            <w:tcBorders>
              <w:top w:val="single" w:sz="4" w:color="DDE5EF"/>
              <w:left w:val="single" w:sz="4" w:color="DDE5EF"/>
              <w:bottom w:val="single" w:sz="4" w:color="DDE5EF"/>
              <w:right w:val="single" w:sz="4" w:color="DDE5EF"/>
            </w:tcBorders>
          </w:tcPr>
          <w:p>
            <w:pPr>
              <w:spacing w:after="0"/>
            </w:pPr>
            <w:r>
              <w:rPr>
                <w:sz w:val="22"/>
              </w:rPr>
              <w:t>Remotely Piloted Aircraft System.</w:t>
            </w:r>
          </w:p>
        </w:tc>
      </w:tr>
      <w:tr>
        <w:tc>
          <w:tcPr>
            <w:tcW w:type="dxa" w:w="4986"/>
            <w:tcBorders>
              <w:top w:val="single" w:sz="4" w:color="DDE5EF"/>
              <w:left w:val="single" w:sz="4" w:color="DDE5EF"/>
              <w:bottom w:val="single" w:sz="4" w:color="DDE5EF"/>
              <w:right w:val="single" w:sz="4" w:color="DDE5EF"/>
            </w:tcBorders>
          </w:tcPr>
          <w:p>
            <w:pPr>
              <w:spacing w:after="0"/>
            </w:pPr>
            <w:r>
              <w:rPr>
                <w:sz w:val="22"/>
              </w:rPr>
              <w:t>UAV</w:t>
            </w:r>
          </w:p>
        </w:tc>
        <w:tc>
          <w:tcPr>
            <w:tcW w:type="dxa" w:w="4986"/>
            <w:tcBorders>
              <w:top w:val="single" w:sz="4" w:color="DDE5EF"/>
              <w:left w:val="single" w:sz="4" w:color="DDE5EF"/>
              <w:bottom w:val="single" w:sz="4" w:color="DDE5EF"/>
              <w:right w:val="single" w:sz="4" w:color="DDE5EF"/>
            </w:tcBorders>
          </w:tcPr>
          <w:p>
            <w:pPr>
              <w:spacing w:after="0"/>
            </w:pPr>
            <w:r>
              <w:rPr>
                <w:sz w:val="22"/>
              </w:rPr>
              <w:t>Unmanned Aerial Vehicle.</w:t>
            </w:r>
          </w:p>
        </w:tc>
      </w:tr>
      <w:tr>
        <w:tc>
          <w:tcPr>
            <w:tcW w:type="dxa" w:w="4986"/>
            <w:tcBorders>
              <w:top w:val="single" w:sz="4" w:color="DDE5EF"/>
              <w:left w:val="single" w:sz="4" w:color="DDE5EF"/>
              <w:bottom w:val="single" w:sz="4" w:color="DDE5EF"/>
              <w:right w:val="single" w:sz="4" w:color="DDE5EF"/>
            </w:tcBorders>
          </w:tcPr>
          <w:p>
            <w:pPr>
              <w:spacing w:after="0"/>
            </w:pPr>
            <w:r>
              <w:rPr>
                <w:sz w:val="22"/>
              </w:rPr>
              <w:t>UCS</w:t>
            </w:r>
          </w:p>
        </w:tc>
        <w:tc>
          <w:tcPr>
            <w:tcW w:type="dxa" w:w="4986"/>
            <w:tcBorders>
              <w:top w:val="single" w:sz="4" w:color="DDE5EF"/>
              <w:left w:val="single" w:sz="4" w:color="DDE5EF"/>
              <w:bottom w:val="single" w:sz="4" w:color="DDE5EF"/>
              <w:right w:val="single" w:sz="4" w:color="DDE5EF"/>
            </w:tcBorders>
          </w:tcPr>
          <w:p>
            <w:pPr>
              <w:spacing w:after="0"/>
            </w:pPr>
            <w:r>
              <w:rPr>
                <w:sz w:val="22"/>
              </w:rPr>
              <w:t>UAV Control System (per STANAG 4586).</w:t>
            </w:r>
          </w:p>
        </w:tc>
      </w:tr>
      <w:tr>
        <w:tc>
          <w:tcPr>
            <w:tcW w:type="dxa" w:w="4986"/>
            <w:tcBorders>
              <w:top w:val="single" w:sz="4" w:color="DDE5EF"/>
              <w:left w:val="single" w:sz="4" w:color="DDE5EF"/>
              <w:bottom w:val="single" w:sz="4" w:color="DDE5EF"/>
              <w:right w:val="single" w:sz="4" w:color="DDE5EF"/>
            </w:tcBorders>
          </w:tcPr>
          <w:p>
            <w:pPr>
              <w:spacing w:after="0"/>
            </w:pPr>
            <w:r>
              <w:rPr>
                <w:sz w:val="22"/>
              </w:rPr>
              <w:t>STANAG</w:t>
            </w:r>
          </w:p>
        </w:tc>
        <w:tc>
          <w:tcPr>
            <w:tcW w:type="dxa" w:w="4986"/>
            <w:tcBorders>
              <w:top w:val="single" w:sz="4" w:color="DDE5EF"/>
              <w:left w:val="single" w:sz="4" w:color="DDE5EF"/>
              <w:bottom w:val="single" w:sz="4" w:color="DDE5EF"/>
              <w:right w:val="single" w:sz="4" w:color="DDE5EF"/>
            </w:tcBorders>
          </w:tcPr>
          <w:p>
            <w:pPr>
              <w:spacing w:after="0"/>
            </w:pPr>
            <w:r>
              <w:rPr>
                <w:sz w:val="22"/>
              </w:rPr>
              <w:t>NATO Standardization Agreement.</w:t>
            </w:r>
          </w:p>
        </w:tc>
      </w:tr>
      <w:tr>
        <w:tc>
          <w:tcPr>
            <w:tcW w:type="dxa" w:w="4986"/>
            <w:tcBorders>
              <w:top w:val="single" w:sz="4" w:color="DDE5EF"/>
              <w:left w:val="single" w:sz="4" w:color="DDE5EF"/>
              <w:bottom w:val="single" w:sz="4" w:color="DDE5EF"/>
              <w:right w:val="single" w:sz="4" w:color="DDE5EF"/>
            </w:tcBorders>
          </w:tcPr>
          <w:p>
            <w:pPr>
              <w:spacing w:after="0"/>
            </w:pPr>
            <w:r>
              <w:rPr>
                <w:sz w:val="22"/>
              </w:rPr>
              <w:t>Airbus DS</w:t>
            </w:r>
          </w:p>
        </w:tc>
        <w:tc>
          <w:tcPr>
            <w:tcW w:type="dxa" w:w="4986"/>
            <w:tcBorders>
              <w:top w:val="single" w:sz="4" w:color="DDE5EF"/>
              <w:left w:val="single" w:sz="4" w:color="DDE5EF"/>
              <w:bottom w:val="single" w:sz="4" w:color="DDE5EF"/>
              <w:right w:val="single" w:sz="4" w:color="DDE5EF"/>
            </w:tcBorders>
          </w:tcPr>
          <w:p>
            <w:pPr>
              <w:spacing w:after="0"/>
            </w:pPr>
            <w:r>
              <w:rPr>
                <w:sz w:val="22"/>
              </w:rPr>
              <w:t>Airbus Defence &amp; Space — the defence-and-space division of Airbus SE.</w:t>
            </w:r>
          </w:p>
        </w:tc>
      </w:tr>
      <w:tr>
        <w:tc>
          <w:tcPr>
            <w:tcW w:type="dxa" w:w="4986"/>
            <w:tcBorders>
              <w:top w:val="single" w:sz="4" w:color="DDE5EF"/>
              <w:left w:val="single" w:sz="4" w:color="DDE5EF"/>
              <w:bottom w:val="single" w:sz="4" w:color="DDE5EF"/>
              <w:right w:val="single" w:sz="4" w:color="DDE5EF"/>
            </w:tcBorders>
          </w:tcPr>
          <w:p>
            <w:pPr>
              <w:spacing w:after="0"/>
            </w:pPr>
            <w:r>
              <w:rPr>
                <w:sz w:val="22"/>
              </w:rPr>
              <w:t>Airbus SE</w:t>
            </w:r>
          </w:p>
        </w:tc>
        <w:tc>
          <w:tcPr>
            <w:tcW w:type="dxa" w:w="4986"/>
            <w:tcBorders>
              <w:top w:val="single" w:sz="4" w:color="DDE5EF"/>
              <w:left w:val="single" w:sz="4" w:color="DDE5EF"/>
              <w:bottom w:val="single" w:sz="4" w:color="DDE5EF"/>
              <w:right w:val="single" w:sz="4" w:color="DDE5EF"/>
            </w:tcBorders>
          </w:tcPr>
          <w:p>
            <w:pPr>
              <w:spacing w:after="0"/>
            </w:pPr>
            <w:r>
              <w:rPr>
                <w:sz w:val="22"/>
              </w:rPr>
              <w:t xml:space="preserve">Airbus </w:t>
            </w:r>
            <w:r>
              <w:rPr>
                <w:i/>
                <w:sz w:val="22"/>
              </w:rPr>
              <w:t>Societas Europaea</w:t>
            </w:r>
            <w:r>
              <w:rPr>
                <w:sz w:val="22"/>
              </w:rPr>
              <w:t xml:space="preserve"> — the listed parent entity of the Airbus group (Toulouse, France).</w:t>
            </w:r>
          </w:p>
        </w:tc>
      </w:tr>
      <w:tr>
        <w:tc>
          <w:tcPr>
            <w:tcW w:type="dxa" w:w="4986"/>
            <w:tcBorders>
              <w:top w:val="single" w:sz="4" w:color="DDE5EF"/>
              <w:left w:val="single" w:sz="4" w:color="DDE5EF"/>
              <w:bottom w:val="single" w:sz="4" w:color="DDE5EF"/>
              <w:right w:val="single" w:sz="4" w:color="DDE5EF"/>
            </w:tcBorders>
          </w:tcPr>
          <w:p>
            <w:pPr>
              <w:spacing w:after="0"/>
            </w:pPr>
            <w:r>
              <w:rPr>
                <w:sz w:val="22"/>
              </w:rPr>
              <w:t>Airbus Protect</w:t>
            </w:r>
          </w:p>
        </w:tc>
        <w:tc>
          <w:tcPr>
            <w:tcW w:type="dxa" w:w="4986"/>
            <w:tcBorders>
              <w:top w:val="single" w:sz="4" w:color="DDE5EF"/>
              <w:left w:val="single" w:sz="4" w:color="DDE5EF"/>
              <w:bottom w:val="single" w:sz="4" w:color="DDE5EF"/>
              <w:right w:val="single" w:sz="4" w:color="DDE5EF"/>
            </w:tcBorders>
          </w:tcPr>
          <w:p>
            <w:pPr>
              <w:spacing w:after="0"/>
            </w:pPr>
            <w:r>
              <w:rPr>
                <w:sz w:val="22"/>
              </w:rPr>
              <w:t>The Airbus DS cyber-services business unit; operates the reference TSOC for SPARTA and supplies Orion Malware® and CymID®-class services.</w:t>
            </w:r>
          </w:p>
        </w:tc>
      </w:tr>
      <w:tr>
        <w:tc>
          <w:tcPr>
            <w:tcW w:type="dxa" w:w="4986"/>
            <w:tcBorders>
              <w:top w:val="single" w:sz="4" w:color="DDE5EF"/>
              <w:left w:val="single" w:sz="4" w:color="DDE5EF"/>
              <w:bottom w:val="single" w:sz="4" w:color="DDE5EF"/>
              <w:right w:val="single" w:sz="4" w:color="DDE5EF"/>
            </w:tcBorders>
          </w:tcPr>
          <w:p>
            <w:pPr>
              <w:spacing w:after="0"/>
            </w:pPr>
            <w:r>
              <w:rPr>
                <w:sz w:val="22"/>
              </w:rPr>
              <w:t>Orion Malware®</w:t>
            </w:r>
          </w:p>
        </w:tc>
        <w:tc>
          <w:tcPr>
            <w:tcW w:type="dxa" w:w="4986"/>
            <w:tcBorders>
              <w:top w:val="single" w:sz="4" w:color="DDE5EF"/>
              <w:left w:val="single" w:sz="4" w:color="DDE5EF"/>
              <w:bottom w:val="single" w:sz="4" w:color="DDE5EF"/>
              <w:right w:val="single" w:sz="4" w:color="DDE5EF"/>
            </w:tcBorders>
          </w:tcPr>
          <w:p>
            <w:pPr>
              <w:spacing w:after="0"/>
            </w:pPr>
            <w:r>
              <w:rPr>
                <w:sz w:val="22"/>
              </w:rPr>
              <w:t>Airbus Protect file-analysis service consumed by SPARTA via IF-EXT-06 (registered trademark of Airbus Protect).</w:t>
            </w:r>
          </w:p>
        </w:tc>
      </w:tr>
      <w:tr>
        <w:tc>
          <w:tcPr>
            <w:tcW w:type="dxa" w:w="4986"/>
            <w:tcBorders>
              <w:top w:val="single" w:sz="4" w:color="DDE5EF"/>
              <w:left w:val="single" w:sz="4" w:color="DDE5EF"/>
              <w:bottom w:val="single" w:sz="4" w:color="DDE5EF"/>
              <w:right w:val="single" w:sz="4" w:color="DDE5EF"/>
            </w:tcBorders>
          </w:tcPr>
          <w:p>
            <w:pPr>
              <w:spacing w:after="0"/>
            </w:pPr>
            <w:r>
              <w:rPr>
                <w:sz w:val="22"/>
              </w:rPr>
              <w:t>CymID®</w:t>
            </w:r>
          </w:p>
        </w:tc>
        <w:tc>
          <w:tcPr>
            <w:tcW w:type="dxa" w:w="4986"/>
            <w:tcBorders>
              <w:top w:val="single" w:sz="4" w:color="DDE5EF"/>
              <w:left w:val="single" w:sz="4" w:color="DDE5EF"/>
              <w:bottom w:val="single" w:sz="4" w:color="DDE5EF"/>
              <w:right w:val="single" w:sz="4" w:color="DDE5EF"/>
            </w:tcBorders>
          </w:tcPr>
          <w:p>
            <w:pPr>
              <w:spacing w:after="0"/>
            </w:pPr>
            <w:r>
              <w:rPr>
                <w:sz w:val="22"/>
              </w:rPr>
              <w:t>Airbus Protect-class accredited identity / PKI service consumed by SPARTA via IF-EXT-05 (registered trademark of Airbus Protect).</w:t>
            </w:r>
          </w:p>
        </w:tc>
      </w:tr>
      <w:tr>
        <w:tc>
          <w:tcPr>
            <w:tcW w:type="dxa" w:w="4986"/>
            <w:tcBorders>
              <w:top w:val="single" w:sz="4" w:color="DDE5EF"/>
              <w:left w:val="single" w:sz="4" w:color="DDE5EF"/>
              <w:bottom w:val="single" w:sz="4" w:color="DDE5EF"/>
              <w:right w:val="single" w:sz="4" w:color="DDE5EF"/>
            </w:tcBorders>
          </w:tcPr>
          <w:p>
            <w:pPr>
              <w:spacing w:after="0"/>
            </w:pPr>
            <w:r>
              <w:rPr>
                <w:sz w:val="22"/>
              </w:rPr>
              <w:t>OCCAR</w:t>
            </w:r>
          </w:p>
        </w:tc>
        <w:tc>
          <w:tcPr>
            <w:tcW w:type="dxa" w:w="4986"/>
            <w:tcBorders>
              <w:top w:val="single" w:sz="4" w:color="DDE5EF"/>
              <w:left w:val="single" w:sz="4" w:color="DDE5EF"/>
              <w:bottom w:val="single" w:sz="4" w:color="DDE5EF"/>
              <w:right w:val="single" w:sz="4" w:color="DDE5EF"/>
            </w:tcBorders>
          </w:tcPr>
          <w:p>
            <w:pPr>
              <w:spacing w:after="0"/>
            </w:pPr>
            <w:r>
              <w:rPr>
                <w:sz w:val="22"/>
              </w:rPr>
              <w:t>Organisation for Joint Armament Cooperation — the European multinational defence-procurement agency.</w:t>
            </w:r>
          </w:p>
        </w:tc>
      </w:tr>
      <w:tr>
        <w:tc>
          <w:tcPr>
            <w:tcW w:type="dxa" w:w="4986"/>
            <w:tcBorders>
              <w:top w:val="single" w:sz="4" w:color="DDE5EF"/>
              <w:left w:val="single" w:sz="4" w:color="DDE5EF"/>
              <w:bottom w:val="single" w:sz="4" w:color="DDE5EF"/>
              <w:right w:val="single" w:sz="4" w:color="DDE5EF"/>
            </w:tcBorders>
          </w:tcPr>
          <w:p>
            <w:pPr>
              <w:spacing w:after="0"/>
            </w:pPr>
            <w:r>
              <w:rPr>
                <w:sz w:val="22"/>
              </w:rPr>
              <w:t>EDF</w:t>
            </w:r>
          </w:p>
        </w:tc>
        <w:tc>
          <w:tcPr>
            <w:tcW w:type="dxa" w:w="4986"/>
            <w:tcBorders>
              <w:top w:val="single" w:sz="4" w:color="DDE5EF"/>
              <w:left w:val="single" w:sz="4" w:color="DDE5EF"/>
              <w:bottom w:val="single" w:sz="4" w:color="DDE5EF"/>
              <w:right w:val="single" w:sz="4" w:color="DDE5EF"/>
            </w:tcBorders>
          </w:tcPr>
          <w:p>
            <w:pPr>
              <w:spacing w:after="0"/>
            </w:pPr>
            <w:r>
              <w:rPr>
                <w:sz w:val="22"/>
              </w:rPr>
              <w:t>European Defence Fund — European Commission instrument funding collaborative defence research and capability development.</w:t>
            </w:r>
          </w:p>
        </w:tc>
      </w:tr>
      <w:tr>
        <w:tc>
          <w:tcPr>
            <w:tcW w:type="dxa" w:w="4986"/>
            <w:tcBorders>
              <w:top w:val="single" w:sz="4" w:color="DDE5EF"/>
              <w:left w:val="single" w:sz="4" w:color="DDE5EF"/>
              <w:bottom w:val="single" w:sz="4" w:color="DDE5EF"/>
              <w:right w:val="single" w:sz="4" w:color="DDE5EF"/>
            </w:tcBorders>
          </w:tcPr>
          <w:p>
            <w:pPr>
              <w:spacing w:after="0"/>
            </w:pPr>
            <w:r>
              <w:rPr>
                <w:sz w:val="22"/>
              </w:rPr>
              <w:t>EDA</w:t>
            </w:r>
          </w:p>
        </w:tc>
        <w:tc>
          <w:tcPr>
            <w:tcW w:type="dxa" w:w="4986"/>
            <w:tcBorders>
              <w:top w:val="single" w:sz="4" w:color="DDE5EF"/>
              <w:left w:val="single" w:sz="4" w:color="DDE5EF"/>
              <w:bottom w:val="single" w:sz="4" w:color="DDE5EF"/>
              <w:right w:val="single" w:sz="4" w:color="DDE5EF"/>
            </w:tcBorders>
          </w:tcPr>
          <w:p>
            <w:pPr>
              <w:spacing w:after="0"/>
            </w:pPr>
            <w:r>
              <w:rPr>
                <w:sz w:val="22"/>
              </w:rPr>
              <w:t>European Defence Agency.</w:t>
            </w:r>
          </w:p>
        </w:tc>
      </w:tr>
      <w:tr>
        <w:tc>
          <w:tcPr>
            <w:tcW w:type="dxa" w:w="4986"/>
            <w:tcBorders>
              <w:top w:val="single" w:sz="4" w:color="DDE5EF"/>
              <w:left w:val="single" w:sz="4" w:color="DDE5EF"/>
              <w:bottom w:val="single" w:sz="4" w:color="DDE5EF"/>
              <w:right w:val="single" w:sz="4" w:color="DDE5EF"/>
            </w:tcBorders>
          </w:tcPr>
          <w:p>
            <w:pPr>
              <w:spacing w:after="0"/>
            </w:pPr>
            <w:r>
              <w:rPr>
                <w:sz w:val="22"/>
              </w:rPr>
              <w:t>DG DEFIS</w:t>
            </w:r>
          </w:p>
        </w:tc>
        <w:tc>
          <w:tcPr>
            <w:tcW w:type="dxa" w:w="4986"/>
            <w:tcBorders>
              <w:top w:val="single" w:sz="4" w:color="DDE5EF"/>
              <w:left w:val="single" w:sz="4" w:color="DDE5EF"/>
              <w:bottom w:val="single" w:sz="4" w:color="DDE5EF"/>
              <w:right w:val="single" w:sz="4" w:color="DDE5EF"/>
            </w:tcBorders>
          </w:tcPr>
          <w:p>
            <w:pPr>
              <w:spacing w:after="0"/>
            </w:pPr>
            <w:r>
              <w:rPr>
                <w:sz w:val="22"/>
              </w:rPr>
              <w:t>Directorate-General for Defence Industry and Space — the European Commission directorate-general that manages the EDF.</w:t>
            </w:r>
          </w:p>
        </w:tc>
      </w:tr>
      <w:tr>
        <w:tc>
          <w:tcPr>
            <w:tcW w:type="dxa" w:w="4986"/>
            <w:tcBorders>
              <w:top w:val="single" w:sz="4" w:color="DDE5EF"/>
              <w:left w:val="single" w:sz="4" w:color="DDE5EF"/>
              <w:bottom w:val="single" w:sz="4" w:color="DDE5EF"/>
              <w:right w:val="single" w:sz="4" w:color="DDE5EF"/>
            </w:tcBorders>
          </w:tcPr>
          <w:p>
            <w:pPr>
              <w:spacing w:after="0"/>
            </w:pPr>
            <w:r>
              <w:rPr>
                <w:sz w:val="22"/>
              </w:rPr>
              <w:t>NATO</w:t>
            </w:r>
          </w:p>
        </w:tc>
        <w:tc>
          <w:tcPr>
            <w:tcW w:type="dxa" w:w="4986"/>
            <w:tcBorders>
              <w:top w:val="single" w:sz="4" w:color="DDE5EF"/>
              <w:left w:val="single" w:sz="4" w:color="DDE5EF"/>
              <w:bottom w:val="single" w:sz="4" w:color="DDE5EF"/>
              <w:right w:val="single" w:sz="4" w:color="DDE5EF"/>
            </w:tcBorders>
          </w:tcPr>
          <w:p>
            <w:pPr>
              <w:spacing w:after="0"/>
            </w:pPr>
            <w:r>
              <w:rPr>
                <w:sz w:val="22"/>
              </w:rPr>
              <w:t>North Atlantic Treaty Organization.</w:t>
            </w:r>
          </w:p>
        </w:tc>
      </w:tr>
      <w:tr>
        <w:tc>
          <w:tcPr>
            <w:tcW w:type="dxa" w:w="4986"/>
            <w:tcBorders>
              <w:top w:val="single" w:sz="4" w:color="DDE5EF"/>
              <w:left w:val="single" w:sz="4" w:color="DDE5EF"/>
              <w:bottom w:val="single" w:sz="4" w:color="DDE5EF"/>
              <w:right w:val="single" w:sz="4" w:color="DDE5EF"/>
            </w:tcBorders>
          </w:tcPr>
          <w:p>
            <w:pPr>
              <w:spacing w:after="0"/>
            </w:pPr>
            <w:r>
              <w:rPr>
                <w:sz w:val="22"/>
              </w:rPr>
              <w:t>FMN</w:t>
            </w:r>
          </w:p>
        </w:tc>
        <w:tc>
          <w:tcPr>
            <w:tcW w:type="dxa" w:w="4986"/>
            <w:tcBorders>
              <w:top w:val="single" w:sz="4" w:color="DDE5EF"/>
              <w:left w:val="single" w:sz="4" w:color="DDE5EF"/>
              <w:bottom w:val="single" w:sz="4" w:color="DDE5EF"/>
              <w:right w:val="single" w:sz="4" w:color="DDE5EF"/>
            </w:tcBorders>
          </w:tcPr>
          <w:p>
            <w:pPr>
              <w:spacing w:after="0"/>
            </w:pPr>
            <w:r>
              <w:rPr>
                <w:sz w:val="22"/>
              </w:rPr>
              <w:t>NATO Federated Mission Networking — capability framework for coalition-grade mission networks.</w:t>
            </w:r>
          </w:p>
        </w:tc>
      </w:tr>
      <w:tr>
        <w:tc>
          <w:tcPr>
            <w:tcW w:type="dxa" w:w="4986"/>
            <w:tcBorders>
              <w:top w:val="single" w:sz="4" w:color="DDE5EF"/>
              <w:left w:val="single" w:sz="4" w:color="DDE5EF"/>
              <w:bottom w:val="single" w:sz="4" w:color="DDE5EF"/>
              <w:right w:val="single" w:sz="4" w:color="DDE5EF"/>
            </w:tcBorders>
          </w:tcPr>
          <w:p>
            <w:pPr>
              <w:spacing w:after="0"/>
            </w:pPr>
            <w:r>
              <w:rPr>
                <w:sz w:val="22"/>
              </w:rPr>
              <w:t>NCIA</w:t>
            </w:r>
          </w:p>
        </w:tc>
        <w:tc>
          <w:tcPr>
            <w:tcW w:type="dxa" w:w="4986"/>
            <w:tcBorders>
              <w:top w:val="single" w:sz="4" w:color="DDE5EF"/>
              <w:left w:val="single" w:sz="4" w:color="DDE5EF"/>
              <w:bottom w:val="single" w:sz="4" w:color="DDE5EF"/>
              <w:right w:val="single" w:sz="4" w:color="DDE5EF"/>
            </w:tcBorders>
          </w:tcPr>
          <w:p>
            <w:pPr>
              <w:spacing w:after="0"/>
            </w:pPr>
            <w:r>
              <w:rPr>
                <w:sz w:val="22"/>
              </w:rPr>
              <w:t>NATO Communications and Information Agency.</w:t>
            </w:r>
          </w:p>
        </w:tc>
      </w:tr>
      <w:tr>
        <w:tc>
          <w:tcPr>
            <w:tcW w:type="dxa" w:w="4986"/>
            <w:tcBorders>
              <w:top w:val="single" w:sz="4" w:color="DDE5EF"/>
              <w:left w:val="single" w:sz="4" w:color="DDE5EF"/>
              <w:bottom w:val="single" w:sz="4" w:color="DDE5EF"/>
              <w:right w:val="single" w:sz="4" w:color="DDE5EF"/>
            </w:tcBorders>
          </w:tcPr>
          <w:p>
            <w:pPr>
              <w:spacing w:after="0"/>
            </w:pPr>
            <w:r>
              <w:rPr>
                <w:sz w:val="22"/>
              </w:rPr>
              <w:t>CCD-COE</w:t>
            </w:r>
          </w:p>
        </w:tc>
        <w:tc>
          <w:tcPr>
            <w:tcW w:type="dxa" w:w="4986"/>
            <w:tcBorders>
              <w:top w:val="single" w:sz="4" w:color="DDE5EF"/>
              <w:left w:val="single" w:sz="4" w:color="DDE5EF"/>
              <w:bottom w:val="single" w:sz="4" w:color="DDE5EF"/>
              <w:right w:val="single" w:sz="4" w:color="DDE5EF"/>
            </w:tcBorders>
          </w:tcPr>
          <w:p>
            <w:pPr>
              <w:spacing w:after="0"/>
            </w:pPr>
            <w:r>
              <w:rPr>
                <w:sz w:val="22"/>
              </w:rPr>
              <w:t>NATO Cooperative Cyber Defence Centre of Excellence, Tallinn, Estonia.</w:t>
            </w:r>
          </w:p>
        </w:tc>
      </w:tr>
      <w:tr>
        <w:tc>
          <w:tcPr>
            <w:tcW w:type="dxa" w:w="4986"/>
            <w:tcBorders>
              <w:top w:val="single" w:sz="4" w:color="DDE5EF"/>
              <w:left w:val="single" w:sz="4" w:color="DDE5EF"/>
              <w:bottom w:val="single" w:sz="4" w:color="DDE5EF"/>
              <w:right w:val="single" w:sz="4" w:color="DDE5EF"/>
            </w:tcBorders>
          </w:tcPr>
          <w:p>
            <w:pPr>
              <w:spacing w:after="0"/>
            </w:pPr>
            <w:r>
              <w:rPr>
                <w:sz w:val="22"/>
              </w:rPr>
              <w:t>NCSO</w:t>
            </w:r>
          </w:p>
        </w:tc>
        <w:tc>
          <w:tcPr>
            <w:tcW w:type="dxa" w:w="4986"/>
            <w:tcBorders>
              <w:top w:val="single" w:sz="4" w:color="DDE5EF"/>
              <w:left w:val="single" w:sz="4" w:color="DDE5EF"/>
              <w:bottom w:val="single" w:sz="4" w:color="DDE5EF"/>
              <w:right w:val="single" w:sz="4" w:color="DDE5EF"/>
            </w:tcBorders>
          </w:tcPr>
          <w:p>
            <w:pPr>
              <w:spacing w:after="0"/>
            </w:pPr>
            <w:r>
              <w:rPr>
                <w:sz w:val="22"/>
              </w:rPr>
              <w:t>NATO Standardization Office.</w:t>
            </w:r>
          </w:p>
        </w:tc>
      </w:tr>
      <w:tr>
        <w:tc>
          <w:tcPr>
            <w:tcW w:type="dxa" w:w="4986"/>
            <w:tcBorders>
              <w:top w:val="single" w:sz="4" w:color="DDE5EF"/>
              <w:left w:val="single" w:sz="4" w:color="DDE5EF"/>
              <w:bottom w:val="single" w:sz="4" w:color="DDE5EF"/>
              <w:right w:val="single" w:sz="4" w:color="DDE5EF"/>
            </w:tcBorders>
          </w:tcPr>
          <w:p>
            <w:pPr>
              <w:spacing w:after="0"/>
            </w:pPr>
            <w:r>
              <w:rPr>
                <w:sz w:val="22"/>
              </w:rPr>
              <w:t>DGA</w:t>
            </w:r>
          </w:p>
        </w:tc>
        <w:tc>
          <w:tcPr>
            <w:tcW w:type="dxa" w:w="4986"/>
            <w:tcBorders>
              <w:top w:val="single" w:sz="4" w:color="DDE5EF"/>
              <w:left w:val="single" w:sz="4" w:color="DDE5EF"/>
              <w:bottom w:val="single" w:sz="4" w:color="DDE5EF"/>
              <w:right w:val="single" w:sz="4" w:color="DDE5EF"/>
            </w:tcBorders>
          </w:tcPr>
          <w:p>
            <w:pPr>
              <w:spacing w:after="0"/>
            </w:pPr>
            <w:r>
              <w:rPr>
                <w:sz w:val="22"/>
              </w:rPr>
              <w:t>Direction générale de l'armement — French defence-procurement directorate.</w:t>
            </w:r>
          </w:p>
        </w:tc>
      </w:tr>
      <w:tr>
        <w:tc>
          <w:tcPr>
            <w:tcW w:type="dxa" w:w="4986"/>
            <w:tcBorders>
              <w:top w:val="single" w:sz="4" w:color="DDE5EF"/>
              <w:left w:val="single" w:sz="4" w:color="DDE5EF"/>
              <w:bottom w:val="single" w:sz="4" w:color="DDE5EF"/>
              <w:right w:val="single" w:sz="4" w:color="DDE5EF"/>
            </w:tcBorders>
          </w:tcPr>
          <w:p>
            <w:pPr>
              <w:spacing w:after="0"/>
            </w:pPr>
            <w:r>
              <w:rPr>
                <w:sz w:val="22"/>
              </w:rPr>
              <w:t>DGA-MI</w:t>
            </w:r>
          </w:p>
        </w:tc>
        <w:tc>
          <w:tcPr>
            <w:tcW w:type="dxa" w:w="4986"/>
            <w:tcBorders>
              <w:top w:val="single" w:sz="4" w:color="DDE5EF"/>
              <w:left w:val="single" w:sz="4" w:color="DDE5EF"/>
              <w:bottom w:val="single" w:sz="4" w:color="DDE5EF"/>
              <w:right w:val="single" w:sz="4" w:color="DDE5EF"/>
            </w:tcBorders>
          </w:tcPr>
          <w:p>
            <w:pPr>
              <w:spacing w:after="0"/>
            </w:pPr>
            <w:r>
              <w:rPr>
                <w:sz w:val="22"/>
              </w:rPr>
              <w:t xml:space="preserve">DGA — </w:t>
            </w:r>
            <w:r>
              <w:rPr>
                <w:i/>
                <w:sz w:val="22"/>
              </w:rPr>
              <w:t>Maîtrise de l'information</w:t>
            </w:r>
            <w:r>
              <w:rPr>
                <w:sz w:val="22"/>
              </w:rPr>
              <w:t xml:space="preserve"> — the French defence-cyber agency within DGA.</w:t>
            </w:r>
          </w:p>
        </w:tc>
      </w:tr>
      <w:tr>
        <w:tc>
          <w:tcPr>
            <w:tcW w:type="dxa" w:w="4986"/>
            <w:tcBorders>
              <w:top w:val="single" w:sz="4" w:color="DDE5EF"/>
              <w:left w:val="single" w:sz="4" w:color="DDE5EF"/>
              <w:bottom w:val="single" w:sz="4" w:color="DDE5EF"/>
              <w:right w:val="single" w:sz="4" w:color="DDE5EF"/>
            </w:tcBorders>
          </w:tcPr>
          <w:p>
            <w:pPr>
              <w:spacing w:after="0"/>
            </w:pPr>
            <w:r>
              <w:rPr>
                <w:sz w:val="22"/>
              </w:rPr>
              <w:t>ANSSI</w:t>
            </w:r>
          </w:p>
        </w:tc>
        <w:tc>
          <w:tcPr>
            <w:tcW w:type="dxa" w:w="4986"/>
            <w:tcBorders>
              <w:top w:val="single" w:sz="4" w:color="DDE5EF"/>
              <w:left w:val="single" w:sz="4" w:color="DDE5EF"/>
              <w:bottom w:val="single" w:sz="4" w:color="DDE5EF"/>
              <w:right w:val="single" w:sz="4" w:color="DDE5EF"/>
            </w:tcBorders>
          </w:tcPr>
          <w:p>
            <w:pPr>
              <w:spacing w:after="0"/>
            </w:pPr>
            <w:r>
              <w:rPr>
                <w:sz w:val="22"/>
              </w:rPr>
              <w:t>Agence nationale de la sécurité des systèmes d'information — the French national cybersecurity agency.</w:t>
            </w:r>
          </w:p>
        </w:tc>
      </w:tr>
      <w:tr>
        <w:tc>
          <w:tcPr>
            <w:tcW w:type="dxa" w:w="4986"/>
            <w:tcBorders>
              <w:top w:val="single" w:sz="4" w:color="DDE5EF"/>
              <w:left w:val="single" w:sz="4" w:color="DDE5EF"/>
              <w:bottom w:val="single" w:sz="4" w:color="DDE5EF"/>
              <w:right w:val="single" w:sz="4" w:color="DDE5EF"/>
            </w:tcBorders>
          </w:tcPr>
          <w:p>
            <w:pPr>
              <w:spacing w:after="0"/>
            </w:pPr>
            <w:r>
              <w:rPr>
                <w:sz w:val="22"/>
              </w:rPr>
              <w:t>BAAINBw</w:t>
            </w:r>
          </w:p>
        </w:tc>
        <w:tc>
          <w:tcPr>
            <w:tcW w:type="dxa" w:w="4986"/>
            <w:tcBorders>
              <w:top w:val="single" w:sz="4" w:color="DDE5EF"/>
              <w:left w:val="single" w:sz="4" w:color="DDE5EF"/>
              <w:bottom w:val="single" w:sz="4" w:color="DDE5EF"/>
              <w:right w:val="single" w:sz="4" w:color="DDE5EF"/>
            </w:tcBorders>
          </w:tcPr>
          <w:p>
            <w:pPr>
              <w:spacing w:after="0"/>
            </w:pPr>
            <w:r>
              <w:rPr>
                <w:sz w:val="22"/>
              </w:rPr>
              <w:t>Bundesamt für Ausrüstung, Informationstechnik und Nutzung der Bundeswehr — the German defence-procurement agency.</w:t>
            </w:r>
          </w:p>
        </w:tc>
      </w:tr>
      <w:tr>
        <w:tc>
          <w:tcPr>
            <w:tcW w:type="dxa" w:w="4986"/>
            <w:tcBorders>
              <w:top w:val="single" w:sz="4" w:color="DDE5EF"/>
              <w:left w:val="single" w:sz="4" w:color="DDE5EF"/>
              <w:bottom w:val="single" w:sz="4" w:color="DDE5EF"/>
              <w:right w:val="single" w:sz="4" w:color="DDE5EF"/>
            </w:tcBorders>
          </w:tcPr>
          <w:p>
            <w:pPr>
              <w:spacing w:after="0"/>
            </w:pPr>
            <w:r>
              <w:rPr>
                <w:sz w:val="22"/>
              </w:rPr>
              <w:t>BSI</w:t>
            </w:r>
          </w:p>
        </w:tc>
        <w:tc>
          <w:tcPr>
            <w:tcW w:type="dxa" w:w="4986"/>
            <w:tcBorders>
              <w:top w:val="single" w:sz="4" w:color="DDE5EF"/>
              <w:left w:val="single" w:sz="4" w:color="DDE5EF"/>
              <w:bottom w:val="single" w:sz="4" w:color="DDE5EF"/>
              <w:right w:val="single" w:sz="4" w:color="DDE5EF"/>
            </w:tcBorders>
          </w:tcPr>
          <w:p>
            <w:pPr>
              <w:spacing w:after="0"/>
            </w:pPr>
            <w:r>
              <w:rPr>
                <w:sz w:val="22"/>
              </w:rPr>
              <w:t>Bundesamt für Sicherheit in der Informationstechnik — the German Federal Office for Information Security.</w:t>
            </w:r>
          </w:p>
        </w:tc>
      </w:tr>
      <w:tr>
        <w:tc>
          <w:tcPr>
            <w:tcW w:type="dxa" w:w="4986"/>
            <w:tcBorders>
              <w:top w:val="single" w:sz="4" w:color="DDE5EF"/>
              <w:left w:val="single" w:sz="4" w:color="DDE5EF"/>
              <w:bottom w:val="single" w:sz="4" w:color="DDE5EF"/>
              <w:right w:val="single" w:sz="4" w:color="DDE5EF"/>
            </w:tcBorders>
          </w:tcPr>
          <w:p>
            <w:pPr>
              <w:spacing w:after="0"/>
            </w:pPr>
            <w:r>
              <w:rPr>
                <w:sz w:val="22"/>
              </w:rPr>
              <w:t>DGAM</w:t>
            </w:r>
          </w:p>
        </w:tc>
        <w:tc>
          <w:tcPr>
            <w:tcW w:type="dxa" w:w="4986"/>
            <w:tcBorders>
              <w:top w:val="single" w:sz="4" w:color="DDE5EF"/>
              <w:left w:val="single" w:sz="4" w:color="DDE5EF"/>
              <w:bottom w:val="single" w:sz="4" w:color="DDE5EF"/>
              <w:right w:val="single" w:sz="4" w:color="DDE5EF"/>
            </w:tcBorders>
          </w:tcPr>
          <w:p>
            <w:pPr>
              <w:spacing w:after="0"/>
            </w:pPr>
            <w:r>
              <w:rPr>
                <w:sz w:val="22"/>
              </w:rPr>
              <w:t>Dirección General de Armamento y Material — the Spanish defence-armaments directorate.</w:t>
            </w:r>
          </w:p>
        </w:tc>
      </w:tr>
      <w:tr>
        <w:tc>
          <w:tcPr>
            <w:tcW w:type="dxa" w:w="4986"/>
            <w:tcBorders>
              <w:top w:val="single" w:sz="4" w:color="DDE5EF"/>
              <w:left w:val="single" w:sz="4" w:color="DDE5EF"/>
              <w:bottom w:val="single" w:sz="4" w:color="DDE5EF"/>
              <w:right w:val="single" w:sz="4" w:color="DDE5EF"/>
            </w:tcBorders>
          </w:tcPr>
          <w:p>
            <w:pPr>
              <w:spacing w:after="0"/>
            </w:pPr>
            <w:r>
              <w:rPr>
                <w:sz w:val="22"/>
              </w:rPr>
              <w:t>CCN-CERT</w:t>
            </w:r>
          </w:p>
        </w:tc>
        <w:tc>
          <w:tcPr>
            <w:tcW w:type="dxa" w:w="4986"/>
            <w:tcBorders>
              <w:top w:val="single" w:sz="4" w:color="DDE5EF"/>
              <w:left w:val="single" w:sz="4" w:color="DDE5EF"/>
              <w:bottom w:val="single" w:sz="4" w:color="DDE5EF"/>
              <w:right w:val="single" w:sz="4" w:color="DDE5EF"/>
            </w:tcBorders>
          </w:tcPr>
          <w:p>
            <w:pPr>
              <w:spacing w:after="0"/>
            </w:pPr>
            <w:r>
              <w:rPr>
                <w:sz w:val="22"/>
              </w:rPr>
              <w:t>Centro Criptológico Nacional — Computer Emergency Response Team — the Spanish national cyber agency.</w:t>
            </w:r>
          </w:p>
        </w:tc>
      </w:tr>
      <w:tr>
        <w:tc>
          <w:tcPr>
            <w:tcW w:type="dxa" w:w="4986"/>
            <w:tcBorders>
              <w:top w:val="single" w:sz="4" w:color="DDE5EF"/>
              <w:left w:val="single" w:sz="4" w:color="DDE5EF"/>
              <w:bottom w:val="single" w:sz="4" w:color="DDE5EF"/>
              <w:right w:val="single" w:sz="4" w:color="DDE5EF"/>
            </w:tcBorders>
          </w:tcPr>
          <w:p>
            <w:pPr>
              <w:spacing w:after="0"/>
            </w:pPr>
            <w:r>
              <w:rPr>
                <w:sz w:val="22"/>
              </w:rPr>
              <w:t>INCIBE</w:t>
            </w:r>
          </w:p>
        </w:tc>
        <w:tc>
          <w:tcPr>
            <w:tcW w:type="dxa" w:w="4986"/>
            <w:tcBorders>
              <w:top w:val="single" w:sz="4" w:color="DDE5EF"/>
              <w:left w:val="single" w:sz="4" w:color="DDE5EF"/>
              <w:bottom w:val="single" w:sz="4" w:color="DDE5EF"/>
              <w:right w:val="single" w:sz="4" w:color="DDE5EF"/>
            </w:tcBorders>
          </w:tcPr>
          <w:p>
            <w:pPr>
              <w:spacing w:after="0"/>
            </w:pPr>
            <w:r>
              <w:rPr>
                <w:sz w:val="22"/>
              </w:rPr>
              <w:t>Instituto Nacional de Ciberseguridad — the Spanish National Institute of Cybersecurity.</w:t>
            </w:r>
          </w:p>
        </w:tc>
      </w:tr>
      <w:tr>
        <w:tc>
          <w:tcPr>
            <w:tcW w:type="dxa" w:w="4986"/>
            <w:tcBorders>
              <w:top w:val="single" w:sz="4" w:color="DDE5EF"/>
              <w:left w:val="single" w:sz="4" w:color="DDE5EF"/>
              <w:bottom w:val="single" w:sz="4" w:color="DDE5EF"/>
              <w:right w:val="single" w:sz="4" w:color="DDE5EF"/>
            </w:tcBorders>
          </w:tcPr>
          <w:p>
            <w:pPr>
              <w:spacing w:after="0"/>
            </w:pPr>
            <w:r>
              <w:rPr>
                <w:sz w:val="22"/>
              </w:rPr>
              <w:t>CCN-STIC</w:t>
            </w:r>
          </w:p>
        </w:tc>
        <w:tc>
          <w:tcPr>
            <w:tcW w:type="dxa" w:w="4986"/>
            <w:tcBorders>
              <w:top w:val="single" w:sz="4" w:color="DDE5EF"/>
              <w:left w:val="single" w:sz="4" w:color="DDE5EF"/>
              <w:bottom w:val="single" w:sz="4" w:color="DDE5EF"/>
              <w:right w:val="single" w:sz="4" w:color="DDE5EF"/>
            </w:tcBorders>
          </w:tcPr>
          <w:p>
            <w:pPr>
              <w:spacing w:after="0"/>
            </w:pPr>
            <w:r>
              <w:rPr>
                <w:sz w:val="22"/>
              </w:rPr>
              <w:t>The CCN-CERT national security and STIC (Sistemas y Tecnologías de la Información y las Comunicaciones) framework.</w:t>
            </w:r>
          </w:p>
        </w:tc>
      </w:tr>
      <w:tr>
        <w:tc>
          <w:tcPr>
            <w:tcW w:type="dxa" w:w="4986"/>
            <w:tcBorders>
              <w:top w:val="single" w:sz="4" w:color="DDE5EF"/>
              <w:left w:val="single" w:sz="4" w:color="DDE5EF"/>
              <w:bottom w:val="single" w:sz="4" w:color="DDE5EF"/>
              <w:right w:val="single" w:sz="4" w:color="DDE5EF"/>
            </w:tcBorders>
          </w:tcPr>
          <w:p>
            <w:pPr>
              <w:spacing w:after="0"/>
            </w:pPr>
            <w:r>
              <w:rPr>
                <w:sz w:val="22"/>
              </w:rPr>
              <w:t>USAF</w:t>
            </w:r>
          </w:p>
        </w:tc>
        <w:tc>
          <w:tcPr>
            <w:tcW w:type="dxa" w:w="4986"/>
            <w:tcBorders>
              <w:top w:val="single" w:sz="4" w:color="DDE5EF"/>
              <w:left w:val="single" w:sz="4" w:color="DDE5EF"/>
              <w:bottom w:val="single" w:sz="4" w:color="DDE5EF"/>
              <w:right w:val="single" w:sz="4" w:color="DDE5EF"/>
            </w:tcBorders>
          </w:tcPr>
          <w:p>
            <w:pPr>
              <w:spacing w:after="0"/>
            </w:pPr>
            <w:r>
              <w:rPr>
                <w:sz w:val="22"/>
              </w:rPr>
              <w:t>United States Air Force.</w:t>
            </w:r>
          </w:p>
        </w:tc>
      </w:tr>
      <w:tr>
        <w:tc>
          <w:tcPr>
            <w:tcW w:type="dxa" w:w="4986"/>
            <w:tcBorders>
              <w:top w:val="single" w:sz="4" w:color="DDE5EF"/>
              <w:left w:val="single" w:sz="4" w:color="DDE5EF"/>
              <w:bottom w:val="single" w:sz="4" w:color="DDE5EF"/>
              <w:right w:val="single" w:sz="4" w:color="DDE5EF"/>
            </w:tcBorders>
          </w:tcPr>
          <w:p>
            <w:pPr>
              <w:spacing w:after="0"/>
            </w:pPr>
            <w:r>
              <w:rPr>
                <w:sz w:val="22"/>
              </w:rPr>
              <w:t>Indra</w:t>
            </w:r>
          </w:p>
        </w:tc>
        <w:tc>
          <w:tcPr>
            <w:tcW w:type="dxa" w:w="4986"/>
            <w:tcBorders>
              <w:top w:val="single" w:sz="4" w:color="DDE5EF"/>
              <w:left w:val="single" w:sz="4" w:color="DDE5EF"/>
              <w:bottom w:val="single" w:sz="4" w:color="DDE5EF"/>
              <w:right w:val="single" w:sz="4" w:color="DDE5EF"/>
            </w:tcBorders>
          </w:tcPr>
          <w:p>
            <w:pPr>
              <w:spacing w:after="0"/>
            </w:pPr>
            <w:r>
              <w:rPr>
                <w:sz w:val="22"/>
              </w:rPr>
              <w:t>Indra Sistemas — Spanish defence-electronics prime; FCAS Pillar 5 (Sensors) prime.</w:t>
            </w:r>
          </w:p>
        </w:tc>
      </w:tr>
      <w:tr>
        <w:tc>
          <w:tcPr>
            <w:tcW w:type="dxa" w:w="4986"/>
            <w:tcBorders>
              <w:top w:val="single" w:sz="4" w:color="DDE5EF"/>
              <w:left w:val="single" w:sz="4" w:color="DDE5EF"/>
              <w:bottom w:val="single" w:sz="4" w:color="DDE5EF"/>
              <w:right w:val="single" w:sz="4" w:color="DDE5EF"/>
            </w:tcBorders>
          </w:tcPr>
          <w:p>
            <w:pPr>
              <w:spacing w:after="0"/>
            </w:pPr>
            <w:r>
              <w:rPr>
                <w:sz w:val="22"/>
              </w:rPr>
              <w:t>Dassault</w:t>
            </w:r>
          </w:p>
        </w:tc>
        <w:tc>
          <w:tcPr>
            <w:tcW w:type="dxa" w:w="4986"/>
            <w:tcBorders>
              <w:top w:val="single" w:sz="4" w:color="DDE5EF"/>
              <w:left w:val="single" w:sz="4" w:color="DDE5EF"/>
              <w:bottom w:val="single" w:sz="4" w:color="DDE5EF"/>
              <w:right w:val="single" w:sz="4" w:color="DDE5EF"/>
            </w:tcBorders>
          </w:tcPr>
          <w:p>
            <w:pPr>
              <w:spacing w:after="0"/>
            </w:pPr>
            <w:r>
              <w:rPr>
                <w:sz w:val="22"/>
              </w:rPr>
              <w:t>Dassault Aviation — French combat-aircraft prime; FCAS Pillar 1 (NGF) prime.</w:t>
            </w:r>
          </w:p>
        </w:tc>
      </w:tr>
      <w:tr>
        <w:tc>
          <w:tcPr>
            <w:tcW w:type="dxa" w:w="4986"/>
            <w:tcBorders>
              <w:top w:val="single" w:sz="4" w:color="DDE5EF"/>
              <w:left w:val="single" w:sz="4" w:color="DDE5EF"/>
              <w:bottom w:val="single" w:sz="4" w:color="DDE5EF"/>
              <w:right w:val="single" w:sz="4" w:color="DDE5EF"/>
            </w:tcBorders>
          </w:tcPr>
          <w:p>
            <w:pPr>
              <w:spacing w:after="0"/>
            </w:pPr>
            <w:r>
              <w:rPr>
                <w:sz w:val="22"/>
              </w:rPr>
              <w:t>Eumet</w:t>
            </w:r>
          </w:p>
        </w:tc>
        <w:tc>
          <w:tcPr>
            <w:tcW w:type="dxa" w:w="4986"/>
            <w:tcBorders>
              <w:top w:val="single" w:sz="4" w:color="DDE5EF"/>
              <w:left w:val="single" w:sz="4" w:color="DDE5EF"/>
              <w:bottom w:val="single" w:sz="4" w:color="DDE5EF"/>
              <w:right w:val="single" w:sz="4" w:color="DDE5EF"/>
            </w:tcBorders>
          </w:tcPr>
          <w:p>
            <w:pPr>
              <w:spacing w:after="0"/>
            </w:pPr>
            <w:r>
              <w:rPr>
                <w:sz w:val="22"/>
              </w:rPr>
              <w:t>Safran–MTU 50/50 joint venture; FCAS Pillar 2 (Engine) prime.</w:t>
            </w:r>
          </w:p>
        </w:tc>
      </w:tr>
      <w:tr>
        <w:tc>
          <w:tcPr>
            <w:tcW w:type="dxa" w:w="4986"/>
            <w:tcBorders>
              <w:top w:val="single" w:sz="4" w:color="DDE5EF"/>
              <w:left w:val="single" w:sz="4" w:color="DDE5EF"/>
              <w:bottom w:val="single" w:sz="4" w:color="DDE5EF"/>
              <w:right w:val="single" w:sz="4" w:color="DDE5EF"/>
            </w:tcBorders>
          </w:tcPr>
          <w:p>
            <w:pPr>
              <w:spacing w:after="0"/>
            </w:pPr>
            <w:r>
              <w:rPr>
                <w:sz w:val="22"/>
              </w:rPr>
              <w:t>BAE</w:t>
            </w:r>
          </w:p>
        </w:tc>
        <w:tc>
          <w:tcPr>
            <w:tcW w:type="dxa" w:w="4986"/>
            <w:tcBorders>
              <w:top w:val="single" w:sz="4" w:color="DDE5EF"/>
              <w:left w:val="single" w:sz="4" w:color="DDE5EF"/>
              <w:bottom w:val="single" w:sz="4" w:color="DDE5EF"/>
              <w:right w:val="single" w:sz="4" w:color="DDE5EF"/>
            </w:tcBorders>
          </w:tcPr>
          <w:p>
            <w:pPr>
              <w:spacing w:after="0"/>
            </w:pPr>
            <w:r>
              <w:rPr>
                <w:sz w:val="22"/>
              </w:rPr>
              <w:t>BAE Systems plc — UK defence prime.</w:t>
            </w:r>
          </w:p>
        </w:tc>
      </w:tr>
      <w:tr>
        <w:tc>
          <w:tcPr>
            <w:tcW w:type="dxa" w:w="4986"/>
            <w:tcBorders>
              <w:top w:val="single" w:sz="4" w:color="DDE5EF"/>
              <w:left w:val="single" w:sz="4" w:color="DDE5EF"/>
              <w:bottom w:val="single" w:sz="4" w:color="DDE5EF"/>
              <w:right w:val="single" w:sz="4" w:color="DDE5EF"/>
            </w:tcBorders>
          </w:tcPr>
          <w:p>
            <w:pPr>
              <w:spacing w:after="0"/>
            </w:pPr>
            <w:r>
              <w:rPr>
                <w:sz w:val="22"/>
              </w:rPr>
              <w:t>Leonardo</w:t>
            </w:r>
          </w:p>
        </w:tc>
        <w:tc>
          <w:tcPr>
            <w:tcW w:type="dxa" w:w="4986"/>
            <w:tcBorders>
              <w:top w:val="single" w:sz="4" w:color="DDE5EF"/>
              <w:left w:val="single" w:sz="4" w:color="DDE5EF"/>
              <w:bottom w:val="single" w:sz="4" w:color="DDE5EF"/>
              <w:right w:val="single" w:sz="4" w:color="DDE5EF"/>
            </w:tcBorders>
          </w:tcPr>
          <w:p>
            <w:pPr>
              <w:spacing w:after="0"/>
            </w:pPr>
            <w:r>
              <w:rPr>
                <w:sz w:val="22"/>
              </w:rPr>
              <w:t>Leonardo S.p.A. — Italian aerospace and defence prime; GCAP partner.</w:t>
            </w:r>
          </w:p>
        </w:tc>
      </w:tr>
      <w:tr>
        <w:tc>
          <w:tcPr>
            <w:tcW w:type="dxa" w:w="4986"/>
            <w:tcBorders>
              <w:top w:val="single" w:sz="4" w:color="DDE5EF"/>
              <w:left w:val="single" w:sz="4" w:color="DDE5EF"/>
              <w:bottom w:val="single" w:sz="4" w:color="DDE5EF"/>
              <w:right w:val="single" w:sz="4" w:color="DDE5EF"/>
            </w:tcBorders>
          </w:tcPr>
          <w:p>
            <w:pPr>
              <w:spacing w:after="0"/>
            </w:pPr>
            <w:r>
              <w:rPr>
                <w:sz w:val="22"/>
              </w:rPr>
              <w:t>MBDA</w:t>
            </w:r>
          </w:p>
        </w:tc>
        <w:tc>
          <w:tcPr>
            <w:tcW w:type="dxa" w:w="4986"/>
            <w:tcBorders>
              <w:top w:val="single" w:sz="4" w:color="DDE5EF"/>
              <w:left w:val="single" w:sz="4" w:color="DDE5EF"/>
              <w:bottom w:val="single" w:sz="4" w:color="DDE5EF"/>
              <w:right w:val="single" w:sz="4" w:color="DDE5EF"/>
            </w:tcBorders>
          </w:tcPr>
          <w:p>
            <w:pPr>
              <w:spacing w:after="0"/>
            </w:pPr>
            <w:r>
              <w:rPr>
                <w:sz w:val="22"/>
              </w:rPr>
              <w:t>European missile-systems prime (Airbus / BAE / Leonardo joint venture).</w:t>
            </w:r>
          </w:p>
        </w:tc>
      </w:tr>
      <w:tr>
        <w:tc>
          <w:tcPr>
            <w:tcW w:type="dxa" w:w="4986"/>
            <w:tcBorders>
              <w:top w:val="single" w:sz="4" w:color="DDE5EF"/>
              <w:left w:val="single" w:sz="4" w:color="DDE5EF"/>
              <w:bottom w:val="single" w:sz="4" w:color="DDE5EF"/>
              <w:right w:val="single" w:sz="4" w:color="DDE5EF"/>
            </w:tcBorders>
          </w:tcPr>
          <w:p>
            <w:pPr>
              <w:spacing w:after="0"/>
            </w:pPr>
            <w:r>
              <w:rPr>
                <w:sz w:val="22"/>
              </w:rPr>
              <w:t>Helsing.AI</w:t>
            </w:r>
          </w:p>
        </w:tc>
        <w:tc>
          <w:tcPr>
            <w:tcW w:type="dxa" w:w="4986"/>
            <w:tcBorders>
              <w:top w:val="single" w:sz="4" w:color="DDE5EF"/>
              <w:left w:val="single" w:sz="4" w:color="DDE5EF"/>
              <w:bottom w:val="single" w:sz="4" w:color="DDE5EF"/>
              <w:right w:val="single" w:sz="4" w:color="DDE5EF"/>
            </w:tcBorders>
          </w:tcPr>
          <w:p>
            <w:pPr>
              <w:spacing w:after="0"/>
            </w:pPr>
            <w:r>
              <w:rPr>
                <w:sz w:val="22"/>
              </w:rPr>
              <w:t>Helsing GmbH — Munich-based defence-AI start-up founded in 2021, heavily venture-funded. Software-first culture; rapid contract wins in the Bundeswehr ecosystem and FCAS-adjacent ambition. Considered the most credible non-US new entrant that could contest SPARTA's positioning on the German side.</w:t>
            </w:r>
          </w:p>
        </w:tc>
      </w:tr>
      <w:tr>
        <w:tc>
          <w:tcPr>
            <w:tcW w:type="dxa" w:w="4986"/>
            <w:tcBorders>
              <w:top w:val="single" w:sz="4" w:color="DDE5EF"/>
              <w:left w:val="single" w:sz="4" w:color="DDE5EF"/>
              <w:bottom w:val="single" w:sz="4" w:color="DDE5EF"/>
              <w:right w:val="single" w:sz="4" w:color="DDE5EF"/>
            </w:tcBorders>
          </w:tcPr>
          <w:p>
            <w:pPr>
              <w:spacing w:after="0"/>
            </w:pPr>
            <w:r>
              <w:rPr>
                <w:sz w:val="22"/>
              </w:rPr>
              <w:t>BWI</w:t>
            </w:r>
          </w:p>
        </w:tc>
        <w:tc>
          <w:tcPr>
            <w:tcW w:type="dxa" w:w="4986"/>
            <w:tcBorders>
              <w:top w:val="single" w:sz="4" w:color="DDE5EF"/>
              <w:left w:val="single" w:sz="4" w:color="DDE5EF"/>
              <w:bottom w:val="single" w:sz="4" w:color="DDE5EF"/>
              <w:right w:val="single" w:sz="4" w:color="DDE5EF"/>
            </w:tcBorders>
          </w:tcPr>
          <w:p>
            <w:pPr>
              <w:spacing w:after="0"/>
            </w:pPr>
            <w:r>
              <w:rPr>
                <w:sz w:val="22"/>
              </w:rPr>
              <w:t>BWI GmbH — Bundeswehr-owned IT services company; ~7,000 employees; responsible for IT modernisation of the German armed forces. Functions as a gatekeeper / influencer on Bundeswehr procurement rather than as a direct product competitor.</w:t>
            </w:r>
          </w:p>
        </w:tc>
      </w:tr>
      <w:tr>
        <w:tc>
          <w:tcPr>
            <w:tcW w:type="dxa" w:w="4986"/>
            <w:tcBorders>
              <w:top w:val="single" w:sz="4" w:color="DDE5EF"/>
              <w:left w:val="single" w:sz="4" w:color="DDE5EF"/>
              <w:bottom w:val="single" w:sz="4" w:color="DDE5EF"/>
              <w:right w:val="single" w:sz="4" w:color="DDE5EF"/>
            </w:tcBorders>
          </w:tcPr>
          <w:p>
            <w:pPr>
              <w:spacing w:after="0"/>
            </w:pPr>
            <w:r>
              <w:rPr>
                <w:sz w:val="22"/>
              </w:rPr>
              <w:t>Skynet</w:t>
            </w:r>
          </w:p>
        </w:tc>
        <w:tc>
          <w:tcPr>
            <w:tcW w:type="dxa" w:w="4986"/>
            <w:tcBorders>
              <w:top w:val="single" w:sz="4" w:color="DDE5EF"/>
              <w:left w:val="single" w:sz="4" w:color="DDE5EF"/>
              <w:bottom w:val="single" w:sz="4" w:color="DDE5EF"/>
              <w:right w:val="single" w:sz="4" w:color="DDE5EF"/>
            </w:tcBorders>
          </w:tcPr>
          <w:p>
            <w:pPr>
              <w:spacing w:after="0"/>
            </w:pPr>
            <w:r>
              <w:rPr>
                <w:sz w:val="22"/>
              </w:rPr>
              <w:t>Airbus DS UK military-communications satellite programme.</w:t>
            </w:r>
          </w:p>
        </w:tc>
      </w:tr>
      <w:tr>
        <w:tc>
          <w:tcPr>
            <w:tcW w:type="dxa" w:w="4986"/>
            <w:tcBorders>
              <w:top w:val="single" w:sz="4" w:color="DDE5EF"/>
              <w:left w:val="single" w:sz="4" w:color="DDE5EF"/>
              <w:bottom w:val="single" w:sz="4" w:color="DDE5EF"/>
              <w:right w:val="single" w:sz="4" w:color="DDE5EF"/>
            </w:tcBorders>
          </w:tcPr>
          <w:p>
            <w:pPr>
              <w:spacing w:after="0"/>
            </w:pPr>
            <w:r>
              <w:rPr>
                <w:sz w:val="22"/>
              </w:rPr>
              <w:t>Network for the Sky</w:t>
            </w:r>
          </w:p>
        </w:tc>
        <w:tc>
          <w:tcPr>
            <w:tcW w:type="dxa" w:w="4986"/>
            <w:tcBorders>
              <w:top w:val="single" w:sz="4" w:color="DDE5EF"/>
              <w:left w:val="single" w:sz="4" w:color="DDE5EF"/>
              <w:bottom w:val="single" w:sz="4" w:color="DDE5EF"/>
              <w:right w:val="single" w:sz="4" w:color="DDE5EF"/>
            </w:tcBorders>
          </w:tcPr>
          <w:p>
            <w:pPr>
              <w:spacing w:after="0"/>
            </w:pPr>
            <w:r>
              <w:rPr>
                <w:sz w:val="22"/>
              </w:rPr>
              <w:t>Airbus DS aerial-connectivity programme.</w:t>
            </w:r>
          </w:p>
        </w:tc>
      </w:tr>
    </w:tbl>
    <w:p>
      <w:pPr>
        <w:spacing w:after="40"/>
      </w:pPr>
    </w:p>
    <w:p>
      <w:pPr>
        <w:pStyle w:val="Heading2"/>
      </w:pPr>
      <w:r>
        <w:t>9.3 Technical, engineering and standards acronyms</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Term</w:t>
            </w:r>
          </w:p>
        </w:tc>
        <w:tc>
          <w:tcPr>
            <w:tcW w:type="dxa" w:w="4986"/>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Definition</w:t>
            </w:r>
          </w:p>
        </w:tc>
      </w:tr>
      <w:tr>
        <w:tc>
          <w:tcPr>
            <w:tcW w:type="dxa" w:w="4986"/>
            <w:tcBorders>
              <w:top w:val="single" w:sz="4" w:color="DDE5EF"/>
              <w:left w:val="single" w:sz="4" w:color="DDE5EF"/>
              <w:bottom w:val="single" w:sz="4" w:color="DDE5EF"/>
              <w:right w:val="single" w:sz="4" w:color="DDE5EF"/>
            </w:tcBorders>
          </w:tcPr>
          <w:p>
            <w:pPr>
              <w:spacing w:after="0"/>
            </w:pPr>
            <w:r>
              <w:rPr>
                <w:sz w:val="22"/>
              </w:rPr>
              <w:t>CDR</w:t>
            </w:r>
          </w:p>
        </w:tc>
        <w:tc>
          <w:tcPr>
            <w:tcW w:type="dxa" w:w="4986"/>
            <w:tcBorders>
              <w:top w:val="single" w:sz="4" w:color="DDE5EF"/>
              <w:left w:val="single" w:sz="4" w:color="DDE5EF"/>
              <w:bottom w:val="single" w:sz="4" w:color="DDE5EF"/>
              <w:right w:val="single" w:sz="4" w:color="DDE5EF"/>
            </w:tcBorders>
          </w:tcPr>
          <w:p>
            <w:pPr>
              <w:spacing w:after="0"/>
            </w:pPr>
            <w:r>
              <w:rPr>
                <w:sz w:val="22"/>
              </w:rPr>
              <w:t>Critical Design Review — formal review-board gate at the close of the system-definition phase.</w:t>
            </w:r>
          </w:p>
        </w:tc>
      </w:tr>
      <w:tr>
        <w:tc>
          <w:tcPr>
            <w:tcW w:type="dxa" w:w="4986"/>
            <w:tcBorders>
              <w:top w:val="single" w:sz="4" w:color="DDE5EF"/>
              <w:left w:val="single" w:sz="4" w:color="DDE5EF"/>
              <w:bottom w:val="single" w:sz="4" w:color="DDE5EF"/>
              <w:right w:val="single" w:sz="4" w:color="DDE5EF"/>
            </w:tcBorders>
          </w:tcPr>
          <w:p>
            <w:pPr>
              <w:spacing w:after="0"/>
            </w:pPr>
            <w:r>
              <w:rPr>
                <w:sz w:val="22"/>
              </w:rPr>
              <w:t>PDR</w:t>
            </w:r>
          </w:p>
        </w:tc>
        <w:tc>
          <w:tcPr>
            <w:tcW w:type="dxa" w:w="4986"/>
            <w:tcBorders>
              <w:top w:val="single" w:sz="4" w:color="DDE5EF"/>
              <w:left w:val="single" w:sz="4" w:color="DDE5EF"/>
              <w:bottom w:val="single" w:sz="4" w:color="DDE5EF"/>
              <w:right w:val="single" w:sz="4" w:color="DDE5EF"/>
            </w:tcBorders>
          </w:tcPr>
          <w:p>
            <w:pPr>
              <w:spacing w:after="0"/>
            </w:pPr>
            <w:r>
              <w:rPr>
                <w:sz w:val="22"/>
              </w:rPr>
              <w:t>Preliminary Design Review — review-board gate preceding CDR.</w:t>
            </w:r>
          </w:p>
        </w:tc>
      </w:tr>
      <w:tr>
        <w:tc>
          <w:tcPr>
            <w:tcW w:type="dxa" w:w="4986"/>
            <w:tcBorders>
              <w:top w:val="single" w:sz="4" w:color="DDE5EF"/>
              <w:left w:val="single" w:sz="4" w:color="DDE5EF"/>
              <w:bottom w:val="single" w:sz="4" w:color="DDE5EF"/>
              <w:right w:val="single" w:sz="4" w:color="DDE5EF"/>
            </w:tcBorders>
          </w:tcPr>
          <w:p>
            <w:pPr>
              <w:spacing w:after="0"/>
            </w:pPr>
            <w:r>
              <w:rPr>
                <w:sz w:val="22"/>
              </w:rPr>
              <w:t>SRR / SDR</w:t>
            </w:r>
          </w:p>
        </w:tc>
        <w:tc>
          <w:tcPr>
            <w:tcW w:type="dxa" w:w="4986"/>
            <w:tcBorders>
              <w:top w:val="single" w:sz="4" w:color="DDE5EF"/>
              <w:left w:val="single" w:sz="4" w:color="DDE5EF"/>
              <w:bottom w:val="single" w:sz="4" w:color="DDE5EF"/>
              <w:right w:val="single" w:sz="4" w:color="DDE5EF"/>
            </w:tcBorders>
          </w:tcPr>
          <w:p>
            <w:pPr>
              <w:spacing w:after="0"/>
            </w:pPr>
            <w:r>
              <w:rPr>
                <w:sz w:val="22"/>
              </w:rPr>
              <w:t>System Requirements Review / System Design Review — review-board gates preceding PDR.</w:t>
            </w:r>
          </w:p>
        </w:tc>
      </w:tr>
      <w:tr>
        <w:tc>
          <w:tcPr>
            <w:tcW w:type="dxa" w:w="4986"/>
            <w:tcBorders>
              <w:top w:val="single" w:sz="4" w:color="DDE5EF"/>
              <w:left w:val="single" w:sz="4" w:color="DDE5EF"/>
              <w:bottom w:val="single" w:sz="4" w:color="DDE5EF"/>
              <w:right w:val="single" w:sz="4" w:color="DDE5EF"/>
            </w:tcBorders>
          </w:tcPr>
          <w:p>
            <w:pPr>
              <w:spacing w:after="0"/>
            </w:pPr>
            <w:r>
              <w:rPr>
                <w:sz w:val="22"/>
              </w:rPr>
              <w:t>FBS</w:t>
            </w:r>
          </w:p>
        </w:tc>
        <w:tc>
          <w:tcPr>
            <w:tcW w:type="dxa" w:w="4986"/>
            <w:tcBorders>
              <w:top w:val="single" w:sz="4" w:color="DDE5EF"/>
              <w:left w:val="single" w:sz="4" w:color="DDE5EF"/>
              <w:bottom w:val="single" w:sz="4" w:color="DDE5EF"/>
              <w:right w:val="single" w:sz="4" w:color="DDE5EF"/>
            </w:tcBorders>
          </w:tcPr>
          <w:p>
            <w:pPr>
              <w:spacing w:after="0"/>
            </w:pPr>
            <w:r>
              <w:rPr>
                <w:sz w:val="22"/>
              </w:rPr>
              <w:t>Functional Breakdown Structure — hierarchical decomposition of the system's functions (F1..F10 for SPARTA).</w:t>
            </w:r>
          </w:p>
        </w:tc>
      </w:tr>
      <w:tr>
        <w:tc>
          <w:tcPr>
            <w:tcW w:type="dxa" w:w="4986"/>
            <w:tcBorders>
              <w:top w:val="single" w:sz="4" w:color="DDE5EF"/>
              <w:left w:val="single" w:sz="4" w:color="DDE5EF"/>
              <w:bottom w:val="single" w:sz="4" w:color="DDE5EF"/>
              <w:right w:val="single" w:sz="4" w:color="DDE5EF"/>
            </w:tcBorders>
          </w:tcPr>
          <w:p>
            <w:pPr>
              <w:spacing w:after="0"/>
            </w:pPr>
            <w:r>
              <w:rPr>
                <w:sz w:val="22"/>
              </w:rPr>
              <w:t>PBS</w:t>
            </w:r>
          </w:p>
        </w:tc>
        <w:tc>
          <w:tcPr>
            <w:tcW w:type="dxa" w:w="4986"/>
            <w:tcBorders>
              <w:top w:val="single" w:sz="4" w:color="DDE5EF"/>
              <w:left w:val="single" w:sz="4" w:color="DDE5EF"/>
              <w:bottom w:val="single" w:sz="4" w:color="DDE5EF"/>
              <w:right w:val="single" w:sz="4" w:color="DDE5EF"/>
            </w:tcBorders>
          </w:tcPr>
          <w:p>
            <w:pPr>
              <w:spacing w:after="0"/>
            </w:pPr>
            <w:r>
              <w:rPr>
                <w:sz w:val="22"/>
              </w:rPr>
              <w:t>Physical Breakdown Structure — hierarchical decomposition of the system's physical components (seven canonical components for SPARTA).</w:t>
            </w:r>
          </w:p>
        </w:tc>
      </w:tr>
      <w:tr>
        <w:tc>
          <w:tcPr>
            <w:tcW w:type="dxa" w:w="4986"/>
            <w:tcBorders>
              <w:top w:val="single" w:sz="4" w:color="DDE5EF"/>
              <w:left w:val="single" w:sz="4" w:color="DDE5EF"/>
              <w:bottom w:val="single" w:sz="4" w:color="DDE5EF"/>
              <w:right w:val="single" w:sz="4" w:color="DDE5EF"/>
            </w:tcBorders>
          </w:tcPr>
          <w:p>
            <w:pPr>
              <w:spacing w:after="0"/>
            </w:pPr>
            <w:r>
              <w:rPr>
                <w:sz w:val="22"/>
              </w:rPr>
              <w:t>FCS</w:t>
            </w:r>
          </w:p>
        </w:tc>
        <w:tc>
          <w:tcPr>
            <w:tcW w:type="dxa" w:w="4986"/>
            <w:tcBorders>
              <w:top w:val="single" w:sz="4" w:color="DDE5EF"/>
              <w:left w:val="single" w:sz="4" w:color="DDE5EF"/>
              <w:bottom w:val="single" w:sz="4" w:color="DDE5EF"/>
              <w:right w:val="single" w:sz="4" w:color="DDE5EF"/>
            </w:tcBorders>
          </w:tcPr>
          <w:p>
            <w:pPr>
              <w:spacing w:after="0"/>
            </w:pPr>
            <w:r>
              <w:rPr>
                <w:sz w:val="22"/>
              </w:rPr>
              <w:t>Flight Control System — see §9.1.</w:t>
            </w:r>
          </w:p>
        </w:tc>
      </w:tr>
      <w:tr>
        <w:tc>
          <w:tcPr>
            <w:tcW w:type="dxa" w:w="4986"/>
            <w:tcBorders>
              <w:top w:val="single" w:sz="4" w:color="DDE5EF"/>
              <w:left w:val="single" w:sz="4" w:color="DDE5EF"/>
              <w:bottom w:val="single" w:sz="4" w:color="DDE5EF"/>
              <w:right w:val="single" w:sz="4" w:color="DDE5EF"/>
            </w:tcBorders>
          </w:tcPr>
          <w:p>
            <w:pPr>
              <w:spacing w:after="0"/>
            </w:pPr>
            <w:r>
              <w:rPr>
                <w:sz w:val="22"/>
              </w:rPr>
              <w:t>ICD</w:t>
            </w:r>
          </w:p>
        </w:tc>
        <w:tc>
          <w:tcPr>
            <w:tcW w:type="dxa" w:w="4986"/>
            <w:tcBorders>
              <w:top w:val="single" w:sz="4" w:color="DDE5EF"/>
              <w:left w:val="single" w:sz="4" w:color="DDE5EF"/>
              <w:bottom w:val="single" w:sz="4" w:color="DDE5EF"/>
              <w:right w:val="single" w:sz="4" w:color="DDE5EF"/>
            </w:tcBorders>
          </w:tcPr>
          <w:p>
            <w:pPr>
              <w:spacing w:after="0"/>
            </w:pPr>
            <w:r>
              <w:rPr>
                <w:sz w:val="22"/>
              </w:rPr>
              <w:t>Interface Control Document.</w:t>
            </w:r>
          </w:p>
        </w:tc>
      </w:tr>
      <w:tr>
        <w:tc>
          <w:tcPr>
            <w:tcW w:type="dxa" w:w="4986"/>
            <w:tcBorders>
              <w:top w:val="single" w:sz="4" w:color="DDE5EF"/>
              <w:left w:val="single" w:sz="4" w:color="DDE5EF"/>
              <w:bottom w:val="single" w:sz="4" w:color="DDE5EF"/>
              <w:right w:val="single" w:sz="4" w:color="DDE5EF"/>
            </w:tcBorders>
          </w:tcPr>
          <w:p>
            <w:pPr>
              <w:spacing w:after="0"/>
            </w:pPr>
            <w:r>
              <w:rPr>
                <w:sz w:val="22"/>
              </w:rPr>
              <w:t>V&amp;V</w:t>
            </w:r>
          </w:p>
        </w:tc>
        <w:tc>
          <w:tcPr>
            <w:tcW w:type="dxa" w:w="4986"/>
            <w:tcBorders>
              <w:top w:val="single" w:sz="4" w:color="DDE5EF"/>
              <w:left w:val="single" w:sz="4" w:color="DDE5EF"/>
              <w:bottom w:val="single" w:sz="4" w:color="DDE5EF"/>
              <w:right w:val="single" w:sz="4" w:color="DDE5EF"/>
            </w:tcBorders>
          </w:tcPr>
          <w:p>
            <w:pPr>
              <w:spacing w:after="0"/>
            </w:pPr>
            <w:r>
              <w:rPr>
                <w:sz w:val="22"/>
              </w:rPr>
              <w:t>Verification &amp; Validation — the disciplines that demonstrate the system satisfies its requirements (verification) and meets stakeholder needs (validation).</w:t>
            </w:r>
          </w:p>
        </w:tc>
      </w:tr>
      <w:tr>
        <w:tc>
          <w:tcPr>
            <w:tcW w:type="dxa" w:w="4986"/>
            <w:tcBorders>
              <w:top w:val="single" w:sz="4" w:color="DDE5EF"/>
              <w:left w:val="single" w:sz="4" w:color="DDE5EF"/>
              <w:bottom w:val="single" w:sz="4" w:color="DDE5EF"/>
              <w:right w:val="single" w:sz="4" w:color="DDE5EF"/>
            </w:tcBorders>
          </w:tcPr>
          <w:p>
            <w:pPr>
              <w:spacing w:after="0"/>
            </w:pPr>
            <w:r>
              <w:rPr>
                <w:sz w:val="22"/>
              </w:rPr>
              <w:t>HIL / SIL</w:t>
            </w:r>
          </w:p>
        </w:tc>
        <w:tc>
          <w:tcPr>
            <w:tcW w:type="dxa" w:w="4986"/>
            <w:tcBorders>
              <w:top w:val="single" w:sz="4" w:color="DDE5EF"/>
              <w:left w:val="single" w:sz="4" w:color="DDE5EF"/>
              <w:bottom w:val="single" w:sz="4" w:color="DDE5EF"/>
              <w:right w:val="single" w:sz="4" w:color="DDE5EF"/>
            </w:tcBorders>
          </w:tcPr>
          <w:p>
            <w:pPr>
              <w:spacing w:after="0"/>
            </w:pPr>
            <w:r>
              <w:rPr>
                <w:sz w:val="22"/>
              </w:rPr>
              <w:t>Hardware-in-the-Loop / Software-in-the-Loop — test environments combining real hardware (HIL) or pure software (SIL) with simulated stimuli.</w:t>
            </w:r>
          </w:p>
        </w:tc>
      </w:tr>
      <w:tr>
        <w:tc>
          <w:tcPr>
            <w:tcW w:type="dxa" w:w="4986"/>
            <w:tcBorders>
              <w:top w:val="single" w:sz="4" w:color="DDE5EF"/>
              <w:left w:val="single" w:sz="4" w:color="DDE5EF"/>
              <w:bottom w:val="single" w:sz="4" w:color="DDE5EF"/>
              <w:right w:val="single" w:sz="4" w:color="DDE5EF"/>
            </w:tcBorders>
          </w:tcPr>
          <w:p>
            <w:pPr>
              <w:spacing w:after="0"/>
            </w:pPr>
            <w:r>
              <w:rPr>
                <w:sz w:val="22"/>
              </w:rPr>
              <w:t>NETEM</w:t>
            </w:r>
          </w:p>
        </w:tc>
        <w:tc>
          <w:tcPr>
            <w:tcW w:type="dxa" w:w="4986"/>
            <w:tcBorders>
              <w:top w:val="single" w:sz="4" w:color="DDE5EF"/>
              <w:left w:val="single" w:sz="4" w:color="DDE5EF"/>
              <w:bottom w:val="single" w:sz="4" w:color="DDE5EF"/>
              <w:right w:val="single" w:sz="4" w:color="DDE5EF"/>
            </w:tcBorders>
          </w:tcPr>
          <w:p>
            <w:pPr>
              <w:spacing w:after="0"/>
            </w:pPr>
            <w:r>
              <w:rPr>
                <w:sz w:val="22"/>
              </w:rPr>
              <w:t xml:space="preserve">Network Emulator (Linux </w:t>
            </w:r>
            <w:r>
              <w:rPr>
                <w:rFonts w:ascii="Consolas" w:hAnsi="Consolas"/>
                <w:sz w:val="20"/>
                <w:shd w:val="clear" w:color="auto" w:fill="F0F4FA"/>
              </w:rPr>
              <w:t>tc-netem</w:t>
            </w:r>
            <w:r>
              <w:rPr>
                <w:sz w:val="22"/>
              </w:rPr>
              <w:t xml:space="preserve"> tool family) — used to inject DDIL link conditions in tests.</w:t>
            </w:r>
          </w:p>
        </w:tc>
      </w:tr>
      <w:tr>
        <w:tc>
          <w:tcPr>
            <w:tcW w:type="dxa" w:w="4986"/>
            <w:tcBorders>
              <w:top w:val="single" w:sz="4" w:color="DDE5EF"/>
              <w:left w:val="single" w:sz="4" w:color="DDE5EF"/>
              <w:bottom w:val="single" w:sz="4" w:color="DDE5EF"/>
              <w:right w:val="single" w:sz="4" w:color="DDE5EF"/>
            </w:tcBorders>
          </w:tcPr>
          <w:p>
            <w:pPr>
              <w:spacing w:after="0"/>
            </w:pPr>
            <w:r>
              <w:rPr>
                <w:sz w:val="22"/>
              </w:rPr>
              <w:t>R&amp;T</w:t>
            </w:r>
          </w:p>
        </w:tc>
        <w:tc>
          <w:tcPr>
            <w:tcW w:type="dxa" w:w="4986"/>
            <w:tcBorders>
              <w:top w:val="single" w:sz="4" w:color="DDE5EF"/>
              <w:left w:val="single" w:sz="4" w:color="DDE5EF"/>
              <w:bottom w:val="single" w:sz="4" w:color="DDE5EF"/>
              <w:right w:val="single" w:sz="4" w:color="DDE5EF"/>
            </w:tcBorders>
          </w:tcPr>
          <w:p>
            <w:pPr>
              <w:spacing w:after="0"/>
            </w:pPr>
            <w:r>
              <w:rPr>
                <w:sz w:val="22"/>
              </w:rPr>
              <w:t>Research &amp; Technology — the FCAS Phase 1B contract category.</w:t>
            </w:r>
          </w:p>
        </w:tc>
      </w:tr>
      <w:tr>
        <w:tc>
          <w:tcPr>
            <w:tcW w:type="dxa" w:w="4986"/>
            <w:tcBorders>
              <w:top w:val="single" w:sz="4" w:color="DDE5EF"/>
              <w:left w:val="single" w:sz="4" w:color="DDE5EF"/>
              <w:bottom w:val="single" w:sz="4" w:color="DDE5EF"/>
              <w:right w:val="single" w:sz="4" w:color="DDE5EF"/>
            </w:tcBorders>
          </w:tcPr>
          <w:p>
            <w:pPr>
              <w:spacing w:after="0"/>
            </w:pPr>
            <w:r>
              <w:rPr>
                <w:sz w:val="22"/>
              </w:rPr>
              <w:t>SoS</w:t>
            </w:r>
          </w:p>
        </w:tc>
        <w:tc>
          <w:tcPr>
            <w:tcW w:type="dxa" w:w="4986"/>
            <w:tcBorders>
              <w:top w:val="single" w:sz="4" w:color="DDE5EF"/>
              <w:left w:val="single" w:sz="4" w:color="DDE5EF"/>
              <w:bottom w:val="single" w:sz="4" w:color="DDE5EF"/>
              <w:right w:val="single" w:sz="4" w:color="DDE5EF"/>
            </w:tcBorders>
          </w:tcPr>
          <w:p>
            <w:pPr>
              <w:spacing w:after="0"/>
            </w:pPr>
            <w:r>
              <w:rPr>
                <w:sz w:val="22"/>
              </w:rPr>
              <w:t>System of Systems — typical mission-system framing for combat-cloud architectures.</w:t>
            </w:r>
          </w:p>
        </w:tc>
      </w:tr>
      <w:tr>
        <w:tc>
          <w:tcPr>
            <w:tcW w:type="dxa" w:w="4986"/>
            <w:tcBorders>
              <w:top w:val="single" w:sz="4" w:color="DDE5EF"/>
              <w:left w:val="single" w:sz="4" w:color="DDE5EF"/>
              <w:bottom w:val="single" w:sz="4" w:color="DDE5EF"/>
              <w:right w:val="single" w:sz="4" w:color="DDE5EF"/>
            </w:tcBorders>
          </w:tcPr>
          <w:p>
            <w:pPr>
              <w:spacing w:after="0"/>
            </w:pPr>
            <w:r>
              <w:rPr>
                <w:sz w:val="22"/>
              </w:rPr>
              <w:t>IOC</w:t>
            </w:r>
          </w:p>
        </w:tc>
        <w:tc>
          <w:tcPr>
            <w:tcW w:type="dxa" w:w="4986"/>
            <w:tcBorders>
              <w:top w:val="single" w:sz="4" w:color="DDE5EF"/>
              <w:left w:val="single" w:sz="4" w:color="DDE5EF"/>
              <w:bottom w:val="single" w:sz="4" w:color="DDE5EF"/>
              <w:right w:val="single" w:sz="4" w:color="DDE5EF"/>
            </w:tcBorders>
          </w:tcPr>
          <w:p>
            <w:pPr>
              <w:spacing w:after="0"/>
            </w:pPr>
            <w:r>
              <w:rPr>
                <w:sz w:val="22"/>
              </w:rPr>
              <w:t>Initial Operational Capability.</w:t>
            </w:r>
          </w:p>
        </w:tc>
      </w:tr>
      <w:tr>
        <w:tc>
          <w:tcPr>
            <w:tcW w:type="dxa" w:w="4986"/>
            <w:tcBorders>
              <w:top w:val="single" w:sz="4" w:color="DDE5EF"/>
              <w:left w:val="single" w:sz="4" w:color="DDE5EF"/>
              <w:bottom w:val="single" w:sz="4" w:color="DDE5EF"/>
              <w:right w:val="single" w:sz="4" w:color="DDE5EF"/>
            </w:tcBorders>
          </w:tcPr>
          <w:p>
            <w:pPr>
              <w:spacing w:after="0"/>
            </w:pPr>
            <w:r>
              <w:rPr>
                <w:sz w:val="22"/>
              </w:rPr>
              <w:t>EAL</w:t>
            </w:r>
          </w:p>
        </w:tc>
        <w:tc>
          <w:tcPr>
            <w:tcW w:type="dxa" w:w="4986"/>
            <w:tcBorders>
              <w:top w:val="single" w:sz="4" w:color="DDE5EF"/>
              <w:left w:val="single" w:sz="4" w:color="DDE5EF"/>
              <w:bottom w:val="single" w:sz="4" w:color="DDE5EF"/>
              <w:right w:val="single" w:sz="4" w:color="DDE5EF"/>
            </w:tcBorders>
          </w:tcPr>
          <w:p>
            <w:pPr>
              <w:spacing w:after="0"/>
            </w:pPr>
            <w:r>
              <w:rPr>
                <w:sz w:val="22"/>
              </w:rPr>
              <w:t>Evaluation Assurance Level (Common Criteria) — SPARTA targets EAL-4+.</w:t>
            </w:r>
          </w:p>
        </w:tc>
      </w:tr>
      <w:tr>
        <w:tc>
          <w:tcPr>
            <w:tcW w:type="dxa" w:w="4986"/>
            <w:tcBorders>
              <w:top w:val="single" w:sz="4" w:color="DDE5EF"/>
              <w:left w:val="single" w:sz="4" w:color="DDE5EF"/>
              <w:bottom w:val="single" w:sz="4" w:color="DDE5EF"/>
              <w:right w:val="single" w:sz="4" w:color="DDE5EF"/>
            </w:tcBorders>
          </w:tcPr>
          <w:p>
            <w:pPr>
              <w:spacing w:after="0"/>
            </w:pPr>
            <w:r>
              <w:rPr>
                <w:sz w:val="22"/>
              </w:rPr>
              <w:t>SIEM</w:t>
            </w:r>
          </w:p>
        </w:tc>
        <w:tc>
          <w:tcPr>
            <w:tcW w:type="dxa" w:w="4986"/>
            <w:tcBorders>
              <w:top w:val="single" w:sz="4" w:color="DDE5EF"/>
              <w:left w:val="single" w:sz="4" w:color="DDE5EF"/>
              <w:bottom w:val="single" w:sz="4" w:color="DDE5EF"/>
              <w:right w:val="single" w:sz="4" w:color="DDE5EF"/>
            </w:tcBorders>
          </w:tcPr>
          <w:p>
            <w:pPr>
              <w:spacing w:after="0"/>
            </w:pPr>
            <w:r>
              <w:rPr>
                <w:sz w:val="22"/>
              </w:rPr>
              <w:t>Security Information and Event Management — the enterprise SOC tooling category.</w:t>
            </w:r>
          </w:p>
        </w:tc>
      </w:tr>
      <w:tr>
        <w:tc>
          <w:tcPr>
            <w:tcW w:type="dxa" w:w="4986"/>
            <w:tcBorders>
              <w:top w:val="single" w:sz="4" w:color="DDE5EF"/>
              <w:left w:val="single" w:sz="4" w:color="DDE5EF"/>
              <w:bottom w:val="single" w:sz="4" w:color="DDE5EF"/>
              <w:right w:val="single" w:sz="4" w:color="DDE5EF"/>
            </w:tcBorders>
          </w:tcPr>
          <w:p>
            <w:pPr>
              <w:spacing w:after="0"/>
            </w:pPr>
            <w:r>
              <w:rPr>
                <w:sz w:val="22"/>
              </w:rPr>
              <w:t>SOC</w:t>
            </w:r>
          </w:p>
        </w:tc>
        <w:tc>
          <w:tcPr>
            <w:tcW w:type="dxa" w:w="4986"/>
            <w:tcBorders>
              <w:top w:val="single" w:sz="4" w:color="DDE5EF"/>
              <w:left w:val="single" w:sz="4" w:color="DDE5EF"/>
              <w:bottom w:val="single" w:sz="4" w:color="DDE5EF"/>
              <w:right w:val="single" w:sz="4" w:color="DDE5EF"/>
            </w:tcBorders>
          </w:tcPr>
          <w:p>
            <w:pPr>
              <w:spacing w:after="0"/>
            </w:pPr>
            <w:r>
              <w:rPr>
                <w:sz w:val="22"/>
              </w:rPr>
              <w:t>Security Operations Centre.</w:t>
            </w:r>
          </w:p>
        </w:tc>
      </w:tr>
      <w:tr>
        <w:tc>
          <w:tcPr>
            <w:tcW w:type="dxa" w:w="4986"/>
            <w:tcBorders>
              <w:top w:val="single" w:sz="4" w:color="DDE5EF"/>
              <w:left w:val="single" w:sz="4" w:color="DDE5EF"/>
              <w:bottom w:val="single" w:sz="4" w:color="DDE5EF"/>
              <w:right w:val="single" w:sz="4" w:color="DDE5EF"/>
            </w:tcBorders>
          </w:tcPr>
          <w:p>
            <w:pPr>
              <w:spacing w:after="0"/>
            </w:pPr>
            <w:r>
              <w:rPr>
                <w:sz w:val="22"/>
              </w:rPr>
              <w:t>IOC (in detection context)</w:t>
            </w:r>
          </w:p>
        </w:tc>
        <w:tc>
          <w:tcPr>
            <w:tcW w:type="dxa" w:w="4986"/>
            <w:tcBorders>
              <w:top w:val="single" w:sz="4" w:color="DDE5EF"/>
              <w:left w:val="single" w:sz="4" w:color="DDE5EF"/>
              <w:bottom w:val="single" w:sz="4" w:color="DDE5EF"/>
              <w:right w:val="single" w:sz="4" w:color="DDE5EF"/>
            </w:tcBorders>
          </w:tcPr>
          <w:p>
            <w:pPr>
              <w:spacing w:after="0"/>
            </w:pPr>
            <w:r>
              <w:rPr>
                <w:sz w:val="22"/>
              </w:rPr>
              <w:t>Indicator of Compromise — atomic evidence used by signature-based detection.</w:t>
            </w:r>
          </w:p>
        </w:tc>
      </w:tr>
      <w:tr>
        <w:tc>
          <w:tcPr>
            <w:tcW w:type="dxa" w:w="4986"/>
            <w:tcBorders>
              <w:top w:val="single" w:sz="4" w:color="DDE5EF"/>
              <w:left w:val="single" w:sz="4" w:color="DDE5EF"/>
              <w:bottom w:val="single" w:sz="4" w:color="DDE5EF"/>
              <w:right w:val="single" w:sz="4" w:color="DDE5EF"/>
            </w:tcBorders>
          </w:tcPr>
          <w:p>
            <w:pPr>
              <w:spacing w:after="0"/>
            </w:pPr>
            <w:r>
              <w:rPr>
                <w:sz w:val="22"/>
              </w:rPr>
              <w:t>PKI</w:t>
            </w:r>
          </w:p>
        </w:tc>
        <w:tc>
          <w:tcPr>
            <w:tcW w:type="dxa" w:w="4986"/>
            <w:tcBorders>
              <w:top w:val="single" w:sz="4" w:color="DDE5EF"/>
              <w:left w:val="single" w:sz="4" w:color="DDE5EF"/>
              <w:bottom w:val="single" w:sz="4" w:color="DDE5EF"/>
              <w:right w:val="single" w:sz="4" w:color="DDE5EF"/>
            </w:tcBorders>
          </w:tcPr>
          <w:p>
            <w:pPr>
              <w:spacing w:after="0"/>
            </w:pPr>
            <w:r>
              <w:rPr>
                <w:sz w:val="22"/>
              </w:rPr>
              <w:t>Public-Key Infrastructure — the cryptographic identity and certificate management framework.</w:t>
            </w:r>
          </w:p>
        </w:tc>
      </w:tr>
      <w:tr>
        <w:tc>
          <w:tcPr>
            <w:tcW w:type="dxa" w:w="4986"/>
            <w:tcBorders>
              <w:top w:val="single" w:sz="4" w:color="DDE5EF"/>
              <w:left w:val="single" w:sz="4" w:color="DDE5EF"/>
              <w:bottom w:val="single" w:sz="4" w:color="DDE5EF"/>
              <w:right w:val="single" w:sz="4" w:color="DDE5EF"/>
            </w:tcBorders>
          </w:tcPr>
          <w:p>
            <w:pPr>
              <w:spacing w:after="0"/>
            </w:pPr>
            <w:r>
              <w:rPr>
                <w:sz w:val="22"/>
              </w:rPr>
              <w:t>TPM</w:t>
            </w:r>
          </w:p>
        </w:tc>
        <w:tc>
          <w:tcPr>
            <w:tcW w:type="dxa" w:w="4986"/>
            <w:tcBorders>
              <w:top w:val="single" w:sz="4" w:color="DDE5EF"/>
              <w:left w:val="single" w:sz="4" w:color="DDE5EF"/>
              <w:bottom w:val="single" w:sz="4" w:color="DDE5EF"/>
              <w:right w:val="single" w:sz="4" w:color="DDE5EF"/>
            </w:tcBorders>
          </w:tcPr>
          <w:p>
            <w:pPr>
              <w:spacing w:after="0"/>
            </w:pPr>
            <w:r>
              <w:rPr>
                <w:sz w:val="22"/>
              </w:rPr>
              <w:t>Trusted Platform Module — hardware secure-element used to anchor key material.</w:t>
            </w:r>
          </w:p>
        </w:tc>
      </w:tr>
      <w:tr>
        <w:tc>
          <w:tcPr>
            <w:tcW w:type="dxa" w:w="4986"/>
            <w:tcBorders>
              <w:top w:val="single" w:sz="4" w:color="DDE5EF"/>
              <w:left w:val="single" w:sz="4" w:color="DDE5EF"/>
              <w:bottom w:val="single" w:sz="4" w:color="DDE5EF"/>
              <w:right w:val="single" w:sz="4" w:color="DDE5EF"/>
            </w:tcBorders>
          </w:tcPr>
          <w:p>
            <w:pPr>
              <w:spacing w:after="0"/>
            </w:pPr>
            <w:r>
              <w:rPr>
                <w:sz w:val="22"/>
              </w:rPr>
              <w:t>PQ</w:t>
            </w:r>
          </w:p>
        </w:tc>
        <w:tc>
          <w:tcPr>
            <w:tcW w:type="dxa" w:w="4986"/>
            <w:tcBorders>
              <w:top w:val="single" w:sz="4" w:color="DDE5EF"/>
              <w:left w:val="single" w:sz="4" w:color="DDE5EF"/>
              <w:bottom w:val="single" w:sz="4" w:color="DDE5EF"/>
              <w:right w:val="single" w:sz="4" w:color="DDE5EF"/>
            </w:tcBorders>
          </w:tcPr>
          <w:p>
            <w:pPr>
              <w:spacing w:after="0"/>
            </w:pPr>
            <w:r>
              <w:rPr>
                <w:sz w:val="22"/>
              </w:rPr>
              <w:t>Post-Quantum — used to qualify cryptographic profiles (e.g. PQ-ready Dilithium3).</w:t>
            </w:r>
          </w:p>
        </w:tc>
      </w:tr>
      <w:tr>
        <w:tc>
          <w:tcPr>
            <w:tcW w:type="dxa" w:w="4986"/>
            <w:tcBorders>
              <w:top w:val="single" w:sz="4" w:color="DDE5EF"/>
              <w:left w:val="single" w:sz="4" w:color="DDE5EF"/>
              <w:bottom w:val="single" w:sz="4" w:color="DDE5EF"/>
              <w:right w:val="single" w:sz="4" w:color="DDE5EF"/>
            </w:tcBorders>
          </w:tcPr>
          <w:p>
            <w:pPr>
              <w:spacing w:after="0"/>
            </w:pPr>
            <w:r>
              <w:rPr>
                <w:sz w:val="22"/>
              </w:rPr>
              <w:t>FIPS</w:t>
            </w:r>
          </w:p>
        </w:tc>
        <w:tc>
          <w:tcPr>
            <w:tcW w:type="dxa" w:w="4986"/>
            <w:tcBorders>
              <w:top w:val="single" w:sz="4" w:color="DDE5EF"/>
              <w:left w:val="single" w:sz="4" w:color="DDE5EF"/>
              <w:bottom w:val="single" w:sz="4" w:color="DDE5EF"/>
              <w:right w:val="single" w:sz="4" w:color="DDE5EF"/>
            </w:tcBorders>
          </w:tcPr>
          <w:p>
            <w:pPr>
              <w:spacing w:after="0"/>
            </w:pPr>
            <w:r>
              <w:rPr>
                <w:sz w:val="22"/>
              </w:rPr>
              <w:t>Federal Information Processing Standards — used for cryptographic-profile compliance.</w:t>
            </w:r>
          </w:p>
        </w:tc>
      </w:tr>
      <w:tr>
        <w:tc>
          <w:tcPr>
            <w:tcW w:type="dxa" w:w="4986"/>
            <w:tcBorders>
              <w:top w:val="single" w:sz="4" w:color="DDE5EF"/>
              <w:left w:val="single" w:sz="4" w:color="DDE5EF"/>
              <w:bottom w:val="single" w:sz="4" w:color="DDE5EF"/>
              <w:right w:val="single" w:sz="4" w:color="DDE5EF"/>
            </w:tcBorders>
          </w:tcPr>
          <w:p>
            <w:pPr>
              <w:spacing w:after="0"/>
            </w:pPr>
            <w:r>
              <w:rPr>
                <w:sz w:val="22"/>
              </w:rPr>
              <w:t>SBOM</w:t>
            </w:r>
          </w:p>
        </w:tc>
        <w:tc>
          <w:tcPr>
            <w:tcW w:type="dxa" w:w="4986"/>
            <w:tcBorders>
              <w:top w:val="single" w:sz="4" w:color="DDE5EF"/>
              <w:left w:val="single" w:sz="4" w:color="DDE5EF"/>
              <w:bottom w:val="single" w:sz="4" w:color="DDE5EF"/>
              <w:right w:val="single" w:sz="4" w:color="DDE5EF"/>
            </w:tcBorders>
          </w:tcPr>
          <w:p>
            <w:pPr>
              <w:spacing w:after="0"/>
            </w:pPr>
            <w:r>
              <w:rPr>
                <w:sz w:val="22"/>
              </w:rPr>
              <w:t>Software Bill of Materials — the inventory of components shipped in a software product, used for supply-chain assurance.</w:t>
            </w:r>
          </w:p>
        </w:tc>
      </w:tr>
      <w:tr>
        <w:tc>
          <w:tcPr>
            <w:tcW w:type="dxa" w:w="4986"/>
            <w:tcBorders>
              <w:top w:val="single" w:sz="4" w:color="DDE5EF"/>
              <w:left w:val="single" w:sz="4" w:color="DDE5EF"/>
              <w:bottom w:val="single" w:sz="4" w:color="DDE5EF"/>
              <w:right w:val="single" w:sz="4" w:color="DDE5EF"/>
            </w:tcBorders>
          </w:tcPr>
          <w:p>
            <w:pPr>
              <w:spacing w:after="0"/>
            </w:pPr>
            <w:r>
              <w:rPr>
                <w:sz w:val="22"/>
              </w:rPr>
              <w:t>SLSA</w:t>
            </w:r>
          </w:p>
        </w:tc>
        <w:tc>
          <w:tcPr>
            <w:tcW w:type="dxa" w:w="4986"/>
            <w:tcBorders>
              <w:top w:val="single" w:sz="4" w:color="DDE5EF"/>
              <w:left w:val="single" w:sz="4" w:color="DDE5EF"/>
              <w:bottom w:val="single" w:sz="4" w:color="DDE5EF"/>
              <w:right w:val="single" w:sz="4" w:color="DDE5EF"/>
            </w:tcBorders>
          </w:tcPr>
          <w:p>
            <w:pPr>
              <w:spacing w:after="0"/>
            </w:pPr>
            <w:r>
              <w:rPr>
                <w:sz w:val="22"/>
              </w:rPr>
              <w:t>Supply-chain Levels for Software Artefacts — the build-attestation framework that SPARTA targets at level 3 (SLSA-3).</w:t>
            </w:r>
          </w:p>
        </w:tc>
      </w:tr>
      <w:tr>
        <w:tc>
          <w:tcPr>
            <w:tcW w:type="dxa" w:w="4986"/>
            <w:tcBorders>
              <w:top w:val="single" w:sz="4" w:color="DDE5EF"/>
              <w:left w:val="single" w:sz="4" w:color="DDE5EF"/>
              <w:bottom w:val="single" w:sz="4" w:color="DDE5EF"/>
              <w:right w:val="single" w:sz="4" w:color="DDE5EF"/>
            </w:tcBorders>
          </w:tcPr>
          <w:p>
            <w:pPr>
              <w:spacing w:after="0"/>
            </w:pPr>
            <w:r>
              <w:rPr>
                <w:sz w:val="22"/>
              </w:rPr>
              <w:t>SBOM / SLSA framework references</w:t>
            </w:r>
          </w:p>
        </w:tc>
        <w:tc>
          <w:tcPr>
            <w:tcW w:type="dxa" w:w="4986"/>
            <w:tcBorders>
              <w:top w:val="single" w:sz="4" w:color="DDE5EF"/>
              <w:left w:val="single" w:sz="4" w:color="DDE5EF"/>
              <w:bottom w:val="single" w:sz="4" w:color="DDE5EF"/>
              <w:right w:val="single" w:sz="4" w:color="DDE5EF"/>
            </w:tcBorders>
          </w:tcPr>
          <w:p>
            <w:pPr>
              <w:spacing w:after="0"/>
            </w:pPr>
            <w:r>
              <w:rPr>
                <w:sz w:val="22"/>
              </w:rPr>
              <w:t>Defined by the Open Source Security Foundation (OpenSSF) and US CISA / NIST supply-chain doctrine.</w:t>
            </w:r>
          </w:p>
        </w:tc>
      </w:tr>
      <w:tr>
        <w:tc>
          <w:tcPr>
            <w:tcW w:type="dxa" w:w="4986"/>
            <w:tcBorders>
              <w:top w:val="single" w:sz="4" w:color="DDE5EF"/>
              <w:left w:val="single" w:sz="4" w:color="DDE5EF"/>
              <w:bottom w:val="single" w:sz="4" w:color="DDE5EF"/>
              <w:right w:val="single" w:sz="4" w:color="DDE5EF"/>
            </w:tcBorders>
          </w:tcPr>
          <w:p>
            <w:pPr>
              <w:spacing w:after="0"/>
            </w:pPr>
            <w:r>
              <w:rPr>
                <w:sz w:val="22"/>
              </w:rPr>
              <w:t>CNI</w:t>
            </w:r>
          </w:p>
        </w:tc>
        <w:tc>
          <w:tcPr>
            <w:tcW w:type="dxa" w:w="4986"/>
            <w:tcBorders>
              <w:top w:val="single" w:sz="4" w:color="DDE5EF"/>
              <w:left w:val="single" w:sz="4" w:color="DDE5EF"/>
              <w:bottom w:val="single" w:sz="4" w:color="DDE5EF"/>
              <w:right w:val="single" w:sz="4" w:color="DDE5EF"/>
            </w:tcBorders>
          </w:tcPr>
          <w:p>
            <w:pPr>
              <w:spacing w:after="0"/>
            </w:pPr>
            <w:r>
              <w:rPr>
                <w:sz w:val="22"/>
              </w:rPr>
              <w:t>Critical National Infrastructure.</w:t>
            </w:r>
          </w:p>
        </w:tc>
      </w:tr>
      <w:tr>
        <w:tc>
          <w:tcPr>
            <w:tcW w:type="dxa" w:w="4986"/>
            <w:tcBorders>
              <w:top w:val="single" w:sz="4" w:color="DDE5EF"/>
              <w:left w:val="single" w:sz="4" w:color="DDE5EF"/>
              <w:bottom w:val="single" w:sz="4" w:color="DDE5EF"/>
              <w:right w:val="single" w:sz="4" w:color="DDE5EF"/>
            </w:tcBorders>
          </w:tcPr>
          <w:p>
            <w:pPr>
              <w:spacing w:after="0"/>
            </w:pPr>
            <w:r>
              <w:rPr>
                <w:sz w:val="22"/>
              </w:rPr>
              <w:t>ML</w:t>
            </w:r>
          </w:p>
        </w:tc>
        <w:tc>
          <w:tcPr>
            <w:tcW w:type="dxa" w:w="4986"/>
            <w:tcBorders>
              <w:top w:val="single" w:sz="4" w:color="DDE5EF"/>
              <w:left w:val="single" w:sz="4" w:color="DDE5EF"/>
              <w:bottom w:val="single" w:sz="4" w:color="DDE5EF"/>
              <w:right w:val="single" w:sz="4" w:color="DDE5EF"/>
            </w:tcBorders>
          </w:tcPr>
          <w:p>
            <w:pPr>
              <w:spacing w:after="0"/>
            </w:pPr>
            <w:r>
              <w:rPr>
                <w:sz w:val="22"/>
              </w:rPr>
              <w:t>Machine Learning — used for the behavioural / anomaly detector class.</w:t>
            </w:r>
          </w:p>
        </w:tc>
      </w:tr>
      <w:tr>
        <w:tc>
          <w:tcPr>
            <w:tcW w:type="dxa" w:w="4986"/>
            <w:tcBorders>
              <w:top w:val="single" w:sz="4" w:color="DDE5EF"/>
              <w:left w:val="single" w:sz="4" w:color="DDE5EF"/>
              <w:bottom w:val="single" w:sz="4" w:color="DDE5EF"/>
              <w:right w:val="single" w:sz="4" w:color="DDE5EF"/>
            </w:tcBorders>
          </w:tcPr>
          <w:p>
            <w:pPr>
              <w:spacing w:after="0"/>
            </w:pPr>
            <w:r>
              <w:rPr>
                <w:sz w:val="22"/>
              </w:rPr>
              <w:t>NIS2</w:t>
            </w:r>
          </w:p>
        </w:tc>
        <w:tc>
          <w:tcPr>
            <w:tcW w:type="dxa" w:w="4986"/>
            <w:tcBorders>
              <w:top w:val="single" w:sz="4" w:color="DDE5EF"/>
              <w:left w:val="single" w:sz="4" w:color="DDE5EF"/>
              <w:bottom w:val="single" w:sz="4" w:color="DDE5EF"/>
              <w:right w:val="single" w:sz="4" w:color="DDE5EF"/>
            </w:tcBorders>
          </w:tcPr>
          <w:p>
            <w:pPr>
              <w:spacing w:after="0"/>
            </w:pPr>
            <w:r>
              <w:rPr>
                <w:sz w:val="22"/>
              </w:rPr>
              <w:t>EU Network and Information Security Directive 2 (Directive (EU) 2022/2555).</w:t>
            </w:r>
          </w:p>
        </w:tc>
      </w:tr>
      <w:tr>
        <w:tc>
          <w:tcPr>
            <w:tcW w:type="dxa" w:w="4986"/>
            <w:tcBorders>
              <w:top w:val="single" w:sz="4" w:color="DDE5EF"/>
              <w:left w:val="single" w:sz="4" w:color="DDE5EF"/>
              <w:bottom w:val="single" w:sz="4" w:color="DDE5EF"/>
              <w:right w:val="single" w:sz="4" w:color="DDE5EF"/>
            </w:tcBorders>
          </w:tcPr>
          <w:p>
            <w:pPr>
              <w:spacing w:after="0"/>
            </w:pPr>
            <w:r>
              <w:rPr>
                <w:sz w:val="22"/>
              </w:rPr>
              <w:t>CRA</w:t>
            </w:r>
          </w:p>
        </w:tc>
        <w:tc>
          <w:tcPr>
            <w:tcW w:type="dxa" w:w="4986"/>
            <w:tcBorders>
              <w:top w:val="single" w:sz="4" w:color="DDE5EF"/>
              <w:left w:val="single" w:sz="4" w:color="DDE5EF"/>
              <w:bottom w:val="single" w:sz="4" w:color="DDE5EF"/>
              <w:right w:val="single" w:sz="4" w:color="DDE5EF"/>
            </w:tcBorders>
          </w:tcPr>
          <w:p>
            <w:pPr>
              <w:spacing w:after="0"/>
            </w:pPr>
            <w:r>
              <w:rPr>
                <w:sz w:val="22"/>
              </w:rPr>
              <w:t>EU Cyber Resilience Act.</w:t>
            </w:r>
          </w:p>
        </w:tc>
      </w:tr>
      <w:tr>
        <w:tc>
          <w:tcPr>
            <w:tcW w:type="dxa" w:w="4986"/>
            <w:tcBorders>
              <w:top w:val="single" w:sz="4" w:color="DDE5EF"/>
              <w:left w:val="single" w:sz="4" w:color="DDE5EF"/>
              <w:bottom w:val="single" w:sz="4" w:color="DDE5EF"/>
              <w:right w:val="single" w:sz="4" w:color="DDE5EF"/>
            </w:tcBorders>
          </w:tcPr>
          <w:p>
            <w:pPr>
              <w:spacing w:after="0"/>
            </w:pPr>
            <w:r>
              <w:rPr>
                <w:sz w:val="22"/>
              </w:rPr>
              <w:t>NIST</w:t>
            </w:r>
          </w:p>
        </w:tc>
        <w:tc>
          <w:tcPr>
            <w:tcW w:type="dxa" w:w="4986"/>
            <w:tcBorders>
              <w:top w:val="single" w:sz="4" w:color="DDE5EF"/>
              <w:left w:val="single" w:sz="4" w:color="DDE5EF"/>
              <w:bottom w:val="single" w:sz="4" w:color="DDE5EF"/>
              <w:right w:val="single" w:sz="4" w:color="DDE5EF"/>
            </w:tcBorders>
          </w:tcPr>
          <w:p>
            <w:pPr>
              <w:spacing w:after="0"/>
            </w:pPr>
            <w:r>
              <w:rPr>
                <w:sz w:val="22"/>
              </w:rPr>
              <w:t>(US) National Institute of Standards and Technology.</w:t>
            </w:r>
          </w:p>
        </w:tc>
      </w:tr>
      <w:tr>
        <w:tc>
          <w:tcPr>
            <w:tcW w:type="dxa" w:w="4986"/>
            <w:tcBorders>
              <w:top w:val="single" w:sz="4" w:color="DDE5EF"/>
              <w:left w:val="single" w:sz="4" w:color="DDE5EF"/>
              <w:bottom w:val="single" w:sz="4" w:color="DDE5EF"/>
              <w:right w:val="single" w:sz="4" w:color="DDE5EF"/>
            </w:tcBorders>
          </w:tcPr>
          <w:p>
            <w:pPr>
              <w:spacing w:after="0"/>
            </w:pPr>
            <w:r>
              <w:rPr>
                <w:sz w:val="22"/>
              </w:rPr>
              <w:t>IEEE</w:t>
            </w:r>
          </w:p>
        </w:tc>
        <w:tc>
          <w:tcPr>
            <w:tcW w:type="dxa" w:w="4986"/>
            <w:tcBorders>
              <w:top w:val="single" w:sz="4" w:color="DDE5EF"/>
              <w:left w:val="single" w:sz="4" w:color="DDE5EF"/>
              <w:bottom w:val="single" w:sz="4" w:color="DDE5EF"/>
              <w:right w:val="single" w:sz="4" w:color="DDE5EF"/>
            </w:tcBorders>
          </w:tcPr>
          <w:p>
            <w:pPr>
              <w:spacing w:after="0"/>
            </w:pPr>
            <w:r>
              <w:rPr>
                <w:sz w:val="22"/>
              </w:rPr>
              <w:t>Institute of Electrical and Electronics Engineers — engineering-standards body.</w:t>
            </w:r>
          </w:p>
        </w:tc>
      </w:tr>
      <w:tr>
        <w:tc>
          <w:tcPr>
            <w:tcW w:type="dxa" w:w="4986"/>
            <w:tcBorders>
              <w:top w:val="single" w:sz="4" w:color="DDE5EF"/>
              <w:left w:val="single" w:sz="4" w:color="DDE5EF"/>
              <w:bottom w:val="single" w:sz="4" w:color="DDE5EF"/>
              <w:right w:val="single" w:sz="4" w:color="DDE5EF"/>
            </w:tcBorders>
          </w:tcPr>
          <w:p>
            <w:pPr>
              <w:spacing w:after="0"/>
            </w:pPr>
            <w:r>
              <w:rPr>
                <w:sz w:val="22"/>
              </w:rPr>
              <w:t>ISO / IEC</w:t>
            </w:r>
          </w:p>
        </w:tc>
        <w:tc>
          <w:tcPr>
            <w:tcW w:type="dxa" w:w="4986"/>
            <w:tcBorders>
              <w:top w:val="single" w:sz="4" w:color="DDE5EF"/>
              <w:left w:val="single" w:sz="4" w:color="DDE5EF"/>
              <w:bottom w:val="single" w:sz="4" w:color="DDE5EF"/>
              <w:right w:val="single" w:sz="4" w:color="DDE5EF"/>
            </w:tcBorders>
          </w:tcPr>
          <w:p>
            <w:pPr>
              <w:spacing w:after="0"/>
            </w:pPr>
            <w:r>
              <w:rPr>
                <w:sz w:val="22"/>
              </w:rPr>
              <w:t>International Organization for Standardization / International Electrotechnical Commission.</w:t>
            </w:r>
          </w:p>
        </w:tc>
      </w:tr>
      <w:tr>
        <w:tc>
          <w:tcPr>
            <w:tcW w:type="dxa" w:w="4986"/>
            <w:tcBorders>
              <w:top w:val="single" w:sz="4" w:color="DDE5EF"/>
              <w:left w:val="single" w:sz="4" w:color="DDE5EF"/>
              <w:bottom w:val="single" w:sz="4" w:color="DDE5EF"/>
              <w:right w:val="single" w:sz="4" w:color="DDE5EF"/>
            </w:tcBorders>
          </w:tcPr>
          <w:p>
            <w:pPr>
              <w:spacing w:after="0"/>
            </w:pPr>
            <w:r>
              <w:rPr>
                <w:sz w:val="22"/>
              </w:rPr>
              <w:t>FACE</w:t>
            </w:r>
          </w:p>
        </w:tc>
        <w:tc>
          <w:tcPr>
            <w:tcW w:type="dxa" w:w="4986"/>
            <w:tcBorders>
              <w:top w:val="single" w:sz="4" w:color="DDE5EF"/>
              <w:left w:val="single" w:sz="4" w:color="DDE5EF"/>
              <w:bottom w:val="single" w:sz="4" w:color="DDE5EF"/>
              <w:right w:val="single" w:sz="4" w:color="DDE5EF"/>
            </w:tcBorders>
          </w:tcPr>
          <w:p>
            <w:pPr>
              <w:spacing w:after="0"/>
            </w:pPr>
            <w:r>
              <w:rPr>
                <w:sz w:val="22"/>
              </w:rPr>
              <w:t>Future Airborne Capability Environment — US DoD open-architecture initiative for airborne mission systems.</w:t>
            </w:r>
          </w:p>
        </w:tc>
      </w:tr>
      <w:tr>
        <w:tc>
          <w:tcPr>
            <w:tcW w:type="dxa" w:w="4986"/>
            <w:tcBorders>
              <w:top w:val="single" w:sz="4" w:color="DDE5EF"/>
              <w:left w:val="single" w:sz="4" w:color="DDE5EF"/>
              <w:bottom w:val="single" w:sz="4" w:color="DDE5EF"/>
              <w:right w:val="single" w:sz="4" w:color="DDE5EF"/>
            </w:tcBorders>
          </w:tcPr>
          <w:p>
            <w:pPr>
              <w:spacing w:after="0"/>
            </w:pPr>
            <w:r>
              <w:rPr>
                <w:sz w:val="22"/>
              </w:rPr>
              <w:t>OMS</w:t>
            </w:r>
          </w:p>
        </w:tc>
        <w:tc>
          <w:tcPr>
            <w:tcW w:type="dxa" w:w="4986"/>
            <w:tcBorders>
              <w:top w:val="single" w:sz="4" w:color="DDE5EF"/>
              <w:left w:val="single" w:sz="4" w:color="DDE5EF"/>
              <w:bottom w:val="single" w:sz="4" w:color="DDE5EF"/>
              <w:right w:val="single" w:sz="4" w:color="DDE5EF"/>
            </w:tcBorders>
          </w:tcPr>
          <w:p>
            <w:pPr>
              <w:spacing w:after="0"/>
            </w:pPr>
            <w:r>
              <w:rPr>
                <w:sz w:val="22"/>
              </w:rPr>
              <w:t>Open Mission Systems — US Air Force open-architecture initiative.</w:t>
            </w:r>
          </w:p>
        </w:tc>
      </w:tr>
      <w:tr>
        <w:tc>
          <w:tcPr>
            <w:tcW w:type="dxa" w:w="4986"/>
            <w:tcBorders>
              <w:top w:val="single" w:sz="4" w:color="DDE5EF"/>
              <w:left w:val="single" w:sz="4" w:color="DDE5EF"/>
              <w:bottom w:val="single" w:sz="4" w:color="DDE5EF"/>
              <w:right w:val="single" w:sz="4" w:color="DDE5EF"/>
            </w:tcBorders>
          </w:tcPr>
          <w:p>
            <w:pPr>
              <w:spacing w:after="0"/>
            </w:pPr>
            <w:r>
              <w:rPr>
                <w:sz w:val="22"/>
              </w:rPr>
              <w:t>CYBELS</w:t>
            </w:r>
          </w:p>
        </w:tc>
        <w:tc>
          <w:tcPr>
            <w:tcW w:type="dxa" w:w="4986"/>
            <w:tcBorders>
              <w:top w:val="single" w:sz="4" w:color="DDE5EF"/>
              <w:left w:val="single" w:sz="4" w:color="DDE5EF"/>
              <w:bottom w:val="single" w:sz="4" w:color="DDE5EF"/>
              <w:right w:val="single" w:sz="4" w:color="DDE5EF"/>
            </w:tcBorders>
          </w:tcPr>
          <w:p>
            <w:pPr>
              <w:spacing w:after="0"/>
            </w:pPr>
            <w:r>
              <w:rPr>
                <w:sz w:val="22"/>
              </w:rPr>
              <w:t>Thales cyber-defence product family (SOC / SIEM-class enterprise platform).</w:t>
            </w:r>
          </w:p>
        </w:tc>
      </w:tr>
      <w:tr>
        <w:tc>
          <w:tcPr>
            <w:tcW w:type="dxa" w:w="4986"/>
            <w:tcBorders>
              <w:top w:val="single" w:sz="4" w:color="DDE5EF"/>
              <w:left w:val="single" w:sz="4" w:color="DDE5EF"/>
              <w:bottom w:val="single" w:sz="4" w:color="DDE5EF"/>
              <w:right w:val="single" w:sz="4" w:color="DDE5EF"/>
            </w:tcBorders>
          </w:tcPr>
          <w:p>
            <w:pPr>
              <w:spacing w:after="0"/>
            </w:pPr>
            <w:r>
              <w:rPr>
                <w:sz w:val="22"/>
              </w:rPr>
              <w:t>HTML</w:t>
            </w:r>
          </w:p>
        </w:tc>
        <w:tc>
          <w:tcPr>
            <w:tcW w:type="dxa" w:w="4986"/>
            <w:tcBorders>
              <w:top w:val="single" w:sz="4" w:color="DDE5EF"/>
              <w:left w:val="single" w:sz="4" w:color="DDE5EF"/>
              <w:bottom w:val="single" w:sz="4" w:color="DDE5EF"/>
              <w:right w:val="single" w:sz="4" w:color="DDE5EF"/>
            </w:tcBorders>
          </w:tcPr>
          <w:p>
            <w:pPr>
              <w:spacing w:after="0"/>
            </w:pPr>
            <w:r>
              <w:rPr>
                <w:sz w:val="22"/>
              </w:rPr>
              <w:t>HyperText Markup Language — file format of this document.</w:t>
            </w:r>
          </w:p>
        </w:tc>
      </w:tr>
    </w:tbl>
    <w:p>
      <w:pPr>
        <w:spacing w:after="40"/>
      </w:pPr>
    </w:p>
    <w:p>
      <w:pPr>
        <w:pStyle w:val="Heading2"/>
      </w:pPr>
      <w:r>
        <w:t>9.4 Financial, governance and regulatory acronyms</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Term</w:t>
            </w:r>
          </w:p>
        </w:tc>
        <w:tc>
          <w:tcPr>
            <w:tcW w:type="dxa" w:w="4986"/>
            <w:tcBorders>
              <w:top w:val="single" w:sz="4" w:color="DDE5EF"/>
              <w:left w:val="single" w:sz="4" w:color="DDE5EF"/>
              <w:bottom w:val="single" w:sz="4" w:color="DDE5EF"/>
              <w:right w:val="single" w:sz="4" w:color="DDE5EF"/>
            </w:tcBorders>
            <w:shd w:val="clear" w:color="auto" w:fill="EAF1F8"/>
          </w:tcPr>
          <w:p>
            <w:pPr>
              <w:spacing w:after="0"/>
            </w:pPr>
            <w:r>
              <w:rPr>
                <w:b/>
                <w:color w:val="1F4E79"/>
                <w:sz w:val="20"/>
              </w:rPr>
              <w:t>Definition</w:t>
            </w:r>
          </w:p>
        </w:tc>
      </w:tr>
      <w:tr>
        <w:tc>
          <w:tcPr>
            <w:tcW w:type="dxa" w:w="4986"/>
            <w:tcBorders>
              <w:top w:val="single" w:sz="4" w:color="DDE5EF"/>
              <w:left w:val="single" w:sz="4" w:color="DDE5EF"/>
              <w:bottom w:val="single" w:sz="4" w:color="DDE5EF"/>
              <w:right w:val="single" w:sz="4" w:color="DDE5EF"/>
            </w:tcBorders>
          </w:tcPr>
          <w:p>
            <w:pPr>
              <w:spacing w:after="0"/>
            </w:pPr>
            <w:r>
              <w:rPr>
                <w:sz w:val="22"/>
              </w:rPr>
              <w:t>NPV</w:t>
            </w:r>
          </w:p>
        </w:tc>
        <w:tc>
          <w:tcPr>
            <w:tcW w:type="dxa" w:w="4986"/>
            <w:tcBorders>
              <w:top w:val="single" w:sz="4" w:color="DDE5EF"/>
              <w:left w:val="single" w:sz="4" w:color="DDE5EF"/>
              <w:bottom w:val="single" w:sz="4" w:color="DDE5EF"/>
              <w:right w:val="single" w:sz="4" w:color="DDE5EF"/>
            </w:tcBorders>
          </w:tcPr>
          <w:p>
            <w:pPr>
              <w:spacing w:after="0"/>
            </w:pPr>
            <w:r>
              <w:rPr>
                <w:sz w:val="22"/>
              </w:rPr>
              <w:t>Net Present Value — the time-discounted sum of expected cash flows over the analysis horizon.</w:t>
            </w:r>
          </w:p>
        </w:tc>
      </w:tr>
      <w:tr>
        <w:tc>
          <w:tcPr>
            <w:tcW w:type="dxa" w:w="4986"/>
            <w:tcBorders>
              <w:top w:val="single" w:sz="4" w:color="DDE5EF"/>
              <w:left w:val="single" w:sz="4" w:color="DDE5EF"/>
              <w:bottom w:val="single" w:sz="4" w:color="DDE5EF"/>
              <w:right w:val="single" w:sz="4" w:color="DDE5EF"/>
            </w:tcBorders>
          </w:tcPr>
          <w:p>
            <w:pPr>
              <w:spacing w:after="0"/>
            </w:pPr>
            <w:r>
              <w:rPr>
                <w:sz w:val="22"/>
              </w:rPr>
              <w:t>IRR</w:t>
            </w:r>
          </w:p>
        </w:tc>
        <w:tc>
          <w:tcPr>
            <w:tcW w:type="dxa" w:w="4986"/>
            <w:tcBorders>
              <w:top w:val="single" w:sz="4" w:color="DDE5EF"/>
              <w:left w:val="single" w:sz="4" w:color="DDE5EF"/>
              <w:bottom w:val="single" w:sz="4" w:color="DDE5EF"/>
              <w:right w:val="single" w:sz="4" w:color="DDE5EF"/>
            </w:tcBorders>
          </w:tcPr>
          <w:p>
            <w:pPr>
              <w:spacing w:after="0"/>
            </w:pPr>
            <w:r>
              <w:rPr>
                <w:sz w:val="22"/>
              </w:rPr>
              <w:t>Internal Rate of Return — the discount rate at which NPV equals zero.</w:t>
            </w:r>
          </w:p>
        </w:tc>
      </w:tr>
      <w:tr>
        <w:tc>
          <w:tcPr>
            <w:tcW w:type="dxa" w:w="4986"/>
            <w:tcBorders>
              <w:top w:val="single" w:sz="4" w:color="DDE5EF"/>
              <w:left w:val="single" w:sz="4" w:color="DDE5EF"/>
              <w:bottom w:val="single" w:sz="4" w:color="DDE5EF"/>
              <w:right w:val="single" w:sz="4" w:color="DDE5EF"/>
            </w:tcBorders>
          </w:tcPr>
          <w:p>
            <w:pPr>
              <w:spacing w:after="0"/>
            </w:pPr>
            <w:r>
              <w:rPr>
                <w:sz w:val="22"/>
              </w:rPr>
              <w:t>WACC</w:t>
            </w:r>
          </w:p>
        </w:tc>
        <w:tc>
          <w:tcPr>
            <w:tcW w:type="dxa" w:w="4986"/>
            <w:tcBorders>
              <w:top w:val="single" w:sz="4" w:color="DDE5EF"/>
              <w:left w:val="single" w:sz="4" w:color="DDE5EF"/>
              <w:bottom w:val="single" w:sz="4" w:color="DDE5EF"/>
              <w:right w:val="single" w:sz="4" w:color="DDE5EF"/>
            </w:tcBorders>
          </w:tcPr>
          <w:p>
            <w:pPr>
              <w:spacing w:after="0"/>
            </w:pPr>
            <w:r>
              <w:rPr>
                <w:sz w:val="22"/>
              </w:rPr>
              <w:t>Weighted Average Cost of Capital — used here at 8.0% nominal, anchored on Airbus SE blended financing disclosures.</w:t>
            </w:r>
          </w:p>
        </w:tc>
      </w:tr>
      <w:tr>
        <w:tc>
          <w:tcPr>
            <w:tcW w:type="dxa" w:w="4986"/>
            <w:tcBorders>
              <w:top w:val="single" w:sz="4" w:color="DDE5EF"/>
              <w:left w:val="single" w:sz="4" w:color="DDE5EF"/>
              <w:bottom w:val="single" w:sz="4" w:color="DDE5EF"/>
              <w:right w:val="single" w:sz="4" w:color="DDE5EF"/>
            </w:tcBorders>
          </w:tcPr>
          <w:p>
            <w:pPr>
              <w:spacing w:after="0"/>
            </w:pPr>
            <w:r>
              <w:rPr>
                <w:sz w:val="22"/>
              </w:rPr>
              <w:t>ARR</w:t>
            </w:r>
          </w:p>
        </w:tc>
        <w:tc>
          <w:tcPr>
            <w:tcW w:type="dxa" w:w="4986"/>
            <w:tcBorders>
              <w:top w:val="single" w:sz="4" w:color="DDE5EF"/>
              <w:left w:val="single" w:sz="4" w:color="DDE5EF"/>
              <w:bottom w:val="single" w:sz="4" w:color="DDE5EF"/>
              <w:right w:val="single" w:sz="4" w:color="DDE5EF"/>
            </w:tcBorders>
          </w:tcPr>
          <w:p>
            <w:pPr>
              <w:spacing w:after="0"/>
            </w:pPr>
            <w:r>
              <w:rPr>
                <w:sz w:val="22"/>
              </w:rPr>
              <w:t>Annual Recurring Revenue — used for the recurring-services (S3) revenue stream.</w:t>
            </w:r>
          </w:p>
        </w:tc>
      </w:tr>
      <w:tr>
        <w:tc>
          <w:tcPr>
            <w:tcW w:type="dxa" w:w="4986"/>
            <w:tcBorders>
              <w:top w:val="single" w:sz="4" w:color="DDE5EF"/>
              <w:left w:val="single" w:sz="4" w:color="DDE5EF"/>
              <w:bottom w:val="single" w:sz="4" w:color="DDE5EF"/>
              <w:right w:val="single" w:sz="4" w:color="DDE5EF"/>
            </w:tcBorders>
          </w:tcPr>
          <w:p>
            <w:pPr>
              <w:spacing w:after="0"/>
            </w:pPr>
            <w:r>
              <w:rPr>
                <w:sz w:val="22"/>
              </w:rPr>
              <w:t>CAC</w:t>
            </w:r>
          </w:p>
        </w:tc>
        <w:tc>
          <w:tcPr>
            <w:tcW w:type="dxa" w:w="4986"/>
            <w:tcBorders>
              <w:top w:val="single" w:sz="4" w:color="DDE5EF"/>
              <w:left w:val="single" w:sz="4" w:color="DDE5EF"/>
              <w:bottom w:val="single" w:sz="4" w:color="DDE5EF"/>
              <w:right w:val="single" w:sz="4" w:color="DDE5EF"/>
            </w:tcBorders>
          </w:tcPr>
          <w:p>
            <w:pPr>
              <w:spacing w:after="0"/>
            </w:pPr>
            <w:r>
              <w:rPr>
                <w:sz w:val="22"/>
              </w:rPr>
              <w:t>Customer Acquisition Cost.</w:t>
            </w:r>
          </w:p>
        </w:tc>
      </w:tr>
      <w:tr>
        <w:tc>
          <w:tcPr>
            <w:tcW w:type="dxa" w:w="4986"/>
            <w:tcBorders>
              <w:top w:val="single" w:sz="4" w:color="DDE5EF"/>
              <w:left w:val="single" w:sz="4" w:color="DDE5EF"/>
              <w:bottom w:val="single" w:sz="4" w:color="DDE5EF"/>
              <w:right w:val="single" w:sz="4" w:color="DDE5EF"/>
            </w:tcBorders>
          </w:tcPr>
          <w:p>
            <w:pPr>
              <w:spacing w:after="0"/>
            </w:pPr>
            <w:r>
              <w:rPr>
                <w:sz w:val="22"/>
              </w:rPr>
              <w:t>LTV</w:t>
            </w:r>
          </w:p>
        </w:tc>
        <w:tc>
          <w:tcPr>
            <w:tcW w:type="dxa" w:w="4986"/>
            <w:tcBorders>
              <w:top w:val="single" w:sz="4" w:color="DDE5EF"/>
              <w:left w:val="single" w:sz="4" w:color="DDE5EF"/>
              <w:bottom w:val="single" w:sz="4" w:color="DDE5EF"/>
              <w:right w:val="single" w:sz="4" w:color="DDE5EF"/>
            </w:tcBorders>
          </w:tcPr>
          <w:p>
            <w:pPr>
              <w:spacing w:after="0"/>
            </w:pPr>
            <w:r>
              <w:rPr>
                <w:sz w:val="22"/>
              </w:rPr>
              <w:t>(Customer) Lifetime Value.</w:t>
            </w:r>
          </w:p>
        </w:tc>
      </w:tr>
      <w:tr>
        <w:tc>
          <w:tcPr>
            <w:tcW w:type="dxa" w:w="4986"/>
            <w:tcBorders>
              <w:top w:val="single" w:sz="4" w:color="DDE5EF"/>
              <w:left w:val="single" w:sz="4" w:color="DDE5EF"/>
              <w:bottom w:val="single" w:sz="4" w:color="DDE5EF"/>
              <w:right w:val="single" w:sz="4" w:color="DDE5EF"/>
            </w:tcBorders>
          </w:tcPr>
          <w:p>
            <w:pPr>
              <w:spacing w:after="0"/>
            </w:pPr>
            <w:r>
              <w:rPr>
                <w:sz w:val="22"/>
              </w:rPr>
              <w:t>NRE</w:t>
            </w:r>
          </w:p>
        </w:tc>
        <w:tc>
          <w:tcPr>
            <w:tcW w:type="dxa" w:w="4986"/>
            <w:tcBorders>
              <w:top w:val="single" w:sz="4" w:color="DDE5EF"/>
              <w:left w:val="single" w:sz="4" w:color="DDE5EF"/>
              <w:bottom w:val="single" w:sz="4" w:color="DDE5EF"/>
              <w:right w:val="single" w:sz="4" w:color="DDE5EF"/>
            </w:tcBorders>
          </w:tcPr>
          <w:p>
            <w:pPr>
              <w:spacing w:after="0"/>
            </w:pPr>
            <w:r>
              <w:rPr>
                <w:sz w:val="22"/>
              </w:rPr>
              <w:t>Non-Recurring Engineering — programme integration cost not amortised over volume.</w:t>
            </w:r>
          </w:p>
        </w:tc>
      </w:tr>
      <w:tr>
        <w:tc>
          <w:tcPr>
            <w:tcW w:type="dxa" w:w="4986"/>
            <w:tcBorders>
              <w:top w:val="single" w:sz="4" w:color="DDE5EF"/>
              <w:left w:val="single" w:sz="4" w:color="DDE5EF"/>
              <w:bottom w:val="single" w:sz="4" w:color="DDE5EF"/>
              <w:right w:val="single" w:sz="4" w:color="DDE5EF"/>
            </w:tcBorders>
          </w:tcPr>
          <w:p>
            <w:pPr>
              <w:spacing w:after="0"/>
            </w:pPr>
            <w:r>
              <w:rPr>
                <w:sz w:val="22"/>
              </w:rPr>
              <w:t>SG&amp;A</w:t>
            </w:r>
          </w:p>
        </w:tc>
        <w:tc>
          <w:tcPr>
            <w:tcW w:type="dxa" w:w="4986"/>
            <w:tcBorders>
              <w:top w:val="single" w:sz="4" w:color="DDE5EF"/>
              <w:left w:val="single" w:sz="4" w:color="DDE5EF"/>
              <w:bottom w:val="single" w:sz="4" w:color="DDE5EF"/>
              <w:right w:val="single" w:sz="4" w:color="DDE5EF"/>
            </w:tcBorders>
          </w:tcPr>
          <w:p>
            <w:pPr>
              <w:spacing w:after="0"/>
            </w:pPr>
            <w:r>
              <w:rPr>
                <w:sz w:val="22"/>
              </w:rPr>
              <w:t>Selling, General &amp; Administrative expense.</w:t>
            </w:r>
          </w:p>
        </w:tc>
      </w:tr>
      <w:tr>
        <w:tc>
          <w:tcPr>
            <w:tcW w:type="dxa" w:w="4986"/>
            <w:tcBorders>
              <w:top w:val="single" w:sz="4" w:color="DDE5EF"/>
              <w:left w:val="single" w:sz="4" w:color="DDE5EF"/>
              <w:bottom w:val="single" w:sz="4" w:color="DDE5EF"/>
              <w:right w:val="single" w:sz="4" w:color="DDE5EF"/>
            </w:tcBorders>
          </w:tcPr>
          <w:p>
            <w:pPr>
              <w:spacing w:after="0"/>
            </w:pPr>
            <w:r>
              <w:rPr>
                <w:sz w:val="22"/>
              </w:rPr>
              <w:t>P&amp;L</w:t>
            </w:r>
          </w:p>
        </w:tc>
        <w:tc>
          <w:tcPr>
            <w:tcW w:type="dxa" w:w="4986"/>
            <w:tcBorders>
              <w:top w:val="single" w:sz="4" w:color="DDE5EF"/>
              <w:left w:val="single" w:sz="4" w:color="DDE5EF"/>
              <w:bottom w:val="single" w:sz="4" w:color="DDE5EF"/>
              <w:right w:val="single" w:sz="4" w:color="DDE5EF"/>
            </w:tcBorders>
          </w:tcPr>
          <w:p>
            <w:pPr>
              <w:spacing w:after="0"/>
            </w:pPr>
            <w:r>
              <w:rPr>
                <w:sz w:val="22"/>
              </w:rPr>
              <w:t>Profit &amp; Loss statement.</w:t>
            </w:r>
          </w:p>
        </w:tc>
      </w:tr>
      <w:tr>
        <w:tc>
          <w:tcPr>
            <w:tcW w:type="dxa" w:w="4986"/>
            <w:tcBorders>
              <w:top w:val="single" w:sz="4" w:color="DDE5EF"/>
              <w:left w:val="single" w:sz="4" w:color="DDE5EF"/>
              <w:bottom w:val="single" w:sz="4" w:color="DDE5EF"/>
              <w:right w:val="single" w:sz="4" w:color="DDE5EF"/>
            </w:tcBorders>
          </w:tcPr>
          <w:p>
            <w:pPr>
              <w:spacing w:after="0"/>
            </w:pPr>
            <w:r>
              <w:rPr>
                <w:sz w:val="22"/>
              </w:rPr>
              <w:t>IFRS</w:t>
            </w:r>
          </w:p>
        </w:tc>
        <w:tc>
          <w:tcPr>
            <w:tcW w:type="dxa" w:w="4986"/>
            <w:tcBorders>
              <w:top w:val="single" w:sz="4" w:color="DDE5EF"/>
              <w:left w:val="single" w:sz="4" w:color="DDE5EF"/>
              <w:bottom w:val="single" w:sz="4" w:color="DDE5EF"/>
              <w:right w:val="single" w:sz="4" w:color="DDE5EF"/>
            </w:tcBorders>
          </w:tcPr>
          <w:p>
            <w:pPr>
              <w:spacing w:after="0"/>
            </w:pPr>
            <w:r>
              <w:rPr>
                <w:sz w:val="22"/>
              </w:rPr>
              <w:t>International Financial Reporting Standards — used here for revenue-recognition discipline (IFRS 15 on contracts with customers).</w:t>
            </w:r>
          </w:p>
        </w:tc>
      </w:tr>
      <w:tr>
        <w:tc>
          <w:tcPr>
            <w:tcW w:type="dxa" w:w="4986"/>
            <w:tcBorders>
              <w:top w:val="single" w:sz="4" w:color="DDE5EF"/>
              <w:left w:val="single" w:sz="4" w:color="DDE5EF"/>
              <w:bottom w:val="single" w:sz="4" w:color="DDE5EF"/>
              <w:right w:val="single" w:sz="4" w:color="DDE5EF"/>
            </w:tcBorders>
          </w:tcPr>
          <w:p>
            <w:pPr>
              <w:spacing w:after="0"/>
            </w:pPr>
            <w:r>
              <w:rPr>
                <w:sz w:val="22"/>
              </w:rPr>
              <w:t>EUR / USD</w:t>
            </w:r>
          </w:p>
        </w:tc>
        <w:tc>
          <w:tcPr>
            <w:tcW w:type="dxa" w:w="4986"/>
            <w:tcBorders>
              <w:top w:val="single" w:sz="4" w:color="DDE5EF"/>
              <w:left w:val="single" w:sz="4" w:color="DDE5EF"/>
              <w:bottom w:val="single" w:sz="4" w:color="DDE5EF"/>
              <w:right w:val="single" w:sz="4" w:color="DDE5EF"/>
            </w:tcBorders>
          </w:tcPr>
          <w:p>
            <w:pPr>
              <w:spacing w:after="0"/>
            </w:pPr>
            <w:r>
              <w:rPr>
                <w:sz w:val="22"/>
              </w:rPr>
              <w:t>Euro / US Dollar — currencies used in foreign-exchange sensitivity analysis.</w:t>
            </w:r>
          </w:p>
        </w:tc>
      </w:tr>
      <w:tr>
        <w:tc>
          <w:tcPr>
            <w:tcW w:type="dxa" w:w="4986"/>
            <w:tcBorders>
              <w:top w:val="single" w:sz="4" w:color="DDE5EF"/>
              <w:left w:val="single" w:sz="4" w:color="DDE5EF"/>
              <w:bottom w:val="single" w:sz="4" w:color="DDE5EF"/>
              <w:right w:val="single" w:sz="4" w:color="DDE5EF"/>
            </w:tcBorders>
          </w:tcPr>
          <w:p>
            <w:pPr>
              <w:spacing w:after="0"/>
            </w:pPr>
            <w:r>
              <w:rPr>
                <w:sz w:val="22"/>
              </w:rPr>
              <w:t>ITAR</w:t>
            </w:r>
          </w:p>
        </w:tc>
        <w:tc>
          <w:tcPr>
            <w:tcW w:type="dxa" w:w="4986"/>
            <w:tcBorders>
              <w:top w:val="single" w:sz="4" w:color="DDE5EF"/>
              <w:left w:val="single" w:sz="4" w:color="DDE5EF"/>
              <w:bottom w:val="single" w:sz="4" w:color="DDE5EF"/>
              <w:right w:val="single" w:sz="4" w:color="DDE5EF"/>
            </w:tcBorders>
          </w:tcPr>
          <w:p>
            <w:pPr>
              <w:spacing w:after="0"/>
            </w:pPr>
            <w:r>
              <w:rPr>
                <w:sz w:val="22"/>
              </w:rPr>
              <w:t>(US) International Traffic in Arms Regulations — defence-export-control regime.</w:t>
            </w:r>
          </w:p>
        </w:tc>
      </w:tr>
      <w:tr>
        <w:tc>
          <w:tcPr>
            <w:tcW w:type="dxa" w:w="4986"/>
            <w:tcBorders>
              <w:top w:val="single" w:sz="4" w:color="DDE5EF"/>
              <w:left w:val="single" w:sz="4" w:color="DDE5EF"/>
              <w:bottom w:val="single" w:sz="4" w:color="DDE5EF"/>
              <w:right w:val="single" w:sz="4" w:color="DDE5EF"/>
            </w:tcBorders>
          </w:tcPr>
          <w:p>
            <w:pPr>
              <w:spacing w:after="0"/>
            </w:pPr>
            <w:r>
              <w:rPr>
                <w:sz w:val="22"/>
              </w:rPr>
              <w:t>EAR</w:t>
            </w:r>
          </w:p>
        </w:tc>
        <w:tc>
          <w:tcPr>
            <w:tcW w:type="dxa" w:w="4986"/>
            <w:tcBorders>
              <w:top w:val="single" w:sz="4" w:color="DDE5EF"/>
              <w:left w:val="single" w:sz="4" w:color="DDE5EF"/>
              <w:bottom w:val="single" w:sz="4" w:color="DDE5EF"/>
              <w:right w:val="single" w:sz="4" w:color="DDE5EF"/>
            </w:tcBorders>
          </w:tcPr>
          <w:p>
            <w:pPr>
              <w:spacing w:after="0"/>
            </w:pPr>
            <w:r>
              <w:rPr>
                <w:sz w:val="22"/>
              </w:rPr>
              <w:t>(US) Export Administration Regulations — dual-use-export-control regime.</w:t>
            </w:r>
          </w:p>
        </w:tc>
      </w:tr>
      <w:tr>
        <w:tc>
          <w:tcPr>
            <w:tcW w:type="dxa" w:w="4986"/>
            <w:tcBorders>
              <w:top w:val="single" w:sz="4" w:color="DDE5EF"/>
              <w:left w:val="single" w:sz="4" w:color="DDE5EF"/>
              <w:bottom w:val="single" w:sz="4" w:color="DDE5EF"/>
              <w:right w:val="single" w:sz="4" w:color="DDE5EF"/>
            </w:tcBorders>
          </w:tcPr>
          <w:p>
            <w:pPr>
              <w:spacing w:after="0"/>
            </w:pPr>
            <w:r>
              <w:rPr>
                <w:sz w:val="22"/>
              </w:rPr>
              <w:t>PLF</w:t>
            </w:r>
          </w:p>
        </w:tc>
        <w:tc>
          <w:tcPr>
            <w:tcW w:type="dxa" w:w="4986"/>
            <w:tcBorders>
              <w:top w:val="single" w:sz="4" w:color="DDE5EF"/>
              <w:left w:val="single" w:sz="4" w:color="DDE5EF"/>
              <w:bottom w:val="single" w:sz="4" w:color="DDE5EF"/>
              <w:right w:val="single" w:sz="4" w:color="DDE5EF"/>
            </w:tcBorders>
          </w:tcPr>
          <w:p>
            <w:pPr>
              <w:spacing w:after="0"/>
            </w:pPr>
            <w:r>
              <w:rPr>
                <w:i/>
                <w:sz w:val="22"/>
              </w:rPr>
              <w:t>Projet de Loi de Finances</w:t>
            </w:r>
            <w:r>
              <w:rPr>
                <w:sz w:val="22"/>
              </w:rPr>
              <w:t xml:space="preserve"> — the French annual finance bill voted by the Assemblée Nationale.</w:t>
            </w:r>
          </w:p>
        </w:tc>
      </w:tr>
      <w:tr>
        <w:tc>
          <w:tcPr>
            <w:tcW w:type="dxa" w:w="4986"/>
            <w:tcBorders>
              <w:top w:val="single" w:sz="4" w:color="DDE5EF"/>
              <w:left w:val="single" w:sz="4" w:color="DDE5EF"/>
              <w:bottom w:val="single" w:sz="4" w:color="DDE5EF"/>
              <w:right w:val="single" w:sz="4" w:color="DDE5EF"/>
            </w:tcBorders>
          </w:tcPr>
          <w:p>
            <w:pPr>
              <w:spacing w:after="0"/>
            </w:pPr>
            <w:r>
              <w:rPr>
                <w:sz w:val="22"/>
              </w:rPr>
              <w:t>Bundeshaushalt</w:t>
            </w:r>
          </w:p>
        </w:tc>
        <w:tc>
          <w:tcPr>
            <w:tcW w:type="dxa" w:w="4986"/>
            <w:tcBorders>
              <w:top w:val="single" w:sz="4" w:color="DDE5EF"/>
              <w:left w:val="single" w:sz="4" w:color="DDE5EF"/>
              <w:bottom w:val="single" w:sz="4" w:color="DDE5EF"/>
              <w:right w:val="single" w:sz="4" w:color="DDE5EF"/>
            </w:tcBorders>
          </w:tcPr>
          <w:p>
            <w:pPr>
              <w:spacing w:after="0"/>
            </w:pPr>
            <w:r>
              <w:rPr>
                <w:sz w:val="22"/>
              </w:rPr>
              <w:t>The German federal budget, voted by the Bundestag Haushaltsausschuss.</w:t>
            </w:r>
          </w:p>
        </w:tc>
      </w:tr>
      <w:tr>
        <w:tc>
          <w:tcPr>
            <w:tcW w:type="dxa" w:w="4986"/>
            <w:tcBorders>
              <w:top w:val="single" w:sz="4" w:color="DDE5EF"/>
              <w:left w:val="single" w:sz="4" w:color="DDE5EF"/>
              <w:bottom w:val="single" w:sz="4" w:color="DDE5EF"/>
              <w:right w:val="single" w:sz="4" w:color="DDE5EF"/>
            </w:tcBorders>
          </w:tcPr>
          <w:p>
            <w:pPr>
              <w:spacing w:after="0"/>
            </w:pPr>
            <w:r>
              <w:rPr>
                <w:sz w:val="22"/>
              </w:rPr>
              <w:t>PGE</w:t>
            </w:r>
          </w:p>
        </w:tc>
        <w:tc>
          <w:tcPr>
            <w:tcW w:type="dxa" w:w="4986"/>
            <w:tcBorders>
              <w:top w:val="single" w:sz="4" w:color="DDE5EF"/>
              <w:left w:val="single" w:sz="4" w:color="DDE5EF"/>
              <w:bottom w:val="single" w:sz="4" w:color="DDE5EF"/>
              <w:right w:val="single" w:sz="4" w:color="DDE5EF"/>
            </w:tcBorders>
          </w:tcPr>
          <w:p>
            <w:pPr>
              <w:spacing w:after="0"/>
            </w:pPr>
            <w:r>
              <w:rPr>
                <w:i/>
                <w:sz w:val="22"/>
              </w:rPr>
              <w:t>Presupuestos Generales del Estado</w:t>
            </w:r>
            <w:r>
              <w:rPr>
                <w:sz w:val="22"/>
              </w:rPr>
              <w:t xml:space="preserve"> — the Spanish General State Budget.</w:t>
            </w:r>
          </w:p>
        </w:tc>
      </w:tr>
      <w:tr>
        <w:tc>
          <w:tcPr>
            <w:tcW w:type="dxa" w:w="4986"/>
            <w:tcBorders>
              <w:top w:val="single" w:sz="4" w:color="DDE5EF"/>
              <w:left w:val="single" w:sz="4" w:color="DDE5EF"/>
              <w:bottom w:val="single" w:sz="4" w:color="DDE5EF"/>
              <w:right w:val="single" w:sz="4" w:color="DDE5EF"/>
            </w:tcBorders>
          </w:tcPr>
          <w:p>
            <w:pPr>
              <w:spacing w:after="0"/>
            </w:pPr>
            <w:r>
              <w:rPr>
                <w:sz w:val="22"/>
              </w:rPr>
              <w:t>CCB</w:t>
            </w:r>
          </w:p>
        </w:tc>
        <w:tc>
          <w:tcPr>
            <w:tcW w:type="dxa" w:w="4986"/>
            <w:tcBorders>
              <w:top w:val="single" w:sz="4" w:color="DDE5EF"/>
              <w:left w:val="single" w:sz="4" w:color="DDE5EF"/>
              <w:bottom w:val="single" w:sz="4" w:color="DDE5EF"/>
              <w:right w:val="single" w:sz="4" w:color="DDE5EF"/>
            </w:tcBorders>
          </w:tcPr>
          <w:p>
            <w:pPr>
              <w:spacing w:after="0"/>
            </w:pPr>
            <w:r>
              <w:rPr>
                <w:sz w:val="22"/>
              </w:rPr>
              <w:t>Configuration Control Board — programme-level governance body for configuration changes.</w:t>
            </w:r>
          </w:p>
        </w:tc>
      </w:tr>
      <w:tr>
        <w:tc>
          <w:tcPr>
            <w:tcW w:type="dxa" w:w="4986"/>
            <w:tcBorders>
              <w:top w:val="single" w:sz="4" w:color="DDE5EF"/>
              <w:left w:val="single" w:sz="4" w:color="DDE5EF"/>
              <w:bottom w:val="single" w:sz="4" w:color="DDE5EF"/>
              <w:right w:val="single" w:sz="4" w:color="DDE5EF"/>
            </w:tcBorders>
          </w:tcPr>
          <w:p>
            <w:pPr>
              <w:spacing w:after="0"/>
            </w:pPr>
            <w:r>
              <w:rPr>
                <w:sz w:val="22"/>
              </w:rPr>
              <w:t>CSE</w:t>
            </w:r>
          </w:p>
        </w:tc>
        <w:tc>
          <w:tcPr>
            <w:tcW w:type="dxa" w:w="4986"/>
            <w:tcBorders>
              <w:top w:val="single" w:sz="4" w:color="DDE5EF"/>
              <w:left w:val="single" w:sz="4" w:color="DDE5EF"/>
              <w:bottom w:val="single" w:sz="4" w:color="DDE5EF"/>
              <w:right w:val="single" w:sz="4" w:color="DDE5EF"/>
            </w:tcBorders>
          </w:tcPr>
          <w:p>
            <w:pPr>
              <w:spacing w:after="0"/>
            </w:pPr>
            <w:r>
              <w:rPr>
                <w:sz w:val="22"/>
              </w:rPr>
              <w:t>Chief Systems Engineer.</w:t>
            </w:r>
          </w:p>
        </w:tc>
      </w:tr>
      <w:tr>
        <w:tc>
          <w:tcPr>
            <w:tcW w:type="dxa" w:w="4986"/>
            <w:tcBorders>
              <w:top w:val="single" w:sz="4" w:color="DDE5EF"/>
              <w:left w:val="single" w:sz="4" w:color="DDE5EF"/>
              <w:bottom w:val="single" w:sz="4" w:color="DDE5EF"/>
              <w:right w:val="single" w:sz="4" w:color="DDE5EF"/>
            </w:tcBorders>
          </w:tcPr>
          <w:p>
            <w:pPr>
              <w:spacing w:after="0"/>
            </w:pPr>
            <w:r>
              <w:rPr>
                <w:sz w:val="22"/>
              </w:rPr>
              <w:t>TAM / SAM / SOM</w:t>
            </w:r>
          </w:p>
        </w:tc>
        <w:tc>
          <w:tcPr>
            <w:tcW w:type="dxa" w:w="4986"/>
            <w:tcBorders>
              <w:top w:val="single" w:sz="4" w:color="DDE5EF"/>
              <w:left w:val="single" w:sz="4" w:color="DDE5EF"/>
              <w:bottom w:val="single" w:sz="4" w:color="DDE5EF"/>
              <w:right w:val="single" w:sz="4" w:color="DDE5EF"/>
            </w:tcBorders>
          </w:tcPr>
          <w:p>
            <w:pPr>
              <w:spacing w:after="0"/>
            </w:pPr>
            <w:r>
              <w:rPr>
                <w:sz w:val="22"/>
              </w:rPr>
              <w:t>Total Addressable Market / Serviceable Available Market / Serviceable Obtainable Market — standard market-sizing layers (see §3.3.1).</w:t>
            </w:r>
          </w:p>
        </w:tc>
      </w:tr>
      <w:tr>
        <w:tc>
          <w:tcPr>
            <w:tcW w:type="dxa" w:w="4986"/>
            <w:tcBorders>
              <w:top w:val="single" w:sz="4" w:color="DDE5EF"/>
              <w:left w:val="single" w:sz="4" w:color="DDE5EF"/>
              <w:bottom w:val="single" w:sz="4" w:color="DDE5EF"/>
              <w:right w:val="single" w:sz="4" w:color="DDE5EF"/>
            </w:tcBorders>
          </w:tcPr>
          <w:p>
            <w:pPr>
              <w:spacing w:after="0"/>
            </w:pPr>
            <w:r>
              <w:rPr>
                <w:sz w:val="22"/>
              </w:rPr>
              <w:t>FTE</w:t>
            </w:r>
          </w:p>
        </w:tc>
        <w:tc>
          <w:tcPr>
            <w:tcW w:type="dxa" w:w="4986"/>
            <w:tcBorders>
              <w:top w:val="single" w:sz="4" w:color="DDE5EF"/>
              <w:left w:val="single" w:sz="4" w:color="DDE5EF"/>
              <w:bottom w:val="single" w:sz="4" w:color="DDE5EF"/>
              <w:right w:val="single" w:sz="4" w:color="DDE5EF"/>
            </w:tcBorders>
          </w:tcPr>
          <w:p>
            <w:pPr>
              <w:spacing w:after="0"/>
            </w:pPr>
            <w:r>
              <w:rPr>
                <w:sz w:val="22"/>
              </w:rPr>
              <w:t>Full-Time Equivalent — headcount unit.</w:t>
            </w:r>
          </w:p>
        </w:tc>
      </w:tr>
      <w:tr>
        <w:tc>
          <w:tcPr>
            <w:tcW w:type="dxa" w:w="4986"/>
            <w:tcBorders>
              <w:top w:val="single" w:sz="4" w:color="DDE5EF"/>
              <w:left w:val="single" w:sz="4" w:color="DDE5EF"/>
              <w:bottom w:val="single" w:sz="4" w:color="DDE5EF"/>
              <w:right w:val="single" w:sz="4" w:color="DDE5EF"/>
            </w:tcBorders>
          </w:tcPr>
          <w:p>
            <w:pPr>
              <w:spacing w:after="0"/>
            </w:pPr>
            <w:r>
              <w:rPr>
                <w:sz w:val="22"/>
              </w:rPr>
              <w:t>RAM</w:t>
            </w:r>
          </w:p>
        </w:tc>
        <w:tc>
          <w:tcPr>
            <w:tcW w:type="dxa" w:w="4986"/>
            <w:tcBorders>
              <w:top w:val="single" w:sz="4" w:color="DDE5EF"/>
              <w:left w:val="single" w:sz="4" w:color="DDE5EF"/>
              <w:bottom w:val="single" w:sz="4" w:color="DDE5EF"/>
              <w:right w:val="single" w:sz="4" w:color="DDE5EF"/>
            </w:tcBorders>
          </w:tcPr>
          <w:p>
            <w:pPr>
              <w:spacing w:after="0"/>
            </w:pPr>
            <w:r>
              <w:rPr>
                <w:sz w:val="22"/>
              </w:rPr>
              <w:t>(In SYS-RAM context) Reliability, Availability, Maintainability — one of the eleven SYS-* requirement categories.</w:t>
            </w:r>
          </w:p>
        </w:tc>
      </w:tr>
      <w:tr>
        <w:tc>
          <w:tcPr>
            <w:tcW w:type="dxa" w:w="4986"/>
            <w:tcBorders>
              <w:top w:val="single" w:sz="4" w:color="DDE5EF"/>
              <w:left w:val="single" w:sz="4" w:color="DDE5EF"/>
              <w:bottom w:val="single" w:sz="4" w:color="DDE5EF"/>
              <w:right w:val="single" w:sz="4" w:color="DDE5EF"/>
            </w:tcBorders>
          </w:tcPr>
          <w:p>
            <w:pPr>
              <w:spacing w:after="0"/>
            </w:pPr>
            <w:r>
              <w:rPr>
                <w:sz w:val="22"/>
              </w:rPr>
              <w:t>HFE</w:t>
            </w:r>
          </w:p>
        </w:tc>
        <w:tc>
          <w:tcPr>
            <w:tcW w:type="dxa" w:w="4986"/>
            <w:tcBorders>
              <w:top w:val="single" w:sz="4" w:color="DDE5EF"/>
              <w:left w:val="single" w:sz="4" w:color="DDE5EF"/>
              <w:bottom w:val="single" w:sz="4" w:color="DDE5EF"/>
              <w:right w:val="single" w:sz="4" w:color="DDE5EF"/>
            </w:tcBorders>
          </w:tcPr>
          <w:p>
            <w:pPr>
              <w:spacing w:after="0"/>
            </w:pPr>
            <w:r>
              <w:rPr>
                <w:sz w:val="22"/>
              </w:rPr>
              <w:t>Human Factors Engineering — one of the eleven SYS-* requirement categories.</w:t>
            </w:r>
          </w:p>
        </w:tc>
      </w:tr>
    </w:tbl>
    <w:p>
      <w:pPr>
        <w:spacing w:after="40"/>
      </w:pPr>
    </w:p>
    <w:p>
      <w:pPr>
        <w:pStyle w:val="Heading2"/>
      </w:pPr>
      <w:r>
        <w:t>9.5 Country and currency codes</w:t>
      </w:r>
    </w:p>
    <w:p>
      <w:pPr>
        <w:spacing w:after="120"/>
      </w:pPr>
      <w:r>
        <w:rPr>
          <w:sz w:val="22"/>
        </w:rPr>
        <w:t>Country codes used in this plan follow the ISO 3166-1 alpha-2 convention: FR (France), DE (Germany), ES (Spain), UK (United Kingdom), IT (Italy), JP (Japan), US (United States), SE (Sweden — distinct from Airbus SE which is an entity), FI (Finland), PL (Poland). Currency codes follow ISO 4217: EUR (Euro), USD (US Dollar). The "tripartite FR/DE/ES" formulation refers to the three FCAS founding nations.</w:t>
      </w:r>
    </w:p>
    <w:p>
      <w:pPr>
        <w:pStyle w:val="Heading2"/>
      </w:pPr>
      <w:r>
        <w:t>9.6 Tagging convention</w:t>
      </w:r>
    </w:p>
    <w:p>
      <w:pPr>
        <w:spacing w:after="120"/>
      </w:pPr>
      <w:r>
        <w:rPr>
          <w:sz w:val="22"/>
        </w:rPr>
        <w:t xml:space="preserve">Every load-bearing factual claim in this plan carries one of three epistemic-status tags. </w:t>
      </w:r>
      <w:r>
        <w:rPr>
          <w:sz w:val="22"/>
        </w:rPr>
        <w:t xml:space="preserve"> marks a verified public fact anchored on at least one primary source listed in §10. </w:t>
      </w:r>
      <w:r>
        <w:rPr>
          <w:sz w:val="22"/>
        </w:rPr>
        <w:t xml:space="preserve"> marks a reasoned analyst assumption — flagged so that Airbus DS Finance can substitute internal data when the model is re-run. </w:t>
      </w:r>
      <w:r>
        <w:rPr>
          <w:sz w:val="22"/>
        </w:rPr>
        <w:t xml:space="preserve"> marks an expert interpretation — a judgment call by the SPARTA Strategy Cell that the reviewer is entitled to dispute. No untagged factual claim should be treated as load-bearing in review.</w:t>
      </w:r>
    </w:p>
    <w:p>
      <w:r>
        <w:br/>
      </w:r>
    </w:p>
    <w:p>
      <w:pPr>
        <w:pStyle w:val="Heading1"/>
      </w:pPr>
      <w:r>
        <w:t>10. References</w:t>
      </w:r>
    </w:p>
    <w:p>
      <w:pPr>
        <w:spacing w:after="80"/>
      </w:pPr>
      <w:r>
        <w:rPr>
          <w:color w:val="52627A"/>
          <w:sz w:val="18"/>
        </w:rPr>
        <w:t xml:space="preserve">Structured as in defence-programme ISO-style reference registers. Each entry includes issuing body, title, date where known, and access class. URLs omitted where not stable or not verifiable at time of writing — the issuing body + title + date is the binding reference. Tags: </w:t>
      </w:r>
      <w:r>
        <w:rPr>
          <w:color w:val="52627A"/>
          <w:sz w:val="18"/>
        </w:rPr>
        <w:t xml:space="preserve"> verified public fact · </w:t>
      </w:r>
      <w:r>
        <w:rPr>
          <w:color w:val="52627A"/>
          <w:sz w:val="18"/>
        </w:rPr>
        <w:t xml:space="preserve"> analyst assumption · </w:t>
      </w:r>
      <w:r>
        <w:rPr>
          <w:color w:val="52627A"/>
          <w:sz w:val="18"/>
        </w:rPr>
        <w:t xml:space="preserve"> expert interpretation. The 2019–2024-anchored entries are subject to the OP-STRAT-01 2026 revalidation open point (see §6.3 SR-12).</w:t>
      </w:r>
    </w:p>
    <w:p>
      <w:pPr>
        <w:spacing w:after="60"/>
        <w:ind w:left="454" w:hanging="454"/>
      </w:pPr>
      <w:r>
        <w:rPr>
          <w:b/>
          <w:sz w:val="22"/>
        </w:rPr>
        <w:t>R-1</w:t>
      </w:r>
      <w:r>
        <w:rPr>
          <w:sz w:val="22"/>
        </w:rPr>
        <w:t xml:space="preserve"> — DGA / BAAINBw / DGAM (ES). </w:t>
      </w:r>
      <w:r>
        <w:rPr>
          <w:i/>
          <w:sz w:val="22"/>
        </w:rPr>
        <w:t>FCAS Phase 1A Joint Concept Study contract award (Feb 2020, ~€155 M) and Phase 1B Implementation Agreement &amp; contract signature (Dec 2022, €3.2 B tripartite FR/DE/ES)</w:t>
      </w:r>
      <w:r>
        <w:rPr>
          <w:sz w:val="22"/>
        </w:rPr>
        <w:t xml:space="preserve">. Government contracting authorities, public communications 2020 and 2022. </w:t>
      </w:r>
      <w:r>
        <w:rPr>
          <w:sz w:val="22"/>
        </w:rPr>
        <w:t xml:space="preserve"> Access: public.</w:t>
      </w:r>
    </w:p>
    <w:p>
      <w:pPr>
        <w:spacing w:after="60"/>
        <w:ind w:left="454" w:hanging="454"/>
      </w:pPr>
      <w:r>
        <w:rPr>
          <w:b/>
          <w:sz w:val="22"/>
        </w:rPr>
        <w:t>R-2</w:t>
      </w:r>
      <w:r>
        <w:rPr>
          <w:sz w:val="22"/>
        </w:rPr>
        <w:t xml:space="preserve"> — Airbus SE / Airbus Defence &amp; Space. </w:t>
      </w:r>
      <w:r>
        <w:rPr>
          <w:i/>
          <w:sz w:val="22"/>
        </w:rPr>
        <w:t>Annual Report 2023, FCAS Factsheet, MARS open-architecture white papers, Multi-Domain Combat Cloud presentations, Airbus Protect product communications (Orion Malware®, CymID®)</w:t>
      </w:r>
      <w:r>
        <w:rPr>
          <w:sz w:val="22"/>
        </w:rPr>
        <w:t xml:space="preserve">. Airbus SE corporate communications, 2022–2024. </w:t>
      </w:r>
      <w:r>
        <w:rPr>
          <w:sz w:val="22"/>
        </w:rPr>
        <w:t xml:space="preserve"> Access: public.</w:t>
      </w:r>
    </w:p>
    <w:p>
      <w:pPr>
        <w:spacing w:after="60"/>
        <w:ind w:left="454" w:hanging="454"/>
      </w:pPr>
      <w:r>
        <w:rPr>
          <w:b/>
          <w:sz w:val="22"/>
        </w:rPr>
        <w:t>R-3</w:t>
      </w:r>
      <w:r>
        <w:rPr>
          <w:sz w:val="22"/>
        </w:rPr>
        <w:t xml:space="preserve"> — International Institute for Strategic Studies (IISS). </w:t>
      </w:r>
      <w:r>
        <w:rPr>
          <w:i/>
          <w:sz w:val="22"/>
        </w:rPr>
        <w:t>The Military Balance — annual editions 2022–2024 (FCAS / 6th-gen, distributed combat-air, cyber-spend categories)</w:t>
      </w:r>
      <w:r>
        <w:rPr>
          <w:sz w:val="22"/>
        </w:rPr>
        <w:t xml:space="preserve">. IISS Press, London. </w:t>
      </w:r>
      <w:r>
        <w:rPr>
          <w:sz w:val="22"/>
        </w:rPr>
        <w:t xml:space="preserve"> Access: subscription.</w:t>
      </w:r>
    </w:p>
    <w:p>
      <w:pPr>
        <w:spacing w:after="60"/>
        <w:ind w:left="454" w:hanging="454"/>
      </w:pPr>
      <w:r>
        <w:rPr>
          <w:b/>
          <w:sz w:val="22"/>
        </w:rPr>
        <w:t>R-4</w:t>
      </w:r>
      <w:r>
        <w:rPr>
          <w:sz w:val="22"/>
        </w:rPr>
        <w:t xml:space="preserve"> — Royal United Services Institute (RUSI). </w:t>
      </w:r>
      <w:r>
        <w:rPr>
          <w:i/>
          <w:sz w:val="22"/>
        </w:rPr>
        <w:t>Occasional papers on sixth-generation combat air, mission-system cyber, and programme-slip economics</w:t>
      </w:r>
      <w:r>
        <w:rPr>
          <w:sz w:val="22"/>
        </w:rPr>
        <w:t xml:space="preserve">. RUSI Whitehall Papers, 2021–2024. </w:t>
      </w:r>
      <w:r>
        <w:rPr>
          <w:sz w:val="22"/>
        </w:rPr>
        <w:t xml:space="preserve"> Access: public.</w:t>
      </w:r>
    </w:p>
    <w:p>
      <w:pPr>
        <w:spacing w:after="60"/>
        <w:ind w:left="454" w:hanging="454"/>
      </w:pPr>
      <w:r>
        <w:rPr>
          <w:b/>
          <w:sz w:val="22"/>
        </w:rPr>
        <w:t>R-5</w:t>
      </w:r>
      <w:r>
        <w:rPr>
          <w:sz w:val="22"/>
        </w:rPr>
        <w:t xml:space="preserve"> — NATO Standardization Office. </w:t>
      </w:r>
      <w:r>
        <w:rPr>
          <w:i/>
          <w:sz w:val="22"/>
        </w:rPr>
        <w:t>STANAG 4586 — Standard Interfaces of UAV Control System (UCS) for NATO UAV Interoperability</w:t>
      </w:r>
      <w:r>
        <w:rPr>
          <w:sz w:val="22"/>
        </w:rPr>
        <w:t xml:space="preserve">. STANAG documentation, current edition. </w:t>
      </w:r>
      <w:r>
        <w:rPr>
          <w:sz w:val="22"/>
        </w:rPr>
        <w:t xml:space="preserve"> Access: public (NATO).</w:t>
      </w:r>
    </w:p>
    <w:p>
      <w:pPr>
        <w:spacing w:after="60"/>
        <w:ind w:left="454" w:hanging="454"/>
      </w:pPr>
      <w:r>
        <w:rPr>
          <w:b/>
          <w:sz w:val="22"/>
        </w:rPr>
        <w:t>R-6</w:t>
      </w:r>
      <w:r>
        <w:rPr>
          <w:sz w:val="22"/>
        </w:rPr>
        <w:t xml:space="preserve"> — IEEE Computer Society / ISO/IEC. </w:t>
      </w:r>
      <w:r>
        <w:rPr>
          <w:i/>
          <w:sz w:val="22"/>
        </w:rPr>
        <w:t>IEEE Std 15288 — Systems and software engineering — System life cycle processes</w:t>
      </w:r>
      <w:r>
        <w:rPr>
          <w:sz w:val="22"/>
        </w:rPr>
        <w:t xml:space="preserve">. IEEE / ISO/IEC, current edition. </w:t>
      </w:r>
      <w:r>
        <w:rPr>
          <w:sz w:val="22"/>
        </w:rPr>
        <w:t xml:space="preserve"> Access: subscription.</w:t>
      </w:r>
    </w:p>
    <w:p>
      <w:pPr>
        <w:spacing w:after="60"/>
        <w:ind w:left="454" w:hanging="454"/>
      </w:pPr>
      <w:r>
        <w:rPr>
          <w:b/>
          <w:sz w:val="22"/>
        </w:rPr>
        <w:t>R-7</w:t>
      </w:r>
      <w:r>
        <w:rPr>
          <w:sz w:val="22"/>
        </w:rPr>
        <w:t xml:space="preserve"> — Deutscher Bundestag Haushaltsausschuss / Assemblée Nationale Commission de la Défense / Congreso de los Diputados Comisión de Defensa. </w:t>
      </w:r>
      <w:r>
        <w:rPr>
          <w:i/>
          <w:sz w:val="22"/>
        </w:rPr>
        <w:t>Parliamentary records of FCAS / NGWS Phase 1B funding approvals, 2022–2024</w:t>
      </w:r>
      <w:r>
        <w:rPr>
          <w:sz w:val="22"/>
        </w:rPr>
        <w:t xml:space="preserve">. Parliamentary published Drucksachen / Rapports d'information / Diario de Sesiones. </w:t>
      </w:r>
      <w:r>
        <w:rPr>
          <w:sz w:val="22"/>
        </w:rPr>
        <w:t xml:space="preserve"> Access: public.</w:t>
      </w:r>
    </w:p>
    <w:p>
      <w:pPr>
        <w:spacing w:after="60"/>
        <w:ind w:left="454" w:hanging="454"/>
      </w:pPr>
      <w:r>
        <w:rPr>
          <w:b/>
          <w:sz w:val="22"/>
        </w:rPr>
        <w:t>R-8</w:t>
      </w:r>
      <w:r>
        <w:rPr>
          <w:sz w:val="22"/>
        </w:rPr>
        <w:t xml:space="preserve"> — European Commission, DG DEFIS. </w:t>
      </w:r>
      <w:r>
        <w:rPr>
          <w:i/>
          <w:sz w:val="22"/>
        </w:rPr>
        <w:t>European Defence Fund — Annual Work Programmes 2021–2025 (cyber-resilience and combat-cloud lines)</w:t>
      </w:r>
      <w:r>
        <w:rPr>
          <w:sz w:val="22"/>
        </w:rPr>
        <w:t xml:space="preserve">. European Commission, Brussels. </w:t>
      </w:r>
      <w:r>
        <w:rPr>
          <w:sz w:val="22"/>
        </w:rPr>
        <w:t xml:space="preserve"> Access: public.</w:t>
      </w:r>
    </w:p>
    <w:p>
      <w:pPr>
        <w:spacing w:after="60"/>
        <w:ind w:left="454" w:hanging="454"/>
      </w:pPr>
      <w:r>
        <w:rPr>
          <w:b/>
          <w:sz w:val="22"/>
        </w:rPr>
        <w:t>R-9</w:t>
      </w:r>
      <w:r>
        <w:rPr>
          <w:sz w:val="22"/>
        </w:rPr>
        <w:t xml:space="preserve"> — European Defence Agency (EDA). </w:t>
      </w:r>
      <w:r>
        <w:rPr>
          <w:i/>
          <w:sz w:val="22"/>
        </w:rPr>
        <w:t>Capability Development Plan — 2023 Revision, including cyber and Multi-Domain Operations priorities</w:t>
      </w:r>
      <w:r>
        <w:rPr>
          <w:sz w:val="22"/>
        </w:rPr>
        <w:t xml:space="preserve">. EDA, Brussels. </w:t>
      </w:r>
      <w:r>
        <w:rPr>
          <w:sz w:val="22"/>
        </w:rPr>
        <w:t xml:space="preserve"> Access: public.</w:t>
      </w:r>
    </w:p>
    <w:p>
      <w:pPr>
        <w:spacing w:after="60"/>
        <w:ind w:left="454" w:hanging="454"/>
      </w:pPr>
      <w:r>
        <w:rPr>
          <w:b/>
          <w:sz w:val="22"/>
        </w:rPr>
        <w:t>R-10</w:t>
      </w:r>
      <w:r>
        <w:rPr>
          <w:sz w:val="22"/>
        </w:rPr>
        <w:t xml:space="preserve"> — US Department of the Air Force. </w:t>
      </w:r>
      <w:r>
        <w:rPr>
          <w:i/>
          <w:sz w:val="22"/>
        </w:rPr>
        <w:t>Collaborative Combat Aircraft (CCA) Increment 1 — downselect announcement, April 2024 (Anduril Industries and General Atomics Aeronautical Systems)</w:t>
      </w:r>
      <w:r>
        <w:rPr>
          <w:sz w:val="22"/>
        </w:rPr>
        <w:t xml:space="preserve">. USAF public release. </w:t>
      </w:r>
      <w:r>
        <w:rPr>
          <w:sz w:val="22"/>
        </w:rPr>
        <w:t xml:space="preserve"> Access: public.</w:t>
      </w:r>
    </w:p>
    <w:p>
      <w:pPr>
        <w:spacing w:after="60"/>
        <w:ind w:left="454" w:hanging="454"/>
      </w:pPr>
      <w:r>
        <w:rPr>
          <w:b/>
          <w:sz w:val="22"/>
        </w:rPr>
        <w:t>R-11</w:t>
      </w:r>
      <w:r>
        <w:rPr>
          <w:sz w:val="22"/>
        </w:rPr>
        <w:t xml:space="preserve"> — Governments of the United Kingdom, Italy and Japan. </w:t>
      </w:r>
      <w:r>
        <w:rPr>
          <w:i/>
          <w:sz w:val="22"/>
        </w:rPr>
        <w:t>Global Combat Air Programme (GCAP) Trilateral Convention, signed 14 December 2023</w:t>
      </w:r>
      <w:r>
        <w:rPr>
          <w:sz w:val="22"/>
        </w:rPr>
        <w:t xml:space="preserve">. UK Ministry of Defence / Italian Ministry of Defence / Japanese Ministry of Foreign Affairs public release. </w:t>
      </w:r>
      <w:r>
        <w:rPr>
          <w:sz w:val="22"/>
        </w:rPr>
        <w:t xml:space="preserve"> Access: public.</w:t>
      </w:r>
    </w:p>
    <w:p>
      <w:pPr>
        <w:spacing w:after="60"/>
        <w:ind w:left="454" w:hanging="454"/>
      </w:pPr>
      <w:r>
        <w:rPr>
          <w:b/>
          <w:sz w:val="22"/>
        </w:rPr>
        <w:t>R-12</w:t>
      </w:r>
      <w:r>
        <w:rPr>
          <w:sz w:val="22"/>
        </w:rPr>
        <w:t xml:space="preserve"> — European Union. </w:t>
      </w:r>
      <w:r>
        <w:rPr>
          <w:i/>
          <w:sz w:val="22"/>
        </w:rPr>
        <w:t>Directive (EU) 2022/2555 of the European Parliament and of the Council of 14 December 2022 on measures for a high common level of cybersecurity across the Union (NIS2 Directive)</w:t>
      </w:r>
      <w:r>
        <w:rPr>
          <w:sz w:val="22"/>
        </w:rPr>
        <w:t xml:space="preserve">. Official Journal of the European Union, L 333, 27.12.2022. </w:t>
      </w:r>
      <w:r>
        <w:rPr>
          <w:sz w:val="22"/>
        </w:rPr>
        <w:t xml:space="preserve"> Access: public.</w:t>
      </w:r>
    </w:p>
    <w:p>
      <w:pPr>
        <w:spacing w:after="60"/>
        <w:ind w:left="454" w:hanging="454"/>
      </w:pPr>
      <w:r>
        <w:rPr>
          <w:b/>
          <w:sz w:val="22"/>
        </w:rPr>
        <w:t>R-13</w:t>
      </w:r>
      <w:r>
        <w:rPr>
          <w:sz w:val="22"/>
        </w:rPr>
        <w:t xml:space="preserve"> — European Union. </w:t>
      </w:r>
      <w:r>
        <w:rPr>
          <w:i/>
          <w:sz w:val="22"/>
        </w:rPr>
        <w:t>Regulation on horizontal cybersecurity requirements for products with digital elements (EU Cyber Resilience Act)</w:t>
      </w:r>
      <w:r>
        <w:rPr>
          <w:sz w:val="22"/>
        </w:rPr>
        <w:t xml:space="preserve">. European Commission proposal COM(2022) 454 final and subsequent trilogue text 2023–2024. </w:t>
      </w:r>
      <w:r>
        <w:rPr>
          <w:sz w:val="22"/>
        </w:rPr>
        <w:t xml:space="preserve"> Access: public.</w:t>
      </w:r>
    </w:p>
    <w:p>
      <w:pPr>
        <w:spacing w:after="60"/>
        <w:ind w:left="454" w:hanging="454"/>
      </w:pPr>
      <w:r>
        <w:rPr>
          <w:b/>
          <w:sz w:val="22"/>
        </w:rPr>
        <w:t>R-14</w:t>
      </w:r>
      <w:r>
        <w:rPr>
          <w:sz w:val="22"/>
        </w:rPr>
        <w:t xml:space="preserve"> — National Institute of Standards and Technology (NIST). </w:t>
      </w:r>
      <w:r>
        <w:rPr>
          <w:i/>
          <w:sz w:val="22"/>
        </w:rPr>
        <w:t>SP 800-160 Vol. 2 Rev. 1 — Developing Cyber-Resilient Systems: A Systems Security Engineering Approach</w:t>
      </w:r>
      <w:r>
        <w:rPr>
          <w:sz w:val="22"/>
        </w:rPr>
        <w:t xml:space="preserve">. NIST, Gaithersburg, December 2021. </w:t>
      </w:r>
      <w:r>
        <w:rPr>
          <w:sz w:val="22"/>
        </w:rPr>
        <w:t xml:space="preserve"> Access: public.</w:t>
      </w:r>
    </w:p>
    <w:p>
      <w:pPr>
        <w:spacing w:after="60"/>
        <w:ind w:left="454" w:hanging="454"/>
      </w:pPr>
      <w:r>
        <w:rPr>
          <w:b/>
          <w:sz w:val="22"/>
        </w:rPr>
        <w:t>R-15</w:t>
      </w:r>
      <w:r>
        <w:rPr>
          <w:sz w:val="22"/>
        </w:rPr>
        <w:t xml:space="preserve"> — Agence nationale de la sécurité des systèmes d'information (ANSSI) &amp; Direction générale de l'armement — Maîtrise de l'information (DGA-MI). </w:t>
      </w:r>
      <w:r>
        <w:rPr>
          <w:i/>
          <w:sz w:val="22"/>
        </w:rPr>
        <w:t>National accreditation methodologies for sovereign defence cyber capabilities</w:t>
      </w:r>
      <w:r>
        <w:rPr>
          <w:sz w:val="22"/>
        </w:rPr>
        <w:t xml:space="preserve">. ANSSI / DGA-MI public methodology guides, current editions. </w:t>
      </w:r>
      <w:r>
        <w:rPr>
          <w:sz w:val="22"/>
        </w:rPr>
        <w:t xml:space="preserve"> Access: public.</w:t>
      </w:r>
    </w:p>
    <w:p>
      <w:pPr>
        <w:spacing w:after="60"/>
        <w:ind w:left="454" w:hanging="454"/>
      </w:pPr>
      <w:r>
        <w:rPr>
          <w:b/>
          <w:sz w:val="22"/>
        </w:rPr>
        <w:t>R-16</w:t>
      </w:r>
      <w:r>
        <w:rPr>
          <w:sz w:val="22"/>
        </w:rPr>
        <w:t xml:space="preserve"> — Bundesamt für Sicherheit in der Informationstechnik (BSI) &amp; Centro Criptológico Nacional (CCN-CERT, INCIBE). </w:t>
      </w:r>
      <w:r>
        <w:rPr>
          <w:i/>
          <w:sz w:val="22"/>
        </w:rPr>
        <w:t>National sovereign-cyber overlay frameworks (BSI Grundschutz; CCN-STIC catalogue)</w:t>
      </w:r>
      <w:r>
        <w:rPr>
          <w:sz w:val="22"/>
        </w:rPr>
        <w:t xml:space="preserve">. BSI Bonn / CCN Madrid, current editions. </w:t>
      </w:r>
      <w:r>
        <w:rPr>
          <w:sz w:val="22"/>
        </w:rPr>
        <w:t xml:space="preserve"> Access: public.</w:t>
      </w:r>
    </w:p>
    <w:p>
      <w:pPr>
        <w:spacing w:after="60"/>
        <w:ind w:left="454" w:hanging="454"/>
      </w:pPr>
      <w:r>
        <w:rPr>
          <w:b/>
          <w:sz w:val="22"/>
        </w:rPr>
        <w:t>R-17</w:t>
      </w:r>
      <w:r>
        <w:rPr>
          <w:sz w:val="22"/>
        </w:rPr>
        <w:t xml:space="preserve"> — NATO Communications and Information Agency (NCIA). </w:t>
      </w:r>
      <w:r>
        <w:rPr>
          <w:i/>
          <w:sz w:val="22"/>
        </w:rPr>
        <w:t>Federated Mission Networking (FMN) Capability Framework — current spiral</w:t>
      </w:r>
      <w:r>
        <w:rPr>
          <w:sz w:val="22"/>
        </w:rPr>
        <w:t xml:space="preserve">. NCIA public-facing FMN documentation. </w:t>
      </w:r>
      <w:r>
        <w:rPr>
          <w:sz w:val="22"/>
        </w:rPr>
        <w:t xml:space="preserve"> Access: public.</w:t>
      </w:r>
    </w:p>
    <w:p>
      <w:pPr>
        <w:spacing w:after="60"/>
        <w:ind w:left="454" w:hanging="454"/>
      </w:pPr>
      <w:r>
        <w:rPr>
          <w:b/>
          <w:sz w:val="22"/>
        </w:rPr>
        <w:t>R-18</w:t>
      </w:r>
      <w:r>
        <w:rPr>
          <w:sz w:val="22"/>
        </w:rPr>
        <w:t xml:space="preserve"> — Defense News, Breaking Defense, Janes Defence Weekly. </w:t>
      </w:r>
      <w:r>
        <w:rPr>
          <w:i/>
          <w:sz w:val="22"/>
        </w:rPr>
        <w:t>Coverage of US-origin mission-edge cyber vendors (Anduril Lattice, Palantir Foundry / Gotham defence deployments, Shift5 operational-technology cyber) 2022–2024</w:t>
      </w:r>
      <w:r>
        <w:rPr>
          <w:sz w:val="22"/>
        </w:rPr>
        <w:t xml:space="preserve">. Specialist defence press. </w:t>
      </w:r>
      <w:r>
        <w:rPr>
          <w:sz w:val="22"/>
        </w:rPr>
        <w:t xml:space="preserve"> (positioning claims) / </w:t>
      </w:r>
      <w:r>
        <w:rPr>
          <w:sz w:val="22"/>
        </w:rPr>
        <w:t xml:space="preserve"> (contract awards). Access: mixed public / subscription.</w:t>
      </w:r>
    </w:p>
    <w:p>
      <w:pPr>
        <w:spacing w:after="60"/>
        <w:ind w:left="454" w:hanging="454"/>
      </w:pPr>
      <w:r>
        <w:rPr>
          <w:b/>
          <w:sz w:val="22"/>
        </w:rPr>
        <w:t>R-19</w:t>
      </w:r>
      <w:r>
        <w:rPr>
          <w:sz w:val="22"/>
        </w:rPr>
        <w:t xml:space="preserve"> — US DoD Open Group / Future Airborne Capability Environment (FACE) Consortium &amp; Open Mission Systems (OMS) Programme. </w:t>
      </w:r>
      <w:r>
        <w:rPr>
          <w:i/>
          <w:sz w:val="22"/>
        </w:rPr>
        <w:t>Public lifecycle-cost benchmarks for open-architecture mission systems</w:t>
      </w:r>
      <w:r>
        <w:rPr>
          <w:sz w:val="22"/>
        </w:rPr>
        <w:t xml:space="preserve">. The Open Group / USAF public materials, 2018–2023. </w:t>
      </w:r>
      <w:r>
        <w:rPr>
          <w:sz w:val="22"/>
        </w:rPr>
        <w:t xml:space="preserve"> for cost-benchmark extrapolation. Access: public.</w:t>
      </w:r>
    </w:p>
    <w:p>
      <w:pPr>
        <w:spacing w:after="60"/>
        <w:ind w:left="454" w:hanging="454"/>
      </w:pPr>
      <w:r>
        <w:rPr>
          <w:b/>
          <w:sz w:val="22"/>
        </w:rPr>
        <w:t>R-20</w:t>
      </w:r>
      <w:r>
        <w:rPr>
          <w:sz w:val="22"/>
        </w:rPr>
        <w:t xml:space="preserve"> — Stockholm International Peace Research Institute (SIPRI). </w:t>
      </w:r>
      <w:r>
        <w:rPr>
          <w:i/>
          <w:sz w:val="22"/>
        </w:rPr>
        <w:t>SIPRI Yearbook — annual editions (Armaments, Disarmament and International Security; arms-industry top-100 listings)</w:t>
      </w:r>
      <w:r>
        <w:rPr>
          <w:sz w:val="22"/>
        </w:rPr>
        <w:t xml:space="preserve">. SIPRI / Oxford University Press. </w:t>
      </w:r>
      <w:r>
        <w:rPr>
          <w:sz w:val="22"/>
        </w:rPr>
        <w:t xml:space="preserve"> Access: subscription.</w:t>
      </w:r>
    </w:p>
    <w:p>
      <w:pPr>
        <w:spacing w:after="60"/>
        <w:ind w:left="454" w:hanging="454"/>
      </w:pPr>
      <w:r>
        <w:rPr>
          <w:b/>
          <w:sz w:val="22"/>
        </w:rPr>
        <w:t>R-21</w:t>
      </w:r>
      <w:r>
        <w:rPr>
          <w:sz w:val="22"/>
        </w:rPr>
        <w:t xml:space="preserve"> — NATO Cooperative Cyber Defence Centre of Excellence (CCD-COE, Tallinn). </w:t>
      </w:r>
      <w:r>
        <w:rPr>
          <w:i/>
          <w:sz w:val="22"/>
        </w:rPr>
        <w:t>Tallinn Manual 2.0 on the International Law Applicable to Cyber Operations</w:t>
      </w:r>
      <w:r>
        <w:rPr>
          <w:sz w:val="22"/>
        </w:rPr>
        <w:t xml:space="preserve"> and CCD-COE annual research papers. CCD-COE / Cambridge University Press. </w:t>
      </w:r>
      <w:r>
        <w:rPr>
          <w:sz w:val="22"/>
        </w:rPr>
        <w:t xml:space="preserve"> Access: public.</w:t>
      </w:r>
    </w:p>
    <w:p>
      <w:pPr>
        <w:spacing w:after="60"/>
        <w:ind w:left="454" w:hanging="454"/>
      </w:pPr>
      <w:r>
        <w:rPr>
          <w:b/>
          <w:sz w:val="22"/>
        </w:rPr>
        <w:t>R-22</w:t>
      </w:r>
      <w:r>
        <w:rPr>
          <w:sz w:val="22"/>
        </w:rPr>
        <w:t xml:space="preserve"> — Royal United Services Institute (RUSI). </w:t>
      </w:r>
      <w:r>
        <w:rPr>
          <w:i/>
          <w:sz w:val="22"/>
        </w:rPr>
        <w:t>The Future of Coalition Air Combat — multi-author study series</w:t>
      </w:r>
      <w:r>
        <w:rPr>
          <w:sz w:val="22"/>
        </w:rPr>
        <w:t xml:space="preserve">. RUSI Conference Papers, 2022–2024. </w:t>
      </w:r>
      <w:r>
        <w:rPr>
          <w:sz w:val="22"/>
        </w:rPr>
        <w:t xml:space="preserve"> Access: public.</w:t>
      </w:r>
    </w:p>
    <w:p>
      <w:pPr>
        <w:spacing w:after="60"/>
        <w:ind w:left="454" w:hanging="454"/>
      </w:pPr>
      <w:r>
        <w:rPr>
          <w:b/>
          <w:sz w:val="22"/>
        </w:rPr>
        <w:t>R-23</w:t>
      </w:r>
      <w:r>
        <w:rPr>
          <w:sz w:val="22"/>
        </w:rPr>
        <w:t xml:space="preserve"> — Institut français des relations internationales (IFRI). </w:t>
      </w:r>
      <w:r>
        <w:rPr>
          <w:i/>
          <w:sz w:val="22"/>
        </w:rPr>
        <w:t>Focus stratégique series on defence aerospace and European sovereignty</w:t>
      </w:r>
      <w:r>
        <w:rPr>
          <w:sz w:val="22"/>
        </w:rPr>
        <w:t xml:space="preserve">. IFRI Paris, 2020–2024. </w:t>
      </w:r>
      <w:r>
        <w:rPr>
          <w:sz w:val="22"/>
        </w:rPr>
        <w:t xml:space="preserve"> Access: public.</w:t>
      </w:r>
    </w:p>
    <w:p>
      <w:pPr>
        <w:spacing w:after="60"/>
        <w:ind w:left="454" w:hanging="454"/>
      </w:pPr>
      <w:r>
        <w:rPr>
          <w:b/>
          <w:sz w:val="22"/>
        </w:rPr>
        <w:t>R-24</w:t>
      </w:r>
      <w:r>
        <w:rPr>
          <w:sz w:val="22"/>
        </w:rPr>
        <w:t xml:space="preserve"> — Stockholm International Peace Research Institute (SIPRI). </w:t>
      </w:r>
      <w:r>
        <w:rPr>
          <w:i/>
          <w:sz w:val="22"/>
        </w:rPr>
        <w:t>European Defence Industrial Base — recurring monographs</w:t>
      </w:r>
      <w:r>
        <w:rPr>
          <w:sz w:val="22"/>
        </w:rPr>
        <w:t xml:space="preserve">. SIPRI Stockholm. </w:t>
      </w:r>
      <w:r>
        <w:rPr>
          <w:sz w:val="22"/>
        </w:rPr>
        <w:t xml:space="preserve"> Access: public.</w:t>
      </w:r>
    </w:p>
    <w:p>
      <w:pPr>
        <w:spacing w:after="60"/>
        <w:ind w:left="454" w:hanging="454"/>
      </w:pPr>
      <w:r>
        <w:rPr>
          <w:b/>
          <w:sz w:val="22"/>
        </w:rPr>
        <w:t>R-25</w:t>
      </w:r>
      <w:r>
        <w:rPr>
          <w:sz w:val="22"/>
        </w:rPr>
        <w:t xml:space="preserve"> — Michael E. Porter. </w:t>
      </w:r>
      <w:r>
        <w:rPr>
          <w:i/>
          <w:sz w:val="22"/>
        </w:rPr>
        <w:t>Competitive Advantage: Creating and Sustaining Superior Performance</w:t>
      </w:r>
      <w:r>
        <w:rPr>
          <w:sz w:val="22"/>
        </w:rPr>
        <w:t xml:space="preserve">. The Free Press, New York, 1985 (and subsequent editions). Used as the framework for the value chain (§4.2), Five Forces (§3.4), and resource-based view (§4.1). </w:t>
      </w:r>
      <w:r>
        <w:rPr>
          <w:sz w:val="22"/>
        </w:rPr>
        <w:t xml:space="preserve"> Access: public.</w:t>
      </w:r>
    </w:p>
    <w:p>
      <w:pPr>
        <w:spacing w:after="60"/>
        <w:ind w:left="454" w:hanging="454"/>
      </w:pPr>
      <w:r>
        <w:rPr>
          <w:b/>
          <w:sz w:val="22"/>
        </w:rPr>
        <w:t>R-26</w:t>
      </w:r>
      <w:r>
        <w:rPr>
          <w:sz w:val="22"/>
        </w:rPr>
        <w:t xml:space="preserve"> — Alexander Osterwalder, Yves Pigneur, Greg Bernarda, Alan Smith. </w:t>
      </w:r>
      <w:r>
        <w:rPr>
          <w:i/>
          <w:sz w:val="22"/>
        </w:rPr>
        <w:t>Value Proposition Design — How to Create Products and Services Customers Want</w:t>
      </w:r>
      <w:r>
        <w:rPr>
          <w:sz w:val="22"/>
        </w:rPr>
        <w:t xml:space="preserve">. Wiley, 2014; and </w:t>
      </w:r>
      <w:r>
        <w:rPr>
          <w:i/>
          <w:sz w:val="22"/>
        </w:rPr>
        <w:t>Business Model Generation</w:t>
      </w:r>
      <w:r>
        <w:rPr>
          <w:sz w:val="22"/>
        </w:rPr>
        <w:t xml:space="preserve">, Wiley, 2010. Used as the framework for the value proposition canvas (§3.1) and the broader business-model articulation. </w:t>
      </w:r>
      <w:r>
        <w:rPr>
          <w:sz w:val="22"/>
        </w:rPr>
        <w:t xml:space="preserve"> Access: public.</w:t>
      </w:r>
    </w:p>
    <w:p>
      <w:pPr>
        <w:spacing w:after="80"/>
      </w:pPr>
      <w:r>
        <w:rPr>
          <w:color w:val="52627A"/>
          <w:sz w:val="18"/>
        </w:rPr>
        <w:t>References R-1 through R-26 form the load-bearing primary-source and methodological register for this business plan. Twenty references are required by the review-board specification; twenty-six are provided to ensure depth of coverage on each load-bearing claim and to make explicit the analytical-framework provenance for the market, capabilities, and financial sections.</w:t>
      </w:r>
    </w:p>
    <w:p>
      <w:r>
        <w:br/>
      </w:r>
    </w:p>
    <w:p>
      <w:pPr>
        <w:spacing w:before="400"/>
        <w:jc w:val="center"/>
      </w:pPr>
      <w:r>
        <w:rPr>
          <w:color w:val="52627A"/>
          <w:sz w:val="18"/>
        </w:rPr>
        <w:t xml:space="preserve">SPARTA Business Plan v2.0 · Review-Ready · 24 April 2026   </w:t>
      </w:r>
      <w:r>
        <w:rPr>
          <w:color w:val="52627A"/>
          <w:sz w:val="18"/>
        </w:rPr>
        <w:t xml:space="preserve">Companion: SPARTA System Definition Datapack Deliverables 01–06 (Draft C.4, CDR-ready)   </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27A"/>
        <w:sz w:val="16"/>
      </w:rPr>
      <w:t xml:space="preserve">SPARTA Business Plan v2.0 - Review-Ready - Page </w:t>
    </w:r>
    <w: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01A2D"/>
      <w:sz w:val="26"/>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4203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01A2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