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color w:val="2A5239"/>
        </w:rPr>
        <w:t xml:space="preserve">Precio</w:t>
      </w:r>
    </w:p>
    <w:p>
      <w:pPr>
        <w:spacing w:after="120"/>
      </w:pPr>
      <w:r>
        <w:rPr>
          <w:b/>
          <w:bCs/>
        </w:rPr>
        <w:t xml:space="preserve">Modelo: </w:t>
      </w:r>
      <w:r>
        <w:t xml:space="preserve">suscripción mensual por garantía monitoreada, escalonada por tamaño del rodeo. Cobrar por reporte desincentiva la frecuencia de control; la suscripción alinea el precio con el monitoreo continuo.</w:t>
      </w:r>
    </w:p>
    <w:p>
      <w:pPr>
        <w:pStyle w:val="Heading2"/>
        <w:spacing w:after="100" w:before="200"/>
      </w:pPr>
      <w:r>
        <w:rPr>
          <w:b/>
          <w:bCs/>
          <w:color w:val="2A5239"/>
        </w:rPr>
        <w:t xml:space="preserve">Piso: costo por garantía por 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mensual (USD)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Procesamiento con IA en servidor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 – 3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Almacenamiento de fotos y video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 – 2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Soporte al productor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 – 5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(piso)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 – 10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A5239"/>
        </w:rPr>
        <w:t xml:space="preserve">Techo 1: costo actual de controlar una garantía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(USD)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Honorarios del perito (por día)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150 – 250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Viaje (aprox. 300 km a USD 0,3/km)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90 – 180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Viáticos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≈ 50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Costo por inspección presencial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300 – 480</w:t>
            </w:r>
          </w:p>
        </w:tc>
      </w:tr>
      <w:tr>
        <w:tc>
          <w:tcPr>
            <w:tcW w:type="pct" w:w="7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Costo anual con 2 a 4 visitas por garantía</w:t>
            </w:r>
          </w:p>
        </w:tc>
        <w:tc>
          <w:tcPr>
            <w:tcW w:type="pct" w:w="3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600 – 1.900</w:t>
            </w:r>
          </w:p>
        </w:tc>
      </w:tr>
    </w:tbl>
    <w:p>
      <w:pPr>
        <w:spacing w:after="120" w:before="80"/>
      </w:pPr>
      <w:r>
        <w:t xml:space="preserve">Aun pagando eso, el banco controla cada garantía solo 2 a 4 veces por año.</w:t>
      </w:r>
    </w:p>
    <w:p>
      <w:pPr>
        <w:pStyle w:val="Heading2"/>
        <w:spacing w:after="100" w:before="200"/>
      </w:pPr>
      <w:r>
        <w:rPr>
          <w:b/>
          <w:bCs/>
          <w:color w:val="2A5239"/>
        </w:rPr>
        <w:t xml:space="preserve">Techo 2: valor del riesgo evitado (hipótesis a validar)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Garantía típica: 500 cabezas × 400 kg × USD 2/kg</w:t>
            </w:r>
          </w:p>
        </w:tc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≈ USD 400.000 (4 × 10⁵)</w:t>
            </w:r>
          </w:p>
        </w:tc>
      </w:tr>
      <w:tr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Irregularidad en préstamos a empresas (BCRA)</w:t>
            </w:r>
          </w:p>
        </w:tc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3,6 %</w:t>
            </w:r>
          </w:p>
        </w:tc>
      </w:tr>
      <w:tr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Exposición esperada por año</w:t>
            </w:r>
          </w:p>
        </w:tc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≈ USD 14.400</w:t>
            </w:r>
          </w:p>
        </w:tc>
      </w:tr>
      <w:tr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Ahorro si el monitoreo reduce la pérdida un 10 %</w:t>
            </w:r>
          </w:p>
        </w:tc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≈ USD 1.400 por año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A5239"/>
        </w:rPr>
        <w:t xml:space="preserve">Precio propuesto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Tamaño del rodeo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mensual (USD)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anual (USD)</w:t>
            </w:r>
          </w:p>
        </w:tc>
      </w:tr>
      <w:tr>
        <w:tc>
          <w:tcPr>
            <w:tcW w:type="pct" w:w="5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Hasta 500 cabezas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pct" w:w="5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 a 2.000 cabezas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1.080</w:t>
            </w:r>
          </w:p>
        </w:tc>
      </w:tr>
      <w:tr>
        <w:tc>
          <w:tcPr>
            <w:tcW w:type="pct" w:w="5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Más de 2.000 cabezas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2.160</w:t>
            </w:r>
          </w:p>
        </w:tc>
      </w:tr>
      <w:tr>
        <w:tc>
          <w:tcPr>
            <w:tcW w:type="pct" w:w="5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Promedio ponderado (usado en P × Q)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720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Implementación por entidad: </w:t>
      </w:r>
      <w:r>
        <w:t xml:space="preserve">USD 2.000 a 5.000 (integración, configuración del checklist documental y de las alertas).</w:t>
      </w:r>
    </w:p>
    <w:p>
      <w:pPr>
        <w:spacing w:after="120"/>
      </w:pPr>
      <w:r>
        <w:rPr>
          <w:b/>
          <w:bCs/>
        </w:rPr>
        <w:t xml:space="preserve">Posicionamiento: </w:t>
      </w:r>
      <w:r>
        <w:t xml:space="preserve">el precio se ubica cerca del techo bajo del costo actual (USD 600 por año), pero con 12 verificaciones anuales en lugar de 2 a 4.</w:t>
      </w:r>
    </w:p>
    <w:p>
      <w:pPr>
        <w:spacing w:after="120"/>
      </w:pPr>
      <w:r>
        <w:rPr>
          <w:b/>
          <w:bCs/>
        </w:rPr>
        <w:t xml:space="preserve">Margen de contribución: </w:t>
      </w:r>
      <w:r>
        <w:t xml:space="preserve">aprox. 85 % (USD 60 de precio contra USD 5–10 de costo).</w:t>
      </w:r>
    </w:p>
    <w:p>
      <w:pPr>
        <w:pStyle w:val="Heading2"/>
        <w:spacing w:after="100" w:before="200"/>
      </w:pPr>
      <w:r>
        <w:rPr>
          <w:b/>
          <w:bCs/>
          <w:color w:val="2A5239"/>
        </w:rPr>
        <w:t xml:space="preserve">Estimación de flujo (P × Q)</w:t>
      </w:r>
    </w:p>
    <w:p>
      <w:pPr>
        <w:spacing w:after="120"/>
      </w:pPr>
      <w:r>
        <w:rPr>
          <w:b/>
          <w:bCs/>
        </w:rPr>
        <w:t xml:space="preserve">Mercado atendible: </w:t>
      </w:r>
      <w:r>
        <w:t xml:space="preserve">6.500 a 13.000 garantías ganaderas activas, orden de magnitud 10⁴. Surge de suponer que entre el 5 % y el 10 % de las 130.929 EAP con bovinos (CNA 2018) tiene un crédito garantizado con hacienda.</w:t>
      </w:r>
    </w:p>
    <w:p>
      <w:pPr>
        <w:spacing w:after="120"/>
      </w:pPr>
      <w:r>
        <w:rPr>
          <w:b/>
          <w:bCs/>
        </w:rPr>
        <w:t xml:space="preserve">Precio: </w:t>
      </w:r>
      <w:r>
        <w:t xml:space="preserve">P = USD 60 por garantía por 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Entidades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Garantías monitoreadas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Penetración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Ingreso mensual (USD)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Ingreso anual (USD)</w:t>
            </w:r>
          </w:p>
        </w:tc>
      </w:tr>
      <w:t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0,3 – 0,6 %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2.400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28.800</w:t>
            </w:r>
          </w:p>
        </w:tc>
      </w:tr>
      <w:t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1,5 – 3 %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12.000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144.000</w:t>
            </w:r>
          </w:p>
        </w:tc>
      </w:tr>
      <w:t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 – 9 %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36.000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432.000</w:t>
            </w:r>
          </w:p>
        </w:tc>
      </w:tr>
      <w:t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1.000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 – 15 %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60.000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720.000</w:t>
            </w:r>
          </w:p>
        </w:tc>
      </w:tr>
      <w:tr>
        <w:tc>
          <w:tcPr>
            <w:tcW w:type="pct" w:w="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1.300</w:t>
            </w:r>
          </w:p>
        </w:tc>
        <w:tc>
          <w:tcPr>
            <w:tcW w:type="pct" w:w="18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 – 20 %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78.000</w:t>
            </w:r>
          </w:p>
        </w:tc>
        <w:tc>
          <w:tcPr>
            <w:tcW w:type="pct" w:w="20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936.000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Rango del año 5 (mínimo – máximo): </w:t>
      </w:r>
      <w:r>
        <w:t xml:space="preserve">600 a 2.000 garantías, es decir USD 432.000 a USD 1.440.000 por año.</w:t>
      </w:r>
    </w:p>
    <w:p>
      <w:pPr>
        <w:spacing w:after="120"/>
      </w:pPr>
      <w:r>
        <w:t xml:space="preserve">No incluye los cargos de implementación ni la expansión a granos y silobolsas, que la plataforma ya soporta.</w:t>
      </w:r>
    </w:p>
    <w:p>
      <w:pPr>
        <w:pStyle w:val="Heading1"/>
        <w:spacing w:after="120" w:before="240"/>
      </w:pPr>
      <w:r>
        <w:rPr>
          <w:b/>
          <w:bCs/>
          <w:color w:val="2A5239"/>
        </w:rPr>
        <w:t xml:space="preserve">Promoción</w:t>
      </w:r>
    </w:p>
    <w:p>
      <w:pPr>
        <w:spacing w:after="120"/>
      </w:pPr>
      <w:r>
        <w:rPr>
          <w:b/>
          <w:bCs/>
        </w:rPr>
        <w:t xml:space="preserve">Venta consultiva B2B </w:t>
      </w:r>
      <w:r>
        <w:t xml:space="preserve">dirigida a las Gerencias de Riesgo Crediticio y de Banca Agropecuaria de bancos, y a las áreas de Seguros Agro de aseguradoras. En una segunda etapa: Sociedades de Garantía Recíproca, financiadores de feedlot y fintech de crédito agro.</w:t>
      </w:r>
    </w:p>
    <w:p>
      <w:pPr>
        <w:spacing w:after="120"/>
      </w:pPr>
      <w:r>
        <w:rPr>
          <w:b/>
          <w:bCs/>
        </w:rPr>
        <w:t xml:space="preserve">Mensaje central: </w:t>
      </w:r>
      <w:r>
        <w:rPr>
          <w:i/>
          <w:iCs/>
        </w:rPr>
        <w:t xml:space="preserve">"Controlá tu cartera ganadera todos los meses por menos de lo que hoy te cuesta una inspección."</w:t>
      </w:r>
    </w:p>
    <w:p>
      <w:pPr>
        <w:pStyle w:val="Heading2"/>
        <w:spacing w:after="100" w:before="200"/>
      </w:pPr>
      <w:r>
        <w:rPr>
          <w:b/>
          <w:bCs/>
          <w:color w:val="2A5239"/>
        </w:rPr>
        <w:t xml:space="preserve">Prueba de concepto (PoC) gratuita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pct" w:w="7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pct" w:w="7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 a 90 días</w:t>
            </w:r>
          </w:p>
        </w:tc>
      </w:tr>
      <w:tr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Alcance</w:t>
            </w:r>
          </w:p>
        </w:tc>
        <w:tc>
          <w:tcPr>
            <w:tcW w:type="pct" w:w="7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 a 50 garantías vigentes de riesgo alto o próximas a renovar</w:t>
            </w:r>
          </w:p>
        </w:tc>
      </w:tr>
      <w:tr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Qué se mide</w:t>
            </w:r>
          </w:p>
        </w:tc>
        <w:tc>
          <w:tcPr>
            <w:tcW w:type="pct" w:w="7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Costo por garantía verificada, frecuencia de control y diferencias detectadas frente a las inspecciones tradicionales</w:t>
            </w:r>
          </w:p>
        </w:tc>
      </w:tr>
      <w:tr>
        <w:tc>
          <w:tcPr>
            <w:tcW w:type="pct" w:w="2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Cierre</w:t>
            </w:r>
          </w:p>
        </w:tc>
        <w:tc>
          <w:tcPr>
            <w:tcW w:type="pct" w:w="7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E9F0E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Conversión a contrato anual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A5239"/>
        </w:rPr>
        <w:t xml:space="preserve">Canales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shd w:fill="2A523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Bancos</w:t>
            </w:r>
          </w:p>
        </w:tc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Cámaras bancarias: ADEBA, ABA y ABAPPRA</w:t>
            </w:r>
          </w:p>
        </w:tc>
      </w:tr>
      <w:tr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Sociedades de Garantía Recíproca</w:t>
            </w:r>
          </w:p>
        </w:tc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CASFOG</w:t>
            </w:r>
          </w:p>
        </w:tc>
      </w:tr>
      <w:tr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Productores</w:t>
            </w:r>
          </w:p>
        </w:tc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AACREA</w:t>
            </w:r>
          </w:p>
        </w:tc>
      </w:tr>
      <w:tr>
        <w:tc>
          <w:tcPr>
            <w:tcW w:type="pct" w:w="3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Todo el sector</w:t>
            </w:r>
          </w:p>
        </w:tc>
        <w:tc>
          <w:tcPr>
            <w:tcW w:type="pct" w:w="65%"/>
            <w:tcBorders>
              <w:top w:val="single" w:color="D6D2C8" w:sz="4"/>
              <w:left w:val="single" w:color="D6D2C8" w:sz="4"/>
              <w:bottom w:val="single" w:color="D6D2C8" w:sz="4"/>
              <w:right w:val="single" w:color="D6D2C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Ferias: Expoagro y Agroactiva</w:t>
            </w:r>
          </w:p>
        </w:tc>
      </w:tr>
    </w:tbl>
    <w:p>
      <w:pPr>
        <w:spacing w:before="120"/>
      </w:pPr>
      <w:r>
        <w:t xml:space="preserve">Para el productor la plataforma no tiene costo: se presenta como una forma de acceder a crédito con menos trámites y sin esperar inspecciones.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2026-10-06T20:53:30.892Z</dcterms:created>
  <dcterms:modified xsi:type="dcterms:W3CDTF">2026-10-06T20:53:30.892Z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