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relatório-final-xcommerce"/>
    <w:p>
      <w:pPr>
        <w:pStyle w:val="Heading1"/>
      </w:pPr>
      <w:r>
        <w:t xml:space="preserve">Relatório Final XCommerce</w:t>
      </w:r>
    </w:p>
    <w:p>
      <w:pPr>
        <w:pStyle w:val="FirstParagraph"/>
      </w:pPr>
      <w:r>
        <w:rPr>
          <w:b/>
          <w:bCs/>
        </w:rPr>
        <w:t xml:space="preserve">Da arquitetura monolítica aos microserviços: estudo empírico de uma transição em comércio eletrónico</w:t>
      </w:r>
    </w:p>
    <w:p>
      <w:pPr>
        <w:pStyle w:val="BodyText"/>
      </w:pPr>
      <w:r>
        <w:rPr>
          <w:b/>
          <w:bCs/>
        </w:rPr>
        <w:t xml:space="preserve">Liandro Macedo da Cruz</w:t>
      </w:r>
      <w:r>
        <w:t xml:space="preserve"> </w:t>
      </w:r>
      <w:r>
        <w:t xml:space="preserve">— PG61472</w:t>
      </w:r>
      <w:r>
        <w:t xml:space="preserve"> </w:t>
      </w:r>
      <w:r>
        <w:rPr>
          <w:b/>
          <w:bCs/>
        </w:rPr>
        <w:t xml:space="preserve">Miguel Angelo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afiliação, e-mail</w:t>
      </w:r>
      <w:r>
        <w:t xml:space="preserve"> </w:t>
      </w:r>
      <w:r>
        <w:rPr>
          <w:b/>
          <w:bCs/>
        </w:rPr>
        <w:t xml:space="preserve">Rafael R. Prudente dos Santos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afiliação, e-mail</w:t>
      </w:r>
      <w:r>
        <w:t xml:space="preserve"> </w:t>
      </w:r>
      <w:r>
        <w:rPr>
          <w:b/>
          <w:bCs/>
        </w:rPr>
        <w:t xml:space="preserve">Tomás CMS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afiliação, e-mail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literatura de engenharia de software apresenta a arquitetura de microserviços como resposta à rigidez das aplicações monolíticas, sustentada em argumentos de modularidade, isolamento de falhas e escalabilidade independente. Este trabalho examina empiricamente essa transição num caso concreto, o XCommerce — uma aplicação de comércio eletrónico originalmente implementada como monólito em Spring Boot — propondo e avaliando uma decomposição em sete serviços autónomos guiada pelo Domain-Driven Design. A questão central não é se a decomposição traz benefícios, mas que natureza têm os custos que introduz. Com base em três questões de investigação — sobre a redistribuição do acoplamento, o crescimento do custo com a complexidade dos fluxos e a consistência sob falha parcial — e em medições controladas com paridade funcional entre arquiteturas, mostra-se que a decomposição (i) substitui acoplamento estático por acoplamento dinâmico de magnitude equivalente, (ii) penaliza desproporcionalmente operações que envolvem múltiplos domínios e (iii) regride a consistência transacional na ausência de padrões de compensação. Os resultados sugerem que a adoção de microserviços é uma reorganização de problemas arquiteturais, e não a sua eliminação.</w:t>
      </w:r>
    </w:p>
    <w:p>
      <w:pPr>
        <w:pStyle w:val="BodyText"/>
      </w:pPr>
      <w:r>
        <w:rPr>
          <w:b/>
          <w:bCs/>
        </w:rPr>
        <w:t xml:space="preserve">CCS Concepts:</w:t>
      </w:r>
      <w:r>
        <w:t xml:space="preserve"> </w:t>
      </w:r>
      <w:r>
        <w:t xml:space="preserve">Software architectures · Microservices · Software evolution · Performance evaluation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arquitetura monolítica, microserviços, Domain-Driven Design, bounded context, consistência distribuída, atributos de qualidade, Spring Boot, comércio eletrónico.</w:t>
      </w:r>
    </w:p>
    <w:p>
      <w:r>
        <w:pict>
          <v:rect style="width:0;height:1.5pt" o:hralign="center" o:hrstd="t" o:hr="t"/>
        </w:pict>
      </w:r>
    </w:p>
    <w:bookmarkEnd w:id="9"/>
    <w:bookmarkStart w:id="13" w:name="introdução"/>
    <w:p>
      <w:pPr>
        <w:pStyle w:val="Heading2"/>
      </w:pPr>
      <w:r>
        <w:t xml:space="preserve">1. Introdução</w:t>
      </w:r>
    </w:p>
    <w:bookmarkStart w:id="10" w:name="contexto-e-problema"/>
    <w:p>
      <w:pPr>
        <w:pStyle w:val="Heading3"/>
      </w:pPr>
      <w:r>
        <w:t xml:space="preserve">1.1 Contexto e Problema</w:t>
      </w:r>
    </w:p>
    <w:p>
      <w:pPr>
        <w:pStyle w:val="FirstParagraph"/>
      </w:pPr>
      <w:r>
        <w:t xml:space="preserve">A arquitetura de software determina, em larga medida, a capacidade de uma aplicação evoluir. Em sistemas de comércio eletrónico, onde os domínios funcionais — catálogo, carrinho, encomendas, autenticação — apresentam ritmos de evolução, padrões de utilização e exigências de escala distintos, o modelo monolítico tende a tornar-se um obstáculo: o acoplamento estrutural entre módulos cristaliza-se no esquema da base de dados, qualquer alteração obriga a um redeployment integral e a saturação de um único domínio compromete o funcionamento de todos os outros.</w:t>
      </w:r>
    </w:p>
    <w:p>
      <w:pPr>
        <w:pStyle w:val="BodyText"/>
      </w:pPr>
      <w:r>
        <w:t xml:space="preserve">A literatura propõe a arquitetura de microserviços como resposta a estas limitações. Trabalhos como</w:t>
      </w:r>
      <w:r>
        <w:t xml:space="preserve"> </w:t>
      </w:r>
      <w:r>
        <w:rPr>
          <w:i/>
          <w:iCs/>
        </w:rPr>
        <w:t xml:space="preserve">Building Microservices</w:t>
      </w:r>
      <w:r>
        <w:t xml:space="preserve"> </w:t>
      </w:r>
      <w:r>
        <w:t xml:space="preserve">[Newman, 2021] e</w:t>
      </w:r>
      <w:r>
        <w:t xml:space="preserve"> </w:t>
      </w:r>
      <w:r>
        <w:rPr>
          <w:i/>
          <w:iCs/>
        </w:rPr>
        <w:t xml:space="preserve">Microservices Patterns</w:t>
      </w:r>
      <w:r>
        <w:t xml:space="preserve"> </w:t>
      </w:r>
      <w:r>
        <w:t xml:space="preserve">[Richardson, 2018] argumentam que a decomposição em serviços autónomos, alinhada com os Bounded Contexts do Domain-Driven Design [Evans, 2003], permite o desenvolvimento, deployment e escalonamento independentes por domínio. A transição não é, todavia, isenta de custos: introduz latência de rede, consistência eventual e complexidade operacional que, em determinados contextos, podem superar os benefícios obtidos.</w:t>
      </w:r>
    </w:p>
    <w:p>
      <w:pPr>
        <w:pStyle w:val="BodyText"/>
      </w:pPr>
      <w:r>
        <w:t xml:space="preserve">O presente trabalho examina esta transição num caso concreto. O sistema de partida é o XCommerce, uma aplicação Spring Boot em que a autenticação, o catálogo, o carrinho e o processamento de encomendas partilham um único processo, uma única base de dados PostgreSQL e um único ciclo de deployment. O fluxo de checkout, em particular, executa numa única transação JPA a validação do utilizador, a leitura do catálogo, o esvaziamento do carrinho e a criação da encomenda. Esta operação concentra simultaneamente a maior complexidade funcional e o maior risco arquitetural: uma falha em qualquer dos passos compromete toda a aplicação.</w:t>
      </w:r>
    </w:p>
    <w:bookmarkEnd w:id="10"/>
    <w:bookmarkStart w:id="11" w:name="objetivos"/>
    <w:p>
      <w:pPr>
        <w:pStyle w:val="Heading3"/>
      </w:pPr>
      <w:r>
        <w:t xml:space="preserve">1.2 Objetivos</w:t>
      </w:r>
    </w:p>
    <w:p>
      <w:pPr>
        <w:pStyle w:val="FirstParagraph"/>
      </w:pPr>
      <w:r>
        <w:t xml:space="preserve">Este trabalho propõe uma decomposição do XCommerce em microserviços e avalia empiricamente os efeitos dessa decomposição sobre quatro atributos de qualidade — desempenho, disponibilidade,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custo operacional — explicitamente identificados no enunciado da unidade curricular. A questão de fundo não é se a decomposição traz benefícios (a literatura responde-o há mais de uma década), mas que natureza têm os custos que introduz. A investigação é orientada por três questões, apresentadas em §1.3, cada uma das quais aborda uma dimensão distinta do trade-off arquitetural.</w:t>
      </w:r>
    </w:p>
    <w:p>
      <w:pPr>
        <w:pStyle w:val="BodyText"/>
      </w:pPr>
      <w:r>
        <w:t xml:space="preserve">A contribuição do trabalho é dupla. Por um lado, fornece evidência quantitativa, recolhida sob condições de paridade funcional entre as duas arquiteturas, sobre o custo concreto da decomposição. Por outro, demonstra empiricamente que a comunicação assíncrona, sem padrões adicionais de compensação, regride a consistência sob falha parcial face ao baseline transacional do monólito. Inclui-se ainda uma auditoria crítica das próprias fronteiras de decomposição, motivada por uma decisão inicial que se revelou não justificada pelos princípios DDD que pretendia aplicar.</w:t>
      </w:r>
    </w:p>
    <w:bookmarkEnd w:id="11"/>
    <w:bookmarkStart w:id="12" w:name="questões-de-investigação"/>
    <w:p>
      <w:pPr>
        <w:pStyle w:val="Heading3"/>
      </w:pPr>
      <w:r>
        <w:t xml:space="preserve">1.3 Questões de Investigação</w:t>
      </w:r>
    </w:p>
    <w:p>
      <w:pPr>
        <w:pStyle w:val="FirstParagraph"/>
      </w:pPr>
      <w:r>
        <w:t xml:space="preserve">O trabalho é orientado por três questões. Cada uma é formulada como hipótese mensurável e associada a um critério de validação observável.</w:t>
      </w:r>
    </w:p>
    <w:p>
      <w:pPr>
        <w:pStyle w:val="BodyText"/>
      </w:pPr>
      <w:r>
        <w:rPr>
          <w:b/>
          <w:bCs/>
        </w:rPr>
        <w:t xml:space="preserve">QI1 — Estrutural.</w:t>
      </w:r>
      <w:r>
        <w:t xml:space="preserve"> </w:t>
      </w:r>
      <w:r>
        <w:rPr>
          <w:i/>
          <w:iCs/>
        </w:rPr>
        <w:t xml:space="preserve">A decomposição em microserviços elimina ou apenas redistribui o acoplamento entre domínios?</w:t>
      </w:r>
    </w:p>
    <w:p>
      <w:pPr>
        <w:pStyle w:val="BodyText"/>
      </w:pPr>
      <w:r>
        <w:t xml:space="preserve">Hipótese H1: a decomposição substitui acoplamento estrutural compile-time (chaves estrangeiras, entidades partilhadas, deployment conjunto) por acoplamento temporal runtime (chamadas síncronas) e por acoplamento eventual (mensagens assíncronas), sem reduzir o número total de dependências cross-domain. A validação assenta na contagem das categorias de dependência observáveis em cada arquitetura.</w:t>
      </w:r>
    </w:p>
    <w:p>
      <w:pPr>
        <w:pStyle w:val="BodyText"/>
      </w:pPr>
      <w:r>
        <w:rPr>
          <w:b/>
          <w:bCs/>
        </w:rPr>
        <w:t xml:space="preserve">QI2 — Quantitativa.</w:t>
      </w:r>
      <w:r>
        <w:t xml:space="preserve"> </w:t>
      </w:r>
      <w:r>
        <w:rPr>
          <w:i/>
          <w:iCs/>
        </w:rPr>
        <w:t xml:space="preserve">Como evolui o custo da decomposição, em latência e em recursos, à medida que aumenta a complexidade dos fluxos e o número de serviços envolvidos?</w:t>
      </w:r>
    </w:p>
    <w:p>
      <w:pPr>
        <w:pStyle w:val="BodyText"/>
      </w:pPr>
      <w:r>
        <w:t xml:space="preserve">Hipótese H2 (duas componentes): (a) o custo de latência cresce de forma super-linear com o número de chamadas síncronas em série; (b) o consumo de memória em estado ocioso é aproximadamente proporcional ao número de processos. Para H2a comparam-se as latências de um fluxo simples (uma chamada) com as de um fluxo complexo (cinco chamadas em série) nas duas arquiteturas. Para H2b mede-se o consumo de memória em ambiente ocioso, controlando a paridade funcional.</w:t>
      </w:r>
    </w:p>
    <w:p>
      <w:pPr>
        <w:pStyle w:val="BodyText"/>
      </w:pPr>
      <w:r>
        <w:rPr>
          <w:b/>
          <w:bCs/>
        </w:rPr>
        <w:t xml:space="preserve">QI3 — Transacional.</w:t>
      </w:r>
      <w:r>
        <w:t xml:space="preserve"> </w:t>
      </w:r>
      <w:r>
        <w:rPr>
          <w:i/>
          <w:iCs/>
        </w:rPr>
        <w:t xml:space="preserve">A comunicação assíncrona melhora ou degrada a consistência sob falha parcial face à transação ACID do monólito?</w:t>
      </w:r>
    </w:p>
    <w:p>
      <w:pPr>
        <w:pStyle w:val="BodyText"/>
      </w:pPr>
      <w:r>
        <w:t xml:space="preserve">Hipótese H3: na ausência de mecanismos de compensação (Saga, idempotência,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), a comunicação assíncrona apresenta maior potencial de inconsistência do que o baseline transacional do monólito. A validação consiste na injeção controlada de falha a meio de um fluxo transacional e na observação do estado dos dados em ambas as arquiteturas.</w:t>
      </w:r>
    </w:p>
    <w:p>
      <w:pPr>
        <w:pStyle w:val="BodyText"/>
      </w:pPr>
      <w:r>
        <w:t xml:space="preserve">A escalabilidade horizontal por componente, frequentemente apresentada como argumento principal a favor de microserviços,</w:t>
      </w:r>
      <w:r>
        <w:t xml:space="preserve"> </w:t>
      </w:r>
      <w:r>
        <w:rPr>
          <w:b/>
          <w:bCs/>
        </w:rPr>
        <w:t xml:space="preserve">não é objeto deste trabalho</w:t>
      </w:r>
      <w:r>
        <w:t xml:space="preserve">. A sua avaliação empírica exige infraestrutura — orquestração com múltiplos nós, equipas paralelas, carga assimétrica entre domínios — fora do âmbito de um protótipo local. A propriedade é discutida qualitativamente em §7 e identificada como linha de trabalho futuro.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a1cc11e26c53abf0240ace58dd6e14e30dd763"/>
    <w:p>
      <w:pPr>
        <w:pStyle w:val="Heading2"/>
      </w:pPr>
      <w:r>
        <w:t xml:space="preserve">2. Trabalho Relacionado e Enquadramento Teórico</w:t>
      </w:r>
    </w:p>
    <w:p>
      <w:pPr>
        <w:pStyle w:val="FirstParagraph"/>
      </w:pPr>
      <w:r>
        <w:t xml:space="preserve">A bibliografia consultada concentra-se em três áreas. A primeira diz respeito à decomposição arquitetural propriamente dita: Newman [2021] sistematiza as motivações, padrões e armadilhas da transição para microserviços; Fowler e Lewis [2014] cunham a definição operacional do termo; Richardson [2018] cataloga os padrões aplicáveis. A segunda área trata do desenho do domínio: Evans [2003] introduz os conceitos de Bounded Context e</w:t>
      </w:r>
      <w:r>
        <w:t xml:space="preserve"> </w:t>
      </w:r>
      <w:r>
        <w:rPr>
          <w:i/>
          <w:iCs/>
        </w:rPr>
        <w:t xml:space="preserve">Ubiquitous Language</w:t>
      </w:r>
      <w:r>
        <w:t xml:space="preserve">, que orientam neste trabalho a definição das fronteiras entre serviços. A terceira aborda os padrões de resiliência e consistência distribuída — circuit breakers, Saga,</w:t>
      </w:r>
      <w:r>
        <w:t xml:space="preserve"> </w:t>
      </w:r>
      <w:r>
        <w:rPr>
          <w:i/>
          <w:iCs/>
        </w:rPr>
        <w:t xml:space="preserve">outbox</w:t>
      </w:r>
      <w:r>
        <w:t xml:space="preserve">, idempotência — relevantes para a compreensão das limitações que a decomposição introduz e dos mecanismos disponíveis para as mitigar.</w:t>
      </w:r>
    </w:p>
    <w:p>
      <w:pPr>
        <w:pStyle w:val="BodyText"/>
      </w:pPr>
      <w:r>
        <w:t xml:space="preserve">Do ponto de vista metodológico, optou-se por uma abordagem comparativa entre o sistema original (AS-IS) e a proposta (TO-BE). A comparação é estabelecida em condições de paridade funcional — uma condição que exigiu intervenções no monólito original para o equiparar funcionalmente à proposta, descritas em §6.2 — e os resultados são interpretados à luz dos quatro atributos de qualidade identificados no enunciado: desempenho, disponibilidade,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custo operacional.</w:t>
      </w:r>
    </w:p>
    <w:p>
      <w:r>
        <w:pict>
          <v:rect style="width:0;height:1.5pt" o:hralign="center" o:hrstd="t" o:hr="t"/>
        </w:pict>
      </w:r>
    </w:p>
    <w:bookmarkEnd w:id="14"/>
    <w:bookmarkStart w:id="17" w:name="sistema-de-referência-as-is"/>
    <w:p>
      <w:pPr>
        <w:pStyle w:val="Heading2"/>
      </w:pPr>
      <w:r>
        <w:t xml:space="preserve">3. Sistema de Referência (AS-IS)</w:t>
      </w:r>
    </w:p>
    <w:bookmarkStart w:id="15" w:name="caracterização-do-monólito"/>
    <w:p>
      <w:pPr>
        <w:pStyle w:val="Heading3"/>
      </w:pPr>
      <w:r>
        <w:t xml:space="preserve">3.1 Caracterização do Monólito</w:t>
      </w:r>
    </w:p>
    <w:p>
      <w:pPr>
        <w:pStyle w:val="FirstParagraph"/>
      </w:pPr>
      <w:r>
        <w:t xml:space="preserve">O XCommerce na sua forma original é uma aplicação Spring Boot com Java 8, organizada internamente em camadas (controllers, serviços, repositórios e entidades) mas implantada como um único artefacto. Toda a funcionalidade — autenticação, gestão do catálogo de produtos, carrinho de compras e processamento de encomendas — corre no mesmo processo, partilha o mesmo gestor de persistência JPA e escreve numa única instância PostgreSQL. O carrinho usa adicionalmente Redis como cache em memória.</w:t>
      </w:r>
    </w:p>
    <w:p>
      <w:pPr>
        <w:pStyle w:val="BodyText"/>
      </w:pPr>
      <w:r>
        <w:t xml:space="preserve">Internamente, o código segue o padrão MVC clássico, com as responsabilidades distribuídas por cerca de três dezenas de classes agrupadas por camada. A separação lógica é clara — controladores que recebem requests, serviços que orquestram, repositórios que persistem — mas não corresponde a qualquer fronteira de deployment ou de falha. Todos os módulos partilham o mesmo</w:t>
      </w:r>
      <w:r>
        <w:t xml:space="preserve"> </w:t>
      </w:r>
      <w:r>
        <w:rPr>
          <w:i/>
          <w:iCs/>
        </w:rPr>
        <w:t xml:space="preserve">connection pool</w:t>
      </w:r>
      <w:r>
        <w:t xml:space="preserve"> </w:t>
      </w:r>
      <w:r>
        <w:t xml:space="preserve">JDBC e o mesmo classpath, pelo que uma falha originada num domínio propaga-se imediatamente aos restantes.</w:t>
      </w:r>
    </w:p>
    <w:bookmarkEnd w:id="15"/>
    <w:bookmarkStart w:id="16" w:name="limitações-que-motivam-a-decomposição"/>
    <w:p>
      <w:pPr>
        <w:pStyle w:val="Heading3"/>
      </w:pPr>
      <w:r>
        <w:t xml:space="preserve">3.2 Limitações que Motivam a Decomposição</w:t>
      </w:r>
    </w:p>
    <w:p>
      <w:pPr>
        <w:pStyle w:val="FirstParagraph"/>
      </w:pPr>
      <w:r>
        <w:t xml:space="preserve">A análise do sistema original revela três limitações estruturais e duas limitações funcionais que merecem registo.</w:t>
      </w:r>
    </w:p>
    <w:p>
      <w:pPr>
        <w:pStyle w:val="BodyText"/>
      </w:pPr>
      <w:r>
        <w:t xml:space="preserve">A primeira limitação estrutural é o</w:t>
      </w:r>
      <w:r>
        <w:t xml:space="preserve"> </w:t>
      </w:r>
      <w:r>
        <w:rPr>
          <w:b/>
          <w:bCs/>
        </w:rPr>
        <w:t xml:space="preserve">acoplamento entre os domínios do carrinho e do catálogo</w:t>
      </w:r>
      <w:r>
        <w:t xml:space="preserve">. O carrinho não armazena meras referências aos produtos: guarda em cache Redis a entidade JPA completa, incluindo preço, peso, desconto, categoria e marca. Esta opção, eficaz em termos de leitura, transforma qualquer alteração ao modelo de produto numa potencial corrupção do estado do carrinho.</w:t>
      </w:r>
    </w:p>
    <w:p>
      <w:pPr>
        <w:pStyle w:val="BodyText"/>
      </w:pPr>
      <w:r>
        <w:t xml:space="preserve">A segunda é o</w:t>
      </w:r>
      <w:r>
        <w:t xml:space="preserve"> </w:t>
      </w:r>
      <w:r>
        <w:rPr>
          <w:b/>
          <w:bCs/>
        </w:rPr>
        <w:t xml:space="preserve">acoplamento total no fluxo de checkout</w:t>
      </w:r>
      <w:r>
        <w:t xml:space="preserve">. A operação executa numa única transação a validação do utilizador, a leitura do carrinho, a iteração sobre os produtos e a criação da encomenda. A arquitetura não permite isolar a falha de um destes passos: uma sobrecarga no processamento de encomendas afeta simultaneamente a autenticação e a consulta de catálogo, simplesmente porque tudo corre no mesmo processo.</w:t>
      </w:r>
    </w:p>
    <w:p>
      <w:pPr>
        <w:pStyle w:val="BodyText"/>
      </w:pPr>
      <w:r>
        <w:t xml:space="preserve">A terceira é a</w:t>
      </w:r>
      <w:r>
        <w:t xml:space="preserve"> </w:t>
      </w:r>
      <w:r>
        <w:rPr>
          <w:b/>
          <w:bCs/>
        </w:rPr>
        <w:t xml:space="preserve">deployability conjunta</w:t>
      </w:r>
      <w:r>
        <w:t xml:space="preserve">. Qualquer alteração, mesmo a um único módulo, obriga ao redeployment integral. Esta característica não constitui um problema em si — em sistemas pequenos é mesmo desejável — mas torna-se limitante quando equipas independentes precisam de iterar em domínios distintos a ritmos distintos.</w:t>
      </w:r>
    </w:p>
    <w:p>
      <w:pPr>
        <w:pStyle w:val="BodyText"/>
      </w:pPr>
      <w:r>
        <w:t xml:space="preserve">A estas limitações estruturais somam-se duas limitações funcionais que importa explicitar, porque influenciam diretamente a comparação entre arquiteturas. A versão original do XCommerce</w:t>
      </w:r>
      <w:r>
        <w:t xml:space="preserve"> </w:t>
      </w:r>
      <w:r>
        <w:rPr>
          <w:b/>
          <w:bCs/>
        </w:rPr>
        <w:t xml:space="preserve">não valida o stock no checkout</w:t>
      </w:r>
      <w:r>
        <w:t xml:space="preserve">, apesar de o campo correspondente existir na entidade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; e os controladores</w:t>
      </w:r>
      <w:r>
        <w:t xml:space="preserve"> </w:t>
      </w:r>
      <w:r>
        <w:rPr>
          <w:b/>
          <w:bCs/>
        </w:rPr>
        <w:t xml:space="preserve">utilizam um identificador de utilizador fixo</w:t>
      </w:r>
      <w:r>
        <w:t xml:space="preserve"> </w:t>
      </w:r>
      <w:r>
        <w:t xml:space="preserve">em vez de extrair a identidade do token JWT. Estas duas limitações, sendo funcionais e não arquiteturais, foram corrigidas no decorrer deste trabalho para garantir paridade na comparação experimental (§6.2).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roposta-arquitetural-to-be"/>
    <w:p>
      <w:pPr>
        <w:pStyle w:val="Heading2"/>
      </w:pPr>
      <w:r>
        <w:t xml:space="preserve">4. Proposta Arquitetural (TO-BE)</w:t>
      </w:r>
    </w:p>
    <w:bookmarkStart w:id="18" w:name="princípios-orientadores"/>
    <w:p>
      <w:pPr>
        <w:pStyle w:val="Heading3"/>
      </w:pPr>
      <w:r>
        <w:t xml:space="preserve">4.1 Princípios Orientadores</w:t>
      </w:r>
    </w:p>
    <w:p>
      <w:pPr>
        <w:pStyle w:val="FirstParagraph"/>
      </w:pPr>
      <w:r>
        <w:t xml:space="preserve">A proposta decompõe o XCommerce em sete serviços de negócio autónomos e um</w:t>
      </w:r>
      <w:r>
        <w:t xml:space="preserve"> </w:t>
      </w:r>
      <w:r>
        <w:rPr>
          <w:i/>
          <w:iCs/>
        </w:rPr>
        <w:t xml:space="preserve">API Gateway</w:t>
      </w:r>
      <w:r>
        <w:t xml:space="preserve">, alinhando cada serviço com um</w:t>
      </w:r>
      <w:r>
        <w:t xml:space="preserve"> </w:t>
      </w:r>
      <w:r>
        <w:rPr>
          <w:i/>
          <w:iCs/>
        </w:rPr>
        <w:t xml:space="preserve">Bounded Context</w:t>
      </w:r>
      <w:r>
        <w:t xml:space="preserve"> </w:t>
      </w:r>
      <w:r>
        <w:t xml:space="preserve">do Domain-Driven Design. A regra central é que cada serviço é o único proprietário dos dados do seu domínio: comunica com os restantes apenas através de APIs ou de mensagens assíncronas, nunca por acesso direto à base de dados alheia.</w:t>
      </w:r>
    </w:p>
    <w:p>
      <w:pPr>
        <w:pStyle w:val="BodyText"/>
      </w:pPr>
      <w:r>
        <w:t xml:space="preserve">A escolha entre comunicação síncrona e assíncrona não é uniforme: depende, em cada caso, de uma questão concreta —</w:t>
      </w:r>
      <w:r>
        <w:t xml:space="preserve"> </w:t>
      </w:r>
      <w:r>
        <w:rPr>
          <w:i/>
          <w:iCs/>
        </w:rPr>
        <w:t xml:space="preserve">o serviço que faz o pedido precisa da resposta para continuar?</w:t>
      </w:r>
      <w:r>
        <w:t xml:space="preserve"> </w:t>
      </w:r>
      <w:r>
        <w:t xml:space="preserve">Quando precisa (verificar stock antes de criar uma encomenda, obter o preço atualizado de um produto), opta-se por chamadas REST síncronas. Quando não precisa (notificar o utilizador, processar um pagamento de forma diferida), opta-se por mensagens publicadas em Kafka. Cada uma destas opções introduz problemas distintos, discutidos adiante.</w:t>
      </w:r>
    </w:p>
    <w:bookmarkEnd w:id="18"/>
    <w:bookmarkStart w:id="19" w:name="decomposição-por-bounded-context"/>
    <w:p>
      <w:pPr>
        <w:pStyle w:val="Heading3"/>
      </w:pPr>
      <w:r>
        <w:t xml:space="preserve">4.2 Decomposição por Bounded Context</w:t>
      </w:r>
    </w:p>
    <w:p>
      <w:pPr>
        <w:pStyle w:val="FirstParagraph"/>
      </w:pPr>
      <w:r>
        <w:t xml:space="preserve">A decomposição não foi axiomática nem uniforme. Cada fronteira teve uma justificação concreta e, num dos casos, uma decisão inicial foi revertida após auditoria DDD. Apresentam-se aqui as decisões mais relevantes.</w:t>
      </w:r>
    </w:p>
    <w:p>
      <w:pPr>
        <w:pStyle w:val="BodyText"/>
      </w:pPr>
      <w:r>
        <w:t xml:space="preserve">A separação entre</w:t>
      </w:r>
      <w:r>
        <w:t xml:space="preserve"> </w:t>
      </w:r>
      <w:r>
        <w:rPr>
          <w:b/>
          <w:bCs/>
        </w:rPr>
        <w:t xml:space="preserve">carrinho e catálogo</w:t>
      </w:r>
      <w:r>
        <w:t xml:space="preserve"> </w:t>
      </w:r>
      <w:r>
        <w:t xml:space="preserve">é a mais simples de justificar. O acoplamento estrutural entre estes domínios no monólito (o carrinho guardar a entidade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completa) é precisamente o tipo de problema que a decomposição visa eliminar. Na proposta, o serviço de carrinho conhece apenas o identificador do produto e a quantidade. O custo desta decisão é a perda de acesso direto a dados do produto: para mostrar um carrinho com nomes e preços, ou para processar checkout, é necessário interrogar o serviço de catálogo. Esta dependência runtime substitui o acoplamento estrutural — uma instância concreta da redistribuição prevista por H1.</w:t>
      </w:r>
    </w:p>
    <w:p>
      <w:pPr>
        <w:pStyle w:val="BodyText"/>
      </w:pPr>
      <w:r>
        <w:t xml:space="preserve">A separação entre</w:t>
      </w:r>
      <w:r>
        <w:t xml:space="preserve"> </w:t>
      </w:r>
      <w:r>
        <w:rPr>
          <w:b/>
          <w:bCs/>
        </w:rPr>
        <w:t xml:space="preserve">autenticação e perfil de utilizador</w:t>
      </w:r>
      <w:r>
        <w:t xml:space="preserve"> </w:t>
      </w:r>
      <w:r>
        <w:t xml:space="preserve">foi, ao contrário, uma decisão inicialmente tomada e posteriormente revertida. A versão preliminar da arquitetura tinha dois serviços distintos, um para credenciais e outro para perfis, comunicando entre si por sincronização cruzada quando um utilizador era criado. A revisão crítica desta opção, à luz dos critérios DDD, mostrou que ambos os serviços modelavam o mesmo conceito de domínio — utilizador — e que a sincronização entre eles introduzia uma janela de inconsistência sem benefício operacional correspondente. Os dois serviços foram fundidos num único serviço de identidade. Esta auditoria das próprias fronteiras é discutida em maior profundidade em §7.3 e constitui ela mesma uma observação metodológica relevante: a decomposição apenas se justifica quando há autonomia genuína de domínio.</w:t>
      </w:r>
    </w:p>
    <w:p>
      <w:pPr>
        <w:pStyle w:val="BodyText"/>
      </w:pPr>
      <w:r>
        <w:t xml:space="preserve">Os serviços de</w:t>
      </w:r>
      <w:r>
        <w:t xml:space="preserve"> </w:t>
      </w:r>
      <w:r>
        <w:rPr>
          <w:b/>
          <w:bCs/>
        </w:rPr>
        <w:t xml:space="preserve">inventário</w:t>
      </w:r>
      <w:r>
        <w:t xml:space="preserve"> </w:t>
      </w:r>
      <w:r>
        <w:t xml:space="preserve">e de</w:t>
      </w:r>
      <w:r>
        <w:t xml:space="preserve"> </w:t>
      </w:r>
      <w:r>
        <w:rPr>
          <w:b/>
          <w:bCs/>
        </w:rPr>
        <w:t xml:space="preserve">pagamento</w:t>
      </w:r>
      <w:r>
        <w:t xml:space="preserve"> </w:t>
      </w:r>
      <w:r>
        <w:t xml:space="preserve">merecem clarificação porque não constituem extensões funcionais arbitrárias do monólito, mas instrumentação experimental deliberada. O serviço de inventário valida e decrementa o stock no checkout — operação ausente no monólito original, que foi também adicionada à versão monolítica para preservar paridade. A sua existência como serviço autónomo, com chamada síncrona a partir do serviço de encomendas, permite construir um fluxo de checkout com cinco chamadas em série, o que é necessário para responder a QI2 (a super-linearidade do custo). O serviço de pagamento, comunicando exclusivamente por mensagens assíncronas, permite por sua vez construir o cenário de falha parcial que sustenta QI3 (a consistência sob falha). Sem qualquer destes serviços, a decomposição não teria suficientes pontos de medição para responder às questões de investigação.</w:t>
      </w:r>
    </w:p>
    <w:p>
      <w:pPr>
        <w:pStyle w:val="BodyText"/>
      </w:pPr>
      <w:r>
        <w:t xml:space="preserve">O serviço de</w:t>
      </w:r>
      <w:r>
        <w:t xml:space="preserve"> </w:t>
      </w:r>
      <w:r>
        <w:rPr>
          <w:b/>
          <w:bCs/>
        </w:rPr>
        <w:t xml:space="preserve">notificações</w:t>
      </w:r>
      <w:r>
        <w:t xml:space="preserve"> </w:t>
      </w:r>
      <w:r>
        <w:t xml:space="preserve">é a única peça da arquitetura para a qual a opção pelo assíncrono é universalmente defensável: o envio de uma confirmação por correio eletrónico não tem de bloquear a resposta ao utilizador, e a sua falha não compromete a operação principal.</w:t>
      </w:r>
    </w:p>
    <w:bookmarkEnd w:id="19"/>
    <w:bookmarkStart w:id="20" w:name="padrões-de-comunicação-e-de-resiliência"/>
    <w:p>
      <w:pPr>
        <w:pStyle w:val="Heading3"/>
      </w:pPr>
      <w:r>
        <w:t xml:space="preserve">4.3 Padrões de Comunicação e de Resiliência</w:t>
      </w:r>
    </w:p>
    <w:p>
      <w:pPr>
        <w:pStyle w:val="FirstParagraph"/>
      </w:pPr>
      <w:r>
        <w:t xml:space="preserve">A introdução de chamadas remotas obriga a planear para falhas. Todas as rotas do gateway são protegidas por</w:t>
      </w:r>
      <w:r>
        <w:t xml:space="preserve"> </w:t>
      </w:r>
      <w:r>
        <w:rPr>
          <w:i/>
          <w:iCs/>
        </w:rPr>
        <w:t xml:space="preserve">circuit breakers</w:t>
      </w:r>
      <w:r>
        <w:t xml:space="preserve"> </w:t>
      </w:r>
      <w:r>
        <w:t xml:space="preserve">(implementados com a biblioteca Resilience4j) que cortam pedidos a um serviço que esteja a falhar repetidamente, evitando cascatas e libertando recursos. As chamadas síncronas entre serviços (por exemplo, do serviço de encomendas para o de inventário) estão também protegidas por timeouts de cinco segundos. Uma falha do serviço de catálogo é, por isso, contida ao seu domínio: as restantes operações continuam disponíveis, e os pedidos para o catálogo recebem uma resposta degradada em vez de bloquearem indefinidamente.</w:t>
      </w:r>
    </w:p>
    <w:p>
      <w:pPr>
        <w:pStyle w:val="BodyText"/>
      </w:pPr>
      <w:r>
        <w:t xml:space="preserve">A comunicação assíncrona introduz, por seu turno, três limitações que importa explicitar. A entrega</w:t>
      </w:r>
      <w:r>
        <w:t xml:space="preserve"> </w:t>
      </w:r>
      <w:r>
        <w:rPr>
          <w:i/>
          <w:iCs/>
        </w:rPr>
        <w:t xml:space="preserve">at-least-once</w:t>
      </w:r>
      <w:r>
        <w:t xml:space="preserve"> </w:t>
      </w:r>
      <w:r>
        <w:t xml:space="preserve">característica do Kafka admite duplicação de mensagens, problema que se mitiga com idempotência ao nível do consumidor — não implementada neste protótipo. A ausência de coordenação transacional entre serviços admite estados intermédios em que algumas operações foram aplicadas e outras não — o caso paradigmático é o stock decrementado sem encomenda confirmada, mitigável com o padrão Saga e respetivas ações compensatórias, igualmente não implementado. Finalmente, mensagens cujo processamento falha repetidamente são perdidas, a menos que seja configurada uma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, o que também não foi feito. Estas três limitações são deliberadamente mantidas no protótipo, porque sustentam empiricamente a investigação à QI3.</w:t>
      </w:r>
    </w:p>
    <w:bookmarkEnd w:id="20"/>
    <w:bookmarkStart w:id="21" w:name="persistência-database-per-service"/>
    <w:p>
      <w:pPr>
        <w:pStyle w:val="Heading3"/>
      </w:pPr>
      <w:r>
        <w:t xml:space="preserve">4.4 Persistência: Database per Service</w:t>
      </w:r>
    </w:p>
    <w:p>
      <w:pPr>
        <w:pStyle w:val="FirstParagraph"/>
      </w:pPr>
      <w:r>
        <w:t xml:space="preserve">A decomposição por domínios implica isolamento dos dados. Se o serviço de encomendas pudesse ler diretamente da base de dados do serviço de catálogo, ficaria acoplado ao esquema interno desse serviço, e qualquer alteração ao modelo do catálogo poderia corromper o funcionamento do primeiro — reproduzindo, entre serviços, exatamente o tipo de acoplamento que a decomposição pretendia eliminar. O padrão</w:t>
      </w:r>
      <w:r>
        <w:t xml:space="preserve"> </w:t>
      </w:r>
      <w:r>
        <w:rPr>
          <w:i/>
          <w:iCs/>
        </w:rPr>
        <w:t xml:space="preserve">database per service</w:t>
      </w:r>
      <w:r>
        <w:t xml:space="preserve"> </w:t>
      </w:r>
      <w:r>
        <w:t xml:space="preserve">resolve esta questão ao estabelecer que cada serviço é o proprietário exclusivo dos seus dados.</w:t>
      </w:r>
    </w:p>
    <w:p>
      <w:pPr>
        <w:pStyle w:val="BodyText"/>
      </w:pPr>
      <w:r>
        <w:t xml:space="preserve">Foram consideradas três opções para a sua implementação. A primeira, mais simples de operar, consiste em manter uma única instância PostgreSQL com bases de dados lógicas separadas — opção que preserva o isolamento</w:t>
      </w:r>
      <w:r>
        <w:t xml:space="preserve"> </w:t>
      </w:r>
      <w:r>
        <w:rPr>
          <w:i/>
          <w:iCs/>
        </w:rPr>
        <w:t xml:space="preserve">lógico</w:t>
      </w:r>
      <w:r>
        <w:t xml:space="preserve"> </w:t>
      </w:r>
      <w:r>
        <w:t xml:space="preserve">dos dados mas mantém um ponto único de falha</w:t>
      </w:r>
      <w:r>
        <w:t xml:space="preserve"> </w:t>
      </w:r>
      <w:r>
        <w:rPr>
          <w:i/>
          <w:iCs/>
        </w:rPr>
        <w:t xml:space="preserve">físico</w:t>
      </w:r>
      <w:r>
        <w:t xml:space="preserve">: se a instância partilhada falhar, todos os serviços ficam simultaneamente indisponíveis, contradizendo a razão de ter decomposto o sistema. A segunda opção consistiria em utilizar tecnologias diferentes por domínio (por exemplo, Redis para o carrinho, dada a natureza efémera dos seus dados, e PostgreSQL para os restantes). Esta opção seria mais fiel ao padrão tal como descrito na literatura, mas introduziria complexidade operacional fora do âmbito do trabalho. A opção adotada é uma instância PostgreSQL dedicada por serviço, todas com a mesma tecnologia para preservar a homogeneidade do ambiente, mas com isolamento físico real entre processos.</w:t>
      </w:r>
    </w:p>
    <w:p>
      <w:pPr>
        <w:pStyle w:val="BodyText"/>
      </w:pPr>
      <w:r>
        <w:t xml:space="preserve">O que esta opção continua a não resolver são as garantias transacionais entre serviços. Não existe, na proposta, qualquer mecanismo que garanta que o stock decrementado num serviço só é confirmado se a encomenda for criada com sucesso num outro. Esta limitação justifica a discussão de Saga apresentada em §7.4 como linha de trabalho futuro.</w:t>
      </w:r>
    </w:p>
    <w:bookmarkEnd w:id="21"/>
    <w:bookmarkStart w:id="22" w:name="o-papel-do-api-gateway"/>
    <w:p>
      <w:pPr>
        <w:pStyle w:val="Heading3"/>
      </w:pPr>
      <w:r>
        <w:t xml:space="preserve">4.5 O Papel do API Gateway</w:t>
      </w:r>
    </w:p>
    <w:p>
      <w:pPr>
        <w:pStyle w:val="FirstParagraph"/>
      </w:pPr>
      <w:r>
        <w:t xml:space="preserve">Sem um ponto de entrada centralizado, o cliente teria de conhecer os endereços de cada serviço, gerir o token de autenticação em cada chamada e lidar individualmente com as falhas de cada um. O</w:t>
      </w:r>
      <w:r>
        <w:t xml:space="preserve"> </w:t>
      </w:r>
      <w:r>
        <w:rPr>
          <w:i/>
          <w:iCs/>
        </w:rPr>
        <w:t xml:space="preserve">API Gateway</w:t>
      </w:r>
      <w:r>
        <w:t xml:space="preserve"> </w:t>
      </w:r>
      <w:r>
        <w:t xml:space="preserve">resolve este problema concentrando quatro responsabilidades arquiteturais: é o único ponto de entrada externo, executa o roteamento por caminho do URL para o serviço correto, valida o token JWT em cada pedido e injeta a identidade do utilizador como cabeçalhos próprios antes de encaminhar, e ativa respostas degradadas quando um serviço destino está indisponível.</w:t>
      </w:r>
    </w:p>
    <w:p>
      <w:pPr>
        <w:pStyle w:val="BodyText"/>
      </w:pPr>
      <w:r>
        <w:t xml:space="preserve">O gateway introduz, contudo, dois riscos. Constitui um novo ponto único de falha — risco mitigável em produção pela replicação em múltiplas instâncias, mas não mitigado neste protótipo — e adiciona uma camada extra a cada pedido, com o consequente impacto em latência. É também importante notar que os mecanismos de resiliência ao seu nível protegem contra cascatas de falhas, mas não contra problemas de consistência de dados: se o serviço de encomendas aceitar um pedido e o serviço de inventário falhar imediatamente a seguir, nenhum</w:t>
      </w:r>
      <w:r>
        <w:t xml:space="preserve"> </w:t>
      </w:r>
      <w:r>
        <w:rPr>
          <w:i/>
          <w:iCs/>
        </w:rPr>
        <w:t xml:space="preserve">circuit breaker</w:t>
      </w:r>
      <w:r>
        <w:t xml:space="preserve"> </w:t>
      </w:r>
      <w:r>
        <w:t xml:space="preserve">desfaz a encomenda já criada.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nálise-de-workflows"/>
    <w:p>
      <w:pPr>
        <w:pStyle w:val="Heading2"/>
      </w:pPr>
      <w:r>
        <w:t xml:space="preserve">5. Análise de Workflows</w:t>
      </w:r>
    </w:p>
    <w:p>
      <w:pPr>
        <w:pStyle w:val="FirstParagraph"/>
      </w:pPr>
      <w:r>
        <w:t xml:space="preserve">A análise comparativa entre as duas arquiteturas concentra-se em três fluxos representativos: um fluxo de leitura simples (consulta do catálogo), um fluxo transacional crítico (checkout) e um cenário de falha parcial controlada. A escolha destes três casos cobre o espectro de complexidade relevante para as três questões de investigação: o primeiro mostra o custo da decomposição em ausência de coordenação inter-serviço; o segundo evidencia o custo quando a coordenação é múltipla e síncrona; o terceiro expõe a fragilidade da consistência distribuída sem padrões de compensação.</w:t>
      </w:r>
    </w:p>
    <w:bookmarkStart w:id="24" w:name="fluxo-simples-consulta-do-catálogo"/>
    <w:p>
      <w:pPr>
        <w:pStyle w:val="Heading3"/>
      </w:pPr>
      <w:r>
        <w:t xml:space="preserve">5.1 Fluxo Simples: Consulta do Catálogo</w:t>
      </w:r>
    </w:p>
    <w:p>
      <w:pPr>
        <w:pStyle w:val="FirstParagraph"/>
      </w:pPr>
      <w:r>
        <w:t xml:space="preserve">A consulta do catálogo é a operação de leitura mais frequente num sistema de comércio eletrónico e representa o caso de menor complexidade arquitetural: uma única consulta à base de dados, sem lógica de negócio adicional. No monólito, o pedido é servido diretamente pelo processo aplicacional. Na proposta de microserviços, atravessa apenas dois processos: o gateway, que valida e encaminha, e o serviço de catálogo, que executa a consulta.</w:t>
      </w:r>
    </w:p>
    <w:p>
      <w:pPr>
        <w:pStyle w:val="BodyText"/>
      </w:pPr>
      <w:r>
        <w:t xml:space="preserve">Não existe, neste fluxo, partilha de dados entre serviços. O potencial de inconsistência é nulo. As medições experimentais correspondentes são apresentadas em §6.</w:t>
      </w:r>
    </w:p>
    <w:bookmarkEnd w:id="24"/>
    <w:bookmarkStart w:id="25" w:name="fluxo-transacional-checkout"/>
    <w:p>
      <w:pPr>
        <w:pStyle w:val="Heading3"/>
      </w:pPr>
      <w:r>
        <w:t xml:space="preserve">5.2 Fluxo Transacional: Checkout</w:t>
      </w:r>
    </w:p>
    <w:p>
      <w:pPr>
        <w:pStyle w:val="FirstParagraph"/>
      </w:pPr>
      <w:r>
        <w:t xml:space="preserve">O checkout é a operação mais complexa do sistema e a mais ilustrativa do trade-off arquitetural em estudo. No monólito executa numa única transação JPA: o serviço lê o utilizador, lê o carrinho, valida o stock dos produtos (operação adicionada para paridade — ver §6.2), cria a encomenda, esvazia o carrinho. Toda esta sequência decorre num único processo, com transação atómica garantida pelo motor JPA.</w:t>
      </w:r>
    </w:p>
    <w:p>
      <w:pPr>
        <w:pStyle w:val="BodyText"/>
      </w:pPr>
      <w:r>
        <w:t xml:space="preserve">Na proposta de microserviços, a mesma operação lógica requer a coordenação de cinco serviços distintos. A figura 1 apresenta o sequência completo: o serviço de encomendas lê o carrinho a partir do serviço correspondente, verifica o stock no serviço de inventário, obtém o preço atual no serviço de catálogo, decrementa o stock novamente no serviço de inventário, persiste a encomenda na sua própria base de dados, esvazia o carrinho e publica um evento que será consumido posteriormente pelo serviço de pagamento. A sequência envolve cinco chamadas síncronas em série e uma publicação assíncrona.</w:t>
      </w:r>
    </w:p>
    <w:p>
      <w:pPr>
        <w:pStyle w:val="BodyText"/>
      </w:pPr>
      <w:r>
        <w:t xml:space="preserve">Esta multiplicação de pontos de coordenação tem três consequências que se manifestam empiricamente em §6. A latência total do fluxo é a soma das latências individuais, acrescidas de serialização HTTP e atravessamentos de fronteiras de processo. O número de modos de falha aumenta proporcionalmente ao número de serviços envolvidos. E, por fim, qualquer das chamadas síncronas que falhe deixa o sistema num estado intermédio: por exemplo, se o stock for decrementado e o pagamento falhar a seguir (cenário analisado em §5.3), a inconsistência é real e não é desfeita automaticamente.</w:t>
      </w:r>
    </w:p>
    <w:p>
      <w:pPr>
        <w:pStyle w:val="BlockText"/>
      </w:pPr>
      <w:r>
        <w:rPr>
          <w:i/>
          <w:iCs/>
        </w:rPr>
        <w:t xml:space="preserve">Figura 1 — Sequence diagram comparativo do checkout (a inserir).</w:t>
      </w:r>
    </w:p>
    <w:bookmarkEnd w:id="25"/>
    <w:bookmarkStart w:id="26" w:name="falha-parcial-controlada"/>
    <w:p>
      <w:pPr>
        <w:pStyle w:val="Heading3"/>
      </w:pPr>
      <w:r>
        <w:t xml:space="preserve">5.3 Falha Parcial Controlada</w:t>
      </w:r>
    </w:p>
    <w:p>
      <w:pPr>
        <w:pStyle w:val="FirstParagraph"/>
      </w:pPr>
      <w:r>
        <w:t xml:space="preserve">O terceiro fluxo não é um caminho-feliz: é a injeção deliberada de uma falha a meio do checkout, com o objetivo de observar o estado dos dados quando a coordenação é interrompida. O cenário consiste em parar o serviço de pagamento imediatamente após a publicação do evento que esse serviço deveria consumir, mas antes do consumo efetivo.</w:t>
      </w:r>
    </w:p>
    <w:p>
      <w:pPr>
        <w:pStyle w:val="BodyText"/>
      </w:pPr>
      <w:r>
        <w:t xml:space="preserve">No monólito, a falha equivalente — a paragem da base de dados durante a transação — é tratada pelo motor JPA: o</w:t>
      </w:r>
      <w:r>
        <w:t xml:space="preserve"> </w:t>
      </w:r>
      <w:r>
        <w:rPr>
          <w:i/>
          <w:iCs/>
        </w:rPr>
        <w:t xml:space="preserve">rollback</w:t>
      </w:r>
      <w:r>
        <w:t xml:space="preserve"> </w:t>
      </w:r>
      <w:r>
        <w:t xml:space="preserve">automático aborta a transação antes de qualquer alteração ser persistida. O sistema regressa a um estado consistente sem intervenção.</w:t>
      </w:r>
    </w:p>
    <w:p>
      <w:pPr>
        <w:pStyle w:val="BodyText"/>
      </w:pPr>
      <w:r>
        <w:t xml:space="preserve">Na proposta de microserviços, o resultado é qualitativamente distinto. O stock fica decrementado (porque a respetiva chamada síncrona já tinha sido concluída antes da falha). A encomenda fica registada num estado intermédio. A mensagem publicada permanece no Kafka sem consumidor. Não existe qualquer mecanismo automático que reverta o decremento de stock ou conclua a encomenda — o sistema permanece num estado que se designa, na literatura de sistemas distribuídos, como</w:t>
      </w:r>
      <w:r>
        <w:t xml:space="preserve"> </w:t>
      </w:r>
      <w:r>
        <w:rPr>
          <w:i/>
          <w:iCs/>
        </w:rPr>
        <w:t xml:space="preserve">zombie</w:t>
      </w:r>
      <w:r>
        <w:t xml:space="preserve">. Este resultado é a evidência central que sustenta H3, e é o tipo de problema que padrões como Saga ou</w:t>
      </w:r>
      <w:r>
        <w:t xml:space="preserve"> </w:t>
      </w:r>
      <w:r>
        <w:rPr>
          <w:i/>
          <w:iCs/>
        </w:rPr>
        <w:t xml:space="preserve">outbox</w:t>
      </w:r>
      <w:r>
        <w:t xml:space="preserve"> </w:t>
      </w:r>
      <w:r>
        <w:t xml:space="preserve">— não implementados neste protótipo — viriam mitigar.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avaliação-experimental"/>
    <w:p>
      <w:pPr>
        <w:pStyle w:val="Heading2"/>
      </w:pPr>
      <w:r>
        <w:t xml:space="preserve">6. Avaliação Experimental</w:t>
      </w:r>
    </w:p>
    <w:bookmarkStart w:id="28" w:name="metodologia"/>
    <w:p>
      <w:pPr>
        <w:pStyle w:val="Heading3"/>
      </w:pPr>
      <w:r>
        <w:t xml:space="preserve">6.1 Metodologia</w:t>
      </w:r>
    </w:p>
    <w:p>
      <w:pPr>
        <w:pStyle w:val="FirstParagraph"/>
      </w:pPr>
      <w:r>
        <w:t xml:space="preserve">Os testes foram executados em ambiente local (Apple M4 Pro, 48 GB RAM), com ambas as arquiteturas em contentores Docker e em redes isoladas para evitar interferência. A ferramenta de carga utilizada foi o k6, que regista a duração de cada pedido individualmente e calcula percentis (mediana, p95) sobre a amostra completa de uma janela de medição de 60 segundos, precedida de 30 segundos de aquecimento.</w:t>
      </w:r>
    </w:p>
    <w:p>
      <w:pPr>
        <w:pStyle w:val="BodyText"/>
      </w:pPr>
      <w:r>
        <w:t xml:space="preserve">Os testes correm sem</w:t>
      </w:r>
      <w:r>
        <w:t xml:space="preserve"> </w:t>
      </w:r>
      <w:r>
        <w:rPr>
          <w:i/>
          <w:iCs/>
        </w:rPr>
        <w:t xml:space="preserve">think time</w:t>
      </w:r>
      <w:r>
        <w:t xml:space="preserve"> </w:t>
      </w:r>
      <w:r>
        <w:t xml:space="preserve">entre iterações, opção deliberada para saturar a arquitetura e medir o seu comportamento sob pressão sustentada. Esta metodologia é mais conservadora que a alternativa de simular utilizadores reais com pausas, no sentido em que qualquer diferença observada sob saturação manifestar-se-á também sob carga moderada — o inverso não sendo, no entanto, verdadeiro.</w:t>
      </w:r>
    </w:p>
    <w:p>
      <w:pPr>
        <w:pStyle w:val="BodyText"/>
      </w:pPr>
      <w:r>
        <w:t xml:space="preserve">Os percentis reportados são calculados pelo k6 sobre todos os pedidos da janela de medição. Os ficheiros de saída — em formato CSV e JSON — encontram-se arquivados nos diretórios de testes do repositório e são referenciados como evidência primária.</w:t>
      </w:r>
    </w:p>
    <w:bookmarkEnd w:id="28"/>
    <w:bookmarkStart w:id="29" w:name="paridade-funcional"/>
    <w:p>
      <w:pPr>
        <w:pStyle w:val="Heading3"/>
      </w:pPr>
      <w:r>
        <w:t xml:space="preserve">6.2 Paridade Funcional</w:t>
      </w:r>
    </w:p>
    <w:p>
      <w:pPr>
        <w:pStyle w:val="FirstParagraph"/>
      </w:pPr>
      <w:r>
        <w:t xml:space="preserve">Antes de iniciar a comparação experimental, foi necessário corrigir duas limitações do monólito original que distorceriam os resultados se mantidas. O sistema original não validava o stock no checkout, apesar do campo correspondente existir; e os controladores utilizavam um identificador de utilizador fixo, em vez de extrair a identidade do token JWT. Estas duas omissões, sendo funcionais e não arquiteturais, foram corrigidas para garantir que a comparação de desempenho mede de facto o custo da decomposição arquitetural, e não o custo de funcionalidade ausente numa das versões.</w:t>
      </w:r>
    </w:p>
    <w:p>
      <w:pPr>
        <w:pStyle w:val="BodyText"/>
      </w:pPr>
      <w:r>
        <w:t xml:space="preserve">A correção da validação de stock no monólito acrescenta uma consulta SQL adicional ao checkout (verificação da quantidade disponível), equivalente funcional da chamada síncrona ao serviço de inventário no caso microserviços. A correção da identidade hardcoded substitui o valor fixo pela extração do</w:t>
      </w:r>
      <w:r>
        <w:t xml:space="preserve"> </w:t>
      </w:r>
      <w:r>
        <w:rPr>
          <w:i/>
          <w:iCs/>
        </w:rPr>
        <w:t xml:space="preserve">Spring Security Context</w:t>
      </w:r>
      <w:r>
        <w:t xml:space="preserve">, o que impõe uma consulta adicional ao repositório de utilizadores — equivalente funcional dos cabeçalhos</w:t>
      </w:r>
      <w:r>
        <w:t xml:space="preserve"> </w:t>
      </w:r>
      <w:r>
        <w:rPr>
          <w:rStyle w:val="VerbatimChar"/>
        </w:rPr>
        <w:t xml:space="preserve">X-User-Name</w:t>
      </w:r>
      <w:r>
        <w:t xml:space="preserve"> </w:t>
      </w:r>
      <w:r>
        <w:t xml:space="preserve">injetados pelo gateway no caso microserviços.</w:t>
      </w:r>
    </w:p>
    <w:p>
      <w:pPr>
        <w:pStyle w:val="BodyText"/>
      </w:pPr>
      <w:r>
        <w:t xml:space="preserve">A operação de pagamento, ausente do monólito,</w:t>
      </w:r>
      <w:r>
        <w:t xml:space="preserve"> </w:t>
      </w:r>
      <w:r>
        <w:rPr>
          <w:b/>
          <w:bCs/>
        </w:rPr>
        <w:t xml:space="preserve">não tem equivalente funcional adicionado</w:t>
      </w:r>
      <w:r>
        <w:t xml:space="preserve">. Trata-se, recorde-se, de uma operação assíncrona via Kafka, e a sua execução não influencia a latência observável do checkout (que termina, no caso microserviços, com a ordem em estado intermédio enquanto o pagamento decorre num</w:t>
      </w:r>
      <w:r>
        <w:t xml:space="preserve"> </w:t>
      </w:r>
      <w:r>
        <w:rPr>
          <w:i/>
          <w:iCs/>
        </w:rPr>
        <w:t xml:space="preserve">thread</w:t>
      </w:r>
      <w:r>
        <w:t xml:space="preserve"> </w:t>
      </w:r>
      <w:r>
        <w:t xml:space="preserve">separado). Inclui-la no monólito acrescentaria latência sem corresponder a paridade real, dado que o monólito a executaria sincronamente.</w:t>
      </w:r>
    </w:p>
    <w:bookmarkEnd w:id="29"/>
    <w:bookmarkStart w:id="35" w:name="resultados-por-atributo-de-qualidade"/>
    <w:p>
      <w:pPr>
        <w:pStyle w:val="Heading3"/>
      </w:pPr>
      <w:r>
        <w:t xml:space="preserve">6.3 Resultados por Atributo de Qualidade</w:t>
      </w:r>
    </w:p>
    <w:p>
      <w:pPr>
        <w:pStyle w:val="FirstParagraph"/>
      </w:pPr>
      <w:r>
        <w:t xml:space="preserve">A apresentação dos resultados segue os quatro atributos de qualidade explicitamente identificados no enunciado da unidade curricular: desempenho, disponibilidade,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custo operacional.</w:t>
      </w:r>
    </w:p>
    <w:bookmarkStart w:id="30" w:name="desempenho"/>
    <w:p>
      <w:pPr>
        <w:pStyle w:val="Heading4"/>
      </w:pPr>
      <w:r>
        <w:t xml:space="preserve">6.3.1 Desempenho</w:t>
      </w:r>
    </w:p>
    <w:p>
      <w:pPr>
        <w:pStyle w:val="FirstParagraph"/>
      </w:pPr>
      <w:r>
        <w:t xml:space="preserve">A medição do desempenho assenta nos dois fluxos representativos identificados em §5: a consulta do catálogo (um único hop) e o checkout (cinco hops em série). Os resultados estão sumariados na tabela 1.</w:t>
      </w:r>
    </w:p>
    <w:p>
      <w:pPr>
        <w:pStyle w:val="BodyText"/>
      </w:pPr>
      <w:r>
        <w:rPr>
          <w:b/>
          <w:bCs/>
        </w:rPr>
        <w:t xml:space="preserve">Tabela 1 — Latências comparadas (carga sustentada, paridade funcional)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Monólito</w:t>
            </w:r>
          </w:p>
        </w:tc>
        <w:tc>
          <w:tcPr/>
          <w:p>
            <w:pPr>
              <w:pStyle w:val="Compact"/>
            </w:pPr>
            <w:r>
              <w:t xml:space="preserve">Microserviços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 catálogo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2,3 ms</w:t>
            </w:r>
          </w:p>
        </w:tc>
        <w:tc>
          <w:tcPr/>
          <w:p>
            <w:pPr>
              <w:pStyle w:val="Compact"/>
            </w:pPr>
            <w:r>
              <w:t xml:space="preserve">1,9 ms</w:t>
            </w:r>
          </w:p>
        </w:tc>
        <w:tc>
          <w:tcPr/>
          <w:p>
            <w:pPr>
              <w:pStyle w:val="Compact"/>
            </w:pPr>
            <w:r>
              <w:t xml:space="preserve">−17 %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 catálogo</w:t>
            </w:r>
          </w:p>
        </w:tc>
        <w:tc>
          <w:tcPr/>
          <w:p>
            <w:pPr>
              <w:pStyle w:val="Compact"/>
            </w:pPr>
            <w:r>
              <w:t xml:space="preserve">percentil 95</w:t>
            </w:r>
          </w:p>
        </w:tc>
        <w:tc>
          <w:tcPr/>
          <w:p>
            <w:pPr>
              <w:pStyle w:val="Compact"/>
            </w:pPr>
            <w:r>
              <w:t xml:space="preserve">3,4 ms</w:t>
            </w:r>
          </w:p>
        </w:tc>
        <w:tc>
          <w:tcPr/>
          <w:p>
            <w:pPr>
              <w:pStyle w:val="Compact"/>
            </w:pPr>
            <w:r>
              <w:t xml:space="preserve">2,9 ms</w:t>
            </w:r>
          </w:p>
        </w:tc>
        <w:tc>
          <w:tcPr/>
          <w:p>
            <w:pPr>
              <w:pStyle w:val="Compact"/>
            </w:pPr>
            <w:r>
              <w:t xml:space="preserve">−15 %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 catálogo</w:t>
            </w:r>
          </w:p>
        </w:tc>
        <w:tc>
          <w:tcPr/>
          <w:p>
            <w:pPr>
              <w:pStyle w:val="Compact"/>
            </w:pPr>
            <w:r>
              <w:t xml:space="preserve">requests servidos</w:t>
            </w:r>
          </w:p>
        </w:tc>
        <w:tc>
          <w:tcPr/>
          <w:p>
            <w:pPr>
              <w:pStyle w:val="Compact"/>
            </w:pPr>
            <w:r>
              <w:t xml:space="preserve">329 444</w:t>
            </w:r>
          </w:p>
        </w:tc>
        <w:tc>
          <w:tcPr/>
          <w:p>
            <w:pPr>
              <w:pStyle w:val="Compact"/>
            </w:pPr>
            <w:r>
              <w:t xml:space="preserve">404 277</w:t>
            </w:r>
          </w:p>
        </w:tc>
        <w:tc>
          <w:tcPr/>
          <w:p>
            <w:pPr>
              <w:pStyle w:val="Compact"/>
            </w:pPr>
            <w:r>
              <w:t xml:space="preserve">+23 %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mediana (iteração)</w:t>
            </w:r>
          </w:p>
        </w:tc>
        <w:tc>
          <w:tcPr/>
          <w:p>
            <w:pPr>
              <w:pStyle w:val="Compact"/>
            </w:pPr>
            <w:r>
              <w:t xml:space="preserve">2,6 ms</w:t>
            </w:r>
          </w:p>
        </w:tc>
        <w:tc>
          <w:tcPr/>
          <w:p>
            <w:pPr>
              <w:pStyle w:val="Compact"/>
            </w:pPr>
            <w:r>
              <w:t xml:space="preserve">7,6 ms</w:t>
            </w:r>
          </w:p>
        </w:tc>
        <w:tc>
          <w:tcPr/>
          <w:p>
            <w:pPr>
              <w:pStyle w:val="Compact"/>
            </w:pPr>
            <w:r>
              <w:t xml:space="preserve">+194 %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percentil 95 (iteração)</w:t>
            </w:r>
          </w:p>
        </w:tc>
        <w:tc>
          <w:tcPr/>
          <w:p>
            <w:pPr>
              <w:pStyle w:val="Compact"/>
            </w:pPr>
            <w:r>
              <w:t xml:space="preserve">3,9 ms</w:t>
            </w:r>
          </w:p>
        </w:tc>
        <w:tc>
          <w:tcPr/>
          <w:p>
            <w:pPr>
              <w:pStyle w:val="Compact"/>
            </w:pPr>
            <w:r>
              <w:t xml:space="preserve">13,5 ms</w:t>
            </w:r>
          </w:p>
        </w:tc>
        <w:tc>
          <w:tcPr/>
          <w:p>
            <w:pPr>
              <w:pStyle w:val="Compact"/>
            </w:pPr>
            <w:r>
              <w:t xml:space="preserve">+245 %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iterações servidas</w:t>
            </w:r>
          </w:p>
        </w:tc>
        <w:tc>
          <w:tcPr/>
          <w:p>
            <w:pPr>
              <w:pStyle w:val="Compact"/>
            </w:pPr>
            <w:r>
              <w:t xml:space="preserve">36 604</w:t>
            </w:r>
          </w:p>
        </w:tc>
        <w:tc>
          <w:tcPr/>
          <w:p>
            <w:pPr>
              <w:pStyle w:val="Compact"/>
            </w:pPr>
            <w:r>
              <w:t xml:space="preserve">11 825</w:t>
            </w:r>
          </w:p>
        </w:tc>
        <w:tc>
          <w:tcPr/>
          <w:p>
            <w:pPr>
              <w:pStyle w:val="Compact"/>
            </w:pPr>
            <w:r>
              <w:t xml:space="preserve">−68 %</w:t>
            </w:r>
          </w:p>
        </w:tc>
      </w:tr>
    </w:tbl>
    <w:p>
      <w:pPr>
        <w:pStyle w:val="BodyText"/>
      </w:pPr>
      <w:r>
        <w:t xml:space="preserve">A leitura conjunta destas duas medições é o resultado central do trabalho relativamente à QI2. No fluxo simples, a decomposição</w:t>
      </w:r>
      <w:r>
        <w:t xml:space="preserve"> </w:t>
      </w:r>
      <w:r>
        <w:rPr>
          <w:b/>
          <w:bCs/>
        </w:rPr>
        <w:t xml:space="preserve">não penaliza</w:t>
      </w:r>
      <w:r>
        <w:t xml:space="preserve"> </w:t>
      </w:r>
      <w:r>
        <w:t xml:space="preserve">o desempenho: os microserviços apresentam latência mediana e percentil 95 inferiores às do monólito, com vantagem adicional de 23 % no número de pedidos servidos. Este resultado, contraintuitivo, deriva do isolamento do processo associado ao serviço de catálogo: a sua máquina virtual Java é dedicada exclusivamente a esse domínio, com cache e</w:t>
      </w:r>
      <w:r>
        <w:t xml:space="preserve"> </w:t>
      </w:r>
      <w:r>
        <w:rPr>
          <w:i/>
          <w:iCs/>
        </w:rPr>
        <w:t xml:space="preserve">garbage collector</w:t>
      </w:r>
      <w:r>
        <w:t xml:space="preserve"> </w:t>
      </w:r>
      <w:r>
        <w:t xml:space="preserve">otimizados para esse uso, ao passo que o monólito partilha estes recursos entre todos os domínios.</w:t>
      </w:r>
    </w:p>
    <w:p>
      <w:pPr>
        <w:pStyle w:val="BodyText"/>
      </w:pPr>
      <w:r>
        <w:t xml:space="preserve">No fluxo transacional, no entanto, a decomposição penaliza o desempenho de forma dramática. O percentil 95 do checkout multiplica-se por 3,5 face ao monólito, e o número de operações por segundo cai em 68 %. A diferença entre os dois resultados — uma operação simples não penalizada, uma operação complexa fortemente penalizada — é incompatível com qualquer crescimento linear do custo com o número de chamadas. Se o custo crescesse linearmente com o número de hops, esperar-se-ia, partindo de uma penalização nula em um hop, qualquer coisa entre nenhuma penalização e uma penalização equivalente a quatro vezes a unitária. A penalização observada (mais de duzentas vezes a unitária) é compatível apenas com</w:t>
      </w:r>
      <w:r>
        <w:t xml:space="preserve"> </w:t>
      </w:r>
      <w:r>
        <w:rPr>
          <w:b/>
          <w:bCs/>
        </w:rPr>
        <w:t xml:space="preserve">crescimento super-linear</w:t>
      </w:r>
      <w:r>
        <w:t xml:space="preserve">, conforme previsto por H2a. Este crescimento é atribuível à acumulação de serializações HTTP, atravessamentos de fronteiras de processo e dessincronização entre os ciclos de</w:t>
      </w:r>
      <w:r>
        <w:t xml:space="preserve"> </w:t>
      </w:r>
      <w:r>
        <w:rPr>
          <w:i/>
          <w:iCs/>
        </w:rPr>
        <w:t xml:space="preserve">garbage collection</w:t>
      </w:r>
      <w:r>
        <w:t xml:space="preserve"> </w:t>
      </w:r>
      <w:r>
        <w:t xml:space="preserve">das diferentes máquinas virtuais.</w:t>
      </w:r>
    </w:p>
    <w:p>
      <w:pPr>
        <w:pStyle w:val="BodyText"/>
      </w:pPr>
      <w:r>
        <w:rPr>
          <w:b/>
          <w:bCs/>
        </w:rPr>
        <w:t xml:space="preserve">H2a confirma-se</w:t>
      </w:r>
      <w:r>
        <w:t xml:space="preserve"> </w:t>
      </w:r>
      <w:r>
        <w:t xml:space="preserve">em ambos os sentidos: o custo da decomposição é negligenciável (ou favorável) em fluxos simples e dramaticamente penalizador em fluxos com múltiplas coordenações síncronas.</w:t>
      </w:r>
    </w:p>
    <w:bookmarkEnd w:id="30"/>
    <w:bookmarkStart w:id="31" w:name="disponibilidade"/>
    <w:p>
      <w:pPr>
        <w:pStyle w:val="Heading4"/>
      </w:pPr>
      <w:r>
        <w:t xml:space="preserve">6.3.2 Disponibilidade</w:t>
      </w:r>
    </w:p>
    <w:p>
      <w:pPr>
        <w:pStyle w:val="FirstParagraph"/>
      </w:pPr>
      <w:r>
        <w:t xml:space="preserve">A avaliação da disponibilidade consiste em provocar a falha de um componente e observar o impacto sobre o sistema. No monólito, a paragem da base de dados torna todos os endpoints simultaneamente indisponíveis em poucos segundos: autenticação, catálogo, encomendas, todos os domínios partilham o mesmo</w:t>
      </w:r>
      <w:r>
        <w:t xml:space="preserve"> </w:t>
      </w:r>
      <w:r>
        <w:rPr>
          <w:i/>
          <w:iCs/>
        </w:rPr>
        <w:t xml:space="preserve">connection pool</w:t>
      </w:r>
      <w:r>
        <w:t xml:space="preserve"> </w:t>
      </w:r>
      <w:r>
        <w:t xml:space="preserve">e todos sucumbem à mesma falha. A recuperação, após o restabelecimento da base de dados, demora cerca de quinze segundos para o reestabelecimento completo.</w:t>
      </w:r>
    </w:p>
    <w:p>
      <w:pPr>
        <w:pStyle w:val="BodyText"/>
      </w:pPr>
      <w:r>
        <w:t xml:space="preserve">Na proposta de microserviços, a paragem do serviço de catálogo provoca o ativamento do</w:t>
      </w:r>
      <w:r>
        <w:t xml:space="preserve"> </w:t>
      </w:r>
      <w:r>
        <w:rPr>
          <w:i/>
          <w:iCs/>
        </w:rPr>
        <w:t xml:space="preserve">circuit breaker</w:t>
      </w:r>
      <w:r>
        <w:t xml:space="preserve"> </w:t>
      </w:r>
      <w:r>
        <w:t xml:space="preserve">correspondente no gateway, que passa a devolver respostas degradadas para os pedidos a este serviço. Os restantes endpoints — autenticação, listagem de encomendas, consulta do carrinho — mantêm a sua disponibilidade durante a totalidade da interrupção.</w:t>
      </w:r>
    </w:p>
    <w:p>
      <w:pPr>
        <w:pStyle w:val="BodyText"/>
      </w:pPr>
      <w:r>
        <w:t xml:space="preserve">O ganho em disponibilidade é, portanto,</w:t>
      </w:r>
      <w:r>
        <w:t xml:space="preserve"> </w:t>
      </w:r>
      <w:r>
        <w:rPr>
          <w:b/>
          <w:bCs/>
        </w:rPr>
        <w:t xml:space="preserve">real mas restrito a operações que não dependam do serviço caído</w:t>
      </w:r>
      <w:r>
        <w:t xml:space="preserve">. O checkout, que coordena cinco serviços em série, falha se qualquer um deles falhar — uma manifestação de que o acoplamento foi redistribuído (do</w:t>
      </w:r>
      <w:r>
        <w:t xml:space="preserve"> </w:t>
      </w:r>
      <w:r>
        <w:rPr>
          <w:i/>
          <w:iCs/>
        </w:rPr>
        <w:t xml:space="preserve">connection pool</w:t>
      </w:r>
      <w:r>
        <w:t xml:space="preserve"> </w:t>
      </w:r>
      <w:r>
        <w:t xml:space="preserve">partilhado para o conjunto de chamadas síncronas), não eliminado.</w:t>
      </w:r>
    </w:p>
    <w:bookmarkEnd w:id="31"/>
    <w:bookmarkStart w:id="32" w:name="deployability"/>
    <w:p>
      <w:pPr>
        <w:pStyle w:val="Heading4"/>
      </w:pPr>
      <w:r>
        <w:t xml:space="preserve">6.3.3 Deployability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não é mensurável quantitativamente da mesma forma que as anteriores, mas é observável qualitativamente. No monólito, qualquer alteração — mesmo a um único módulo — implica a reconstrução e o redeployment integrais da aplicação, com interrupção temporária de todas as funcionalidades. Na proposta de microserviços, a atualização de um serviço é independente das restantes: durante o redeployment do serviço de catálogo, o gateway ativa a resposta degradada para esse domínio e os outros serviços continuam disponíveis sem interrupção.</w:t>
      </w:r>
    </w:p>
    <w:p>
      <w:pPr>
        <w:pStyle w:val="BodyText"/>
      </w:pPr>
      <w:r>
        <w:t xml:space="preserve">Esta propriedade — apresentada na literatura como uma das principais motivações para a decomposição — é confirmada empiricamente no protótipo. O seu valor pleno, no entanto, manifestar-se-ia num contexto de equipas paralelas a iterar sobre domínios distintos a ritmos distintos, contexto este ausente da experiência atual.</w:t>
      </w:r>
    </w:p>
    <w:bookmarkEnd w:id="32"/>
    <w:bookmarkStart w:id="33" w:name="custo-operacional"/>
    <w:p>
      <w:pPr>
        <w:pStyle w:val="Heading4"/>
      </w:pPr>
      <w:r>
        <w:t xml:space="preserve">6.3.4 Custo Operacional</w:t>
      </w:r>
    </w:p>
    <w:p>
      <w:pPr>
        <w:pStyle w:val="FirstParagraph"/>
      </w:pPr>
      <w:r>
        <w:t xml:space="preserve">O custo operacional é avaliado em termos de consumo de memória e de número de componentes a manter operacionais. As medições correspondentes, em condições de paridade funcional, apresentam-se na tabela 2.</w:t>
      </w:r>
    </w:p>
    <w:p>
      <w:pPr>
        <w:pStyle w:val="BodyText"/>
      </w:pPr>
      <w:r>
        <w:rPr>
          <w:b/>
          <w:bCs/>
        </w:rPr>
        <w:t xml:space="preserve">Tabela 2 — Recursos consumidos em estado ocioso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800"/>
        <w:gridCol w:w="27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Monólito</w:t>
            </w:r>
          </w:p>
        </w:tc>
        <w:tc>
          <w:tcPr/>
          <w:p>
            <w:pPr>
              <w:pStyle w:val="Compact"/>
            </w:pPr>
            <w:r>
              <w:t xml:space="preserve">Microserviços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 RAM total</w:t>
            </w:r>
          </w:p>
        </w:tc>
        <w:tc>
          <w:tcPr/>
          <w:p>
            <w:pPr>
              <w:pStyle w:val="Compact"/>
            </w:pPr>
            <w:r>
              <w:t xml:space="preserve">aprox. 1,3 GiB</w:t>
            </w:r>
          </w:p>
        </w:tc>
        <w:tc>
          <w:tcPr/>
          <w:p>
            <w:pPr>
              <w:pStyle w:val="Compact"/>
            </w:pPr>
            <w:r>
              <w:t xml:space="preserve">aprox. 5,3 GiB</w:t>
            </w:r>
          </w:p>
        </w:tc>
        <w:tc>
          <w:tcPr/>
          <w:p>
            <w:pPr>
              <w:pStyle w:val="Compact"/>
            </w:pPr>
            <w:r>
              <w:t xml:space="preserve">× 4,1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contentores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× 5,7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de infraestrutura</w:t>
            </w:r>
          </w:p>
        </w:tc>
        <w:tc>
          <w:tcPr/>
          <w:p>
            <w:pPr>
              <w:pStyle w:val="Compact"/>
            </w:pPr>
            <w:r>
              <w:t xml:space="preserve">1 (PostgreSQL)</w:t>
            </w:r>
          </w:p>
        </w:tc>
        <w:tc>
          <w:tcPr/>
          <w:p>
            <w:pPr>
              <w:pStyle w:val="Compact"/>
            </w:pPr>
            <w:r>
              <w:t xml:space="preserve">4 (Kafka, Zookeeper, 7 PostgreSQL, observabilidade)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 consumo de memória dos microserviços é aproximadamente quatro vezes superior ao do monólito, em condições de inatividade. O facto de a memória não variar significativamente entre estado ocioso e sob carga (em ambas arquiteturas) é típico do padrão de gestão de memória da máquina virtual Java, com</w:t>
      </w:r>
      <w:r>
        <w:t xml:space="preserve"> </w:t>
      </w:r>
      <w:r>
        <w:rPr>
          <w:i/>
          <w:iCs/>
        </w:rPr>
        <w:t xml:space="preserve">heap</w:t>
      </w:r>
      <w:r>
        <w:t xml:space="preserve"> </w:t>
      </w:r>
      <w:r>
        <w:t xml:space="preserve">pré-alocado: o custo é estrutural, e existe mesmo na ausência de utilizadores.</w:t>
      </w:r>
      <w:r>
        <w:t xml:space="preserve"> </w:t>
      </w:r>
      <w:r>
        <w:rPr>
          <w:b/>
          <w:bCs/>
        </w:rPr>
        <w:t xml:space="preserve">H2b confirma-se</w:t>
      </w:r>
      <w:r>
        <w:t xml:space="preserve">: o custo cresce aproximadamente em proporção ao número de processos.</w:t>
      </w:r>
    </w:p>
    <w:p>
      <w:pPr>
        <w:pStyle w:val="BodyText"/>
      </w:pPr>
      <w:r>
        <w:t xml:space="preserve">A este custo de memória soma-se um custo de complexidade operacional não trivial: dezassete componentes a monitorizar, configurar e manter atualizados, em vez de três. O ponto é particularmente relevante para a discussão final, dado que o protótipo não exerce as propriedades — escalabilidade independente, autonomia de equipas — que poderiam justificar este custo adicional.</w:t>
      </w:r>
    </w:p>
    <w:bookmarkEnd w:id="33"/>
    <w:bookmarkStart w:id="34" w:name="falha-parcial-e-consistência"/>
    <w:p>
      <w:pPr>
        <w:pStyle w:val="Heading4"/>
      </w:pPr>
      <w:r>
        <w:t xml:space="preserve">6.3.5 Falha Parcial e Consistência</w:t>
      </w:r>
    </w:p>
    <w:p>
      <w:pPr>
        <w:pStyle w:val="FirstParagraph"/>
      </w:pPr>
      <w:r>
        <w:t xml:space="preserve">A QI3 é avaliada pelo cenário descrito em §5.3. O resultado, sumariado na tabela 3, é qualitativamente distinto entre as duas arquiteturas.</w:t>
      </w:r>
    </w:p>
    <w:p>
      <w:pPr>
        <w:pStyle w:val="BodyText"/>
      </w:pPr>
      <w:r>
        <w:rPr>
          <w:b/>
          <w:bCs/>
        </w:rPr>
        <w:t xml:space="preserve">Tabela 3 — Estado do sistema após falha parcial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214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Monólito</w:t>
            </w:r>
          </w:p>
        </w:tc>
        <w:tc>
          <w:tcPr/>
          <w:p>
            <w:pPr>
              <w:pStyle w:val="Compact"/>
            </w:pPr>
            <w:r>
              <w:t xml:space="preserve">Microserviços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sem alteração (rollback automático)</w:t>
            </w:r>
          </w:p>
        </w:tc>
        <w:tc>
          <w:tcPr/>
          <w:p>
            <w:pPr>
              <w:pStyle w:val="Compact"/>
            </w:pPr>
            <w:r>
              <w:t xml:space="preserve">decrementado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</w:t>
            </w:r>
          </w:p>
        </w:tc>
        <w:tc>
          <w:tcPr/>
          <w:p>
            <w:pPr>
              <w:pStyle w:val="Compact"/>
            </w:pPr>
            <w:r>
              <w:t xml:space="preserve">não criada (rollback automático)</w:t>
            </w:r>
          </w:p>
        </w:tc>
        <w:tc>
          <w:tcPr/>
          <w:p>
            <w:pPr>
              <w:pStyle w:val="Compact"/>
            </w:pPr>
            <w:r>
              <w:t xml:space="preserve">criada em estado intermédio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Mensagem publicada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sem consumidor 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exige intervenção manual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H3 confirma-se</w:t>
      </w:r>
      <w:r>
        <w:t xml:space="preserve">. Na ausência de mecanismos de compensação (Saga, idempotência,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), os microserviços apresentam um estado inconsistente que não pode ocorrer no monólito. A consequência prática é importante: a consistência distribuída não é uma propriedade gratuita dos microserviços — é uma propriedade que tem de ser explicitamente reconstruída, com esforço adicional, em substituição da garantia transacional que o monólito oferecia automaticamente.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discussão"/>
    <w:p>
      <w:pPr>
        <w:pStyle w:val="Heading2"/>
      </w:pPr>
      <w:r>
        <w:t xml:space="preserve">7. Discussão</w:t>
      </w:r>
    </w:p>
    <w:bookmarkStart w:id="37" w:name="resposta-às-questões-de-investigação"/>
    <w:p>
      <w:pPr>
        <w:pStyle w:val="Heading3"/>
      </w:pPr>
      <w:r>
        <w:t xml:space="preserve">7.1 Resposta às Questões de Investigação</w:t>
      </w:r>
    </w:p>
    <w:p>
      <w:pPr>
        <w:pStyle w:val="FirstParagraph"/>
      </w:pPr>
      <w:r>
        <w:t xml:space="preserve">Os resultados experimentais sustentam as três hipóteses formuladas em §1.3. A QI1 confirma-se pela contagem das categorias de dependência entre domínios: as dependências estruturais compile-time (chaves estrangeiras, entidades partilhadas) são eliminadas, mas o seu lugar é ocupado por dependências runtime (chamadas síncronas, eventos assíncronos, identidade propagada por cabeçalhos). O total de dependências cross-domain não diminui — apenas muda de natureza, deslocando-se do plano estático para o plano dinâmico. A redistribuição é tangível e mensurável.</w:t>
      </w:r>
    </w:p>
    <w:p>
      <w:pPr>
        <w:pStyle w:val="BodyText"/>
      </w:pPr>
      <w:r>
        <w:t xml:space="preserve">A QI2 confirma-se em ambas as suas componentes. O custo de latência da decomposição é negligenciável ou negativo em fluxos simples — o serviço dedicado pode mesmo ser mais rápido do que o monólito por benefício de isolamento de processo — mas cresce de forma super-linear à medida que o fluxo passa a coordenar múltiplos serviços. A penalização observada no checkout (3,5 vezes face ao monólito, com cinco chamadas em série) é incompatível com crescimento linear e compatível com a acumulação não-linear de custos de serialização, atravessamento de fronteiras e dessincronização de processos. O custo de memória, por seu turno, é aproximadamente proporcional ao número de processos e existe mesmo na ausência de utilizadores.</w:t>
      </w:r>
    </w:p>
    <w:p>
      <w:pPr>
        <w:pStyle w:val="BodyText"/>
      </w:pPr>
      <w:r>
        <w:t xml:space="preserve">A QI3 confirma-se de forma qualitativa pelo cenário de falha parcial. A comunicação assíncrona, sem padrões adicionais de compensação, regride a consistência face ao baseline transacional do monólito. O ganho de desacoplamento temporal — o utilizador não tem de esperar pelo processamento do pagamento — é pago em complexidade de consistência: é necessário desenhar e implementar Saga, idempotência e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, padrões nenhum dos quais trivial. O monólito oferecia, sob esta perspetiva, gratuitamente uma propriedade que os microserviços têm de reconquistar com esforço adicional.</w:t>
      </w:r>
    </w:p>
    <w:bookmarkEnd w:id="37"/>
    <w:bookmarkStart w:id="38" w:name="limitações-da-solução-proposta"/>
    <w:p>
      <w:pPr>
        <w:pStyle w:val="Heading3"/>
      </w:pPr>
      <w:r>
        <w:t xml:space="preserve">7.2 Limitações da Solução Proposta</w:t>
      </w:r>
    </w:p>
    <w:p>
      <w:pPr>
        <w:pStyle w:val="FirstParagraph"/>
      </w:pPr>
      <w:r>
        <w:t xml:space="preserve">A proposta TO-BE tem limitações conhecidas e assumidas, que importa explicitar para enquadrar adequadamente a interpretação dos resultados.</w:t>
      </w:r>
    </w:p>
    <w:p>
      <w:pPr>
        <w:pStyle w:val="BodyText"/>
      </w:pPr>
      <w:r>
        <w:t xml:space="preserve">A primeira é a ausência de</w:t>
      </w:r>
      <w:r>
        <w:t xml:space="preserve"> </w:t>
      </w:r>
      <w:r>
        <w:rPr>
          <w:b/>
          <w:bCs/>
        </w:rPr>
        <w:t xml:space="preserve">padrões de compensação</w:t>
      </w:r>
      <w:r>
        <w:t xml:space="preserve">: nem Saga, nem idempotência, nem</w:t>
      </w:r>
      <w:r>
        <w:t xml:space="preserve"> </w:t>
      </w:r>
      <w:r>
        <w:rPr>
          <w:i/>
          <w:iCs/>
        </w:rPr>
        <w:t xml:space="preserve">dead-letter queue</w:t>
      </w:r>
      <w:r>
        <w:t xml:space="preserve"> </w:t>
      </w:r>
      <w:r>
        <w:t xml:space="preserve">foram implementados. A consequência é a possibilidade real de inconsistência sob falha parcial, exatamente como evidencia o cenário do estado</w:t>
      </w:r>
      <w:r>
        <w:t xml:space="preserve"> </w:t>
      </w:r>
      <w:r>
        <w:rPr>
          <w:i/>
          <w:iCs/>
        </w:rPr>
        <w:t xml:space="preserve">zombie</w:t>
      </w:r>
      <w:r>
        <w:t xml:space="preserve">. A escolha foi deliberada para sustentar QI3, mas representa uma limitação de produção que teria de ser endereçada num sistema real.</w:t>
      </w:r>
    </w:p>
    <w:p>
      <w:pPr>
        <w:pStyle w:val="BodyText"/>
      </w:pPr>
      <w:r>
        <w:t xml:space="preserve">A segunda é a natureza de</w:t>
      </w:r>
      <w:r>
        <w:t xml:space="preserve"> </w:t>
      </w:r>
      <w:r>
        <w:rPr>
          <w:b/>
          <w:bCs/>
        </w:rPr>
        <w:t xml:space="preserve">simulação</w:t>
      </w:r>
      <w:r>
        <w:t xml:space="preserve"> </w:t>
      </w:r>
      <w:r>
        <w:t xml:space="preserve">do serviço de pagamento. O processamento real de um pagamento envolve a integração com gateways externos, sujeitos a latência variável, falhas transitórias e exigências de segurança. A simulação adotada (atraso constante, probabilidade fixa de falha) é suficiente para o objetivo experimental, mas não substitui um teste com o pagamento real.</w:t>
      </w:r>
    </w:p>
    <w:p>
      <w:pPr>
        <w:pStyle w:val="BodyText"/>
      </w:pPr>
      <w:r>
        <w:t xml:space="preserve">A terceira é a</w:t>
      </w:r>
      <w:r>
        <w:t xml:space="preserve"> </w:t>
      </w:r>
      <w:r>
        <w:rPr>
          <w:b/>
          <w:bCs/>
        </w:rPr>
        <w:t xml:space="preserve">autenticação por JWT artesanal</w:t>
      </w:r>
      <w:r>
        <w:t xml:space="preserve">. O modelo adotado (assinatura HMAC com segredo partilhado) é adequado a um protótipo, mas em produção exigiria rotação de chaves ou a integração com um</w:t>
      </w:r>
      <w:r>
        <w:t xml:space="preserve"> </w:t>
      </w:r>
      <w:r>
        <w:rPr>
          <w:i/>
          <w:iCs/>
        </w:rPr>
        <w:t xml:space="preserve">Identity Provider</w:t>
      </w:r>
      <w:r>
        <w:t xml:space="preserve"> </w:t>
      </w:r>
      <w:r>
        <w:t xml:space="preserve">externo, com revogação e renovação de tokens.</w:t>
      </w:r>
    </w:p>
    <w:bookmarkEnd w:id="38"/>
    <w:bookmarkStart w:id="39" w:name="auditoria-das-próprias-fronteiras"/>
    <w:p>
      <w:pPr>
        <w:pStyle w:val="Heading3"/>
      </w:pPr>
      <w:r>
        <w:t xml:space="preserve">7.3 Auditoria das Próprias Fronteiras</w:t>
      </w:r>
    </w:p>
    <w:p>
      <w:pPr>
        <w:pStyle w:val="FirstParagraph"/>
      </w:pPr>
      <w:r>
        <w:t xml:space="preserve">Durante o trabalho, a separação inicial entre serviço de autenticação e serviço de utilizador foi auditada criticamente à luz dos princípios DDD e revelou-se</w:t>
      </w:r>
      <w:r>
        <w:t xml:space="preserve"> </w:t>
      </w:r>
      <w:r>
        <w:rPr>
          <w:i/>
          <w:iCs/>
        </w:rPr>
        <w:t xml:space="preserve">over-engineering</w:t>
      </w:r>
      <w:r>
        <w:t xml:space="preserve">. Os dois serviços não modelavam conceitos distintos do domínio, não tinham linguagem ubíqua diferenciada e a sua operação obrigava a sincronização cruzada em todas as criações de utilizador. A fusão num único serviço de identidade simplificou a operação sem perda de propriedades arquiteturais.</w:t>
      </w:r>
    </w:p>
    <w:p>
      <w:pPr>
        <w:pStyle w:val="BodyText"/>
      </w:pPr>
      <w:r>
        <w:t xml:space="preserve">Esta experiência sugere uma heurística operacional para identificar bounded contexts genuínos:</w:t>
      </w:r>
      <w:r>
        <w:t xml:space="preserve"> </w:t>
      </w:r>
      <w:r>
        <w:rPr>
          <w:b/>
          <w:bCs/>
        </w:rPr>
        <w:t xml:space="preserve">fronteiras que exigem sincronização imediata em ambos os sentidos não são bounded contexts genuínos — são módulos que não deveriam ter sido separados</w:t>
      </w:r>
      <w:r>
        <w:t xml:space="preserve">. A decomposição apenas se justifica quando há autonomia genuína de domínio: linguagem distinta, ciclos de vida desalinhados, equipas potencialmente independentes. Sem estas condições, a decomposição introduz custos sem benefícios correspondentes.</w:t>
      </w:r>
    </w:p>
    <w:bookmarkEnd w:id="39"/>
    <w:bookmarkStart w:id="40" w:name="o-que-a-decomposição-não-resolve"/>
    <w:p>
      <w:pPr>
        <w:pStyle w:val="Heading3"/>
      </w:pPr>
      <w:r>
        <w:t xml:space="preserve">7.4 O que a Decomposição não Resolve</w:t>
      </w:r>
    </w:p>
    <w:p>
      <w:pPr>
        <w:pStyle w:val="FirstParagraph"/>
      </w:pPr>
      <w:r>
        <w:t xml:space="preserve">Os resultados sugerem que a decomposição em microserviços é uma reorganização de problemas arquiteturais, e não a sua eliminação. Há limitações que persistem ou que são introduzidas pela própria decomposição.</w:t>
      </w:r>
    </w:p>
    <w:p>
      <w:pPr>
        <w:pStyle w:val="BodyText"/>
      </w:pPr>
      <w:r>
        <w:t xml:space="preserve">A consistência distribuída requer, como visto, padrões adicionais não triviais de compensação. A complexidade operacional aumenta proporcionalmente ao número de componentes, mesmo quando estes não estão a ser exercitados. O</w:t>
      </w:r>
      <w:r>
        <w:t xml:space="preserve"> </w:t>
      </w:r>
      <w:r>
        <w:rPr>
          <w:i/>
          <w:iCs/>
        </w:rPr>
        <w:t xml:space="preserve">debugging</w:t>
      </w:r>
      <w:r>
        <w:t xml:space="preserve"> </w:t>
      </w:r>
      <w:r>
        <w:t xml:space="preserve">distribuído exige ferramentas dedicadas (rastreio distribuído com Jaeger, métricas com Prometheus, logs centralizados) sem as quais é impraticável correlacionar acontecimentos entre processos.</w:t>
      </w:r>
    </w:p>
    <w:p>
      <w:pPr>
        <w:pStyle w:val="BodyText"/>
      </w:pPr>
      <w:r>
        <w:t xml:space="preserve">A escalabilidade horizontal por componente — frequentemente apresentada como o argumento principal a favor de microserviços — não foi exercitada neste trabalho. A literatura sustenta que, sob carga assimétrica entre domínios, a possibilidade de escalar apenas o componente saturado representa um ganho efetivo. A demonstração empírica desta propriedade exige, no entanto, infraestrutura de orquestração com múltiplos nós e múltiplas instâncias por serviço, fora do âmbito de um protótipo local.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tributo-do-grupo"/>
    <w:p>
      <w:pPr>
        <w:pStyle w:val="Heading2"/>
      </w:pPr>
      <w:r>
        <w:t xml:space="preserve">8. Contributo do Grupo</w:t>
      </w:r>
    </w:p>
    <w:p>
      <w:pPr>
        <w:pStyle w:val="FirstParagraph"/>
      </w:pPr>
      <w:r>
        <w:t xml:space="preserve">Para clarificar a natureza da contribuição original, importa distinguir o que foi reaproveitado, o que foi adaptado e o que foi desenhado e implementado raiz pelo grupo.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monólito de partida</w:t>
      </w:r>
      <w:r>
        <w:t xml:space="preserve"> </w:t>
      </w:r>
      <w:r>
        <w:t xml:space="preserve">é um projeto Spring Boot pré-existente, utilizado como caso de estudo. O grupo estudou-o, identificou as suas limitações arquiteturais e funcionais, e introduziu duas correções funcionais necessárias para garantir paridade na avaliação experimental: a validação de stock no checkout e a extração da identidade do utilizador a partir do token JWT (em substituição do identificador fixo).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proposta de microserviços</w:t>
      </w:r>
      <w:r>
        <w:t xml:space="preserve"> </w:t>
      </w:r>
      <w:r>
        <w:t xml:space="preserve">foi desenhada e implementada raiz pelo grupo, incluindo a definição das fronteiras entre serviços, a escolha dos padrões de comunicação (síncrona vs. assíncrona) por fluxo, a configuração do gateway e dos</w:t>
      </w:r>
      <w:r>
        <w:t xml:space="preserve"> </w:t>
      </w:r>
      <w:r>
        <w:rPr>
          <w:i/>
          <w:iCs/>
        </w:rPr>
        <w:t xml:space="preserve">circuit breakers</w:t>
      </w:r>
      <w:r>
        <w:t xml:space="preserve">, a estrutura de eventos Kafka entre serviços e a auditoria crítica que conduziu à fusão do serviço de autenticação com o de utilizador num único serviço de identidade.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protocolo experimental</w:t>
      </w:r>
      <w:r>
        <w:t xml:space="preserve"> </w:t>
      </w:r>
      <w:r>
        <w:t xml:space="preserve">— desenho dos cenários de teste, paridade funcional aplicada ao monólito, métricas recolhidas e interpretação à luz dos quatro atributos de qualidade — foi também original do grupo. As ferramentas utilizadas (k6 para carga, Jaeger para rastreio, Prometheus e Grafana para métricas, Kafdrop para inspeção de eventos) são padrão da indústria e foram integradas ao trabalho.</w:t>
      </w:r>
    </w:p>
    <w:p>
      <w:pPr>
        <w:pStyle w:val="BodyText"/>
      </w:pPr>
      <w:r>
        <w:t xml:space="preserve">A discussão dos resultados, a auditoria das próprias decisões arquiteturais e a articulação das três questões de investigação são contribuição metodológica do grupo. Em particular, a distinção entre serviços de domínio genuíno e serviços com função de instrumentação experimental (inventário e pagamento), e a auditoria crítica da fronteira inicial entre autenticação e utilizador, são análises originais que não correspondem a aplicação mecânica de princípios genéricos.</w:t>
      </w:r>
    </w:p>
    <w:p>
      <w:r>
        <w:pict>
          <v:rect style="width:0;height:1.5pt" o:hralign="center" o:hrstd="t" o:hr="t"/>
        </w:pict>
      </w:r>
    </w:p>
    <w:bookmarkEnd w:id="42"/>
    <w:bookmarkStart w:id="45" w:name="conclusões-e-trabalho-futuro"/>
    <w:p>
      <w:pPr>
        <w:pStyle w:val="Heading2"/>
      </w:pPr>
      <w:r>
        <w:t xml:space="preserve">9. Conclusões e Trabalho Futuro</w:t>
      </w:r>
    </w:p>
    <w:bookmarkStart w:id="43" w:name="conclusões"/>
    <w:p>
      <w:pPr>
        <w:pStyle w:val="Heading3"/>
      </w:pPr>
      <w:r>
        <w:t xml:space="preserve">9.1 Conclusões</w:t>
      </w:r>
    </w:p>
    <w:p>
      <w:pPr>
        <w:pStyle w:val="FirstParagraph"/>
      </w:pPr>
      <w:r>
        <w:t xml:space="preserve">O trabalho avaliou empiricamente, em condições de paridade funcional, a transição de uma aplicação de comércio eletrónico de uma arquitetura monolítica para uma arquitetura baseada em microserviços. As três questões de investigação que orientaram o estudo foram respondidas com base em medições controladas e na observação de cenários de falha.</w:t>
      </w:r>
    </w:p>
    <w:p>
      <w:pPr>
        <w:pStyle w:val="BodyText"/>
      </w:pPr>
      <w:r>
        <w:t xml:space="preserve">A primeira conclusão é que a decomposição em microserviços</w:t>
      </w:r>
      <w:r>
        <w:t xml:space="preserve"> </w:t>
      </w:r>
      <w:r>
        <w:rPr>
          <w:b/>
          <w:bCs/>
        </w:rPr>
        <w:t xml:space="preserve">não elimina o acoplamento</w:t>
      </w:r>
      <w:r>
        <w:t xml:space="preserve">, redistribui-o. As dependências estáticas entre módulos (chaves estrangeiras, entidades partilhadas, deployment conjunto) são substituídas por dependências dinâmicas equivalentes (chamadas síncronas, eventos assíncronos, identidade propagada). O total de dependências entre domínios não diminui.</w:t>
      </w:r>
    </w:p>
    <w:p>
      <w:pPr>
        <w:pStyle w:val="BodyText"/>
      </w:pPr>
      <w:r>
        <w:t xml:space="preserve">A segunda conclusão é que o</w:t>
      </w:r>
      <w:r>
        <w:t xml:space="preserve"> </w:t>
      </w:r>
      <w:r>
        <w:rPr>
          <w:b/>
          <w:bCs/>
        </w:rPr>
        <w:t xml:space="preserve">custo da decomposição é desproporcionalmente penalizador para fluxos complexos</w:t>
      </w:r>
      <w:r>
        <w:t xml:space="preserve">. Operações simples não são penalizadas e podem mesmo beneficiar do isolamento de processo. Operações que coordenam múltiplos serviços em série pagam, no entanto, um custo super-linear: a multiplicação por 3,5 do percentil 95 do checkout não é explicável por crescimento linear do número de chamadas. O custo de memória é, por seu turno, aproximadamente proporcional ao número de processos e existe mesmo na ausência de utilizadores.</w:t>
      </w:r>
    </w:p>
    <w:p>
      <w:pPr>
        <w:pStyle w:val="BodyText"/>
      </w:pPr>
      <w:r>
        <w:t xml:space="preserve">A terceira conclusão é que a</w:t>
      </w:r>
      <w:r>
        <w:t xml:space="preserve"> </w:t>
      </w:r>
      <w:r>
        <w:rPr>
          <w:b/>
          <w:bCs/>
        </w:rPr>
        <w:t xml:space="preserve">comunicação assíncrona, sem padrões adicionais de compensação, regride a consistência sob falha parcial</w:t>
      </w:r>
      <w:r>
        <w:t xml:space="preserve">. O ganho de desacoplamento temporal é pago em complexidade de consistência: padrões como Saga, idempotência e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 </w:t>
      </w:r>
      <w:r>
        <w:t xml:space="preserve">são exigências resultantes da própria decomposição, e não sofisticações opcionais.</w:t>
      </w:r>
    </w:p>
    <w:p>
      <w:pPr>
        <w:pStyle w:val="BodyText"/>
      </w:pPr>
      <w:r>
        <w:t xml:space="preserve">A apreciação global, à luz dos quatro atributos de qualidade considerados, é mista. A decomposição melhora claramente a</w:t>
      </w:r>
      <w:r>
        <w:t xml:space="preserve"> </w:t>
      </w:r>
      <w:r>
        <w:rPr>
          <w:i/>
          <w:iCs/>
        </w:rPr>
        <w:t xml:space="preserve">deployability</w:t>
      </w:r>
      <w:r>
        <w:t xml:space="preserve"> </w:t>
      </w:r>
      <w:r>
        <w:t xml:space="preserve">e parcialmente a disponibilidade. Penaliza dramaticamente o desempenho em operações multi-domínio e tem custo operacional substancialmente superior. O ganho líquido depende de fatores não exercitados no protótipo: equipas paralelas a evoluir domínios distintos a ritmos distintos, e carga assimétrica entre domínios que justifique escalonamento independente. Para a escala e o contexto do XCommerce no estado atual, o custo arquitetural excede os benefícios técnicos colhidos. Este resultado, longe de invalidar a decomposição, esclarece as condições em que se torna efetivamente vantajosa.</w:t>
      </w:r>
    </w:p>
    <w:bookmarkEnd w:id="43"/>
    <w:bookmarkStart w:id="44" w:name="trabalho-futuro"/>
    <w:p>
      <w:pPr>
        <w:pStyle w:val="Heading3"/>
      </w:pPr>
      <w:r>
        <w:t xml:space="preserve">9.2 Trabalho Futuro</w:t>
      </w:r>
    </w:p>
    <w:p>
      <w:pPr>
        <w:pStyle w:val="FirstParagraph"/>
      </w:pPr>
      <w:r>
        <w:t xml:space="preserve">Várias linhas de continuação são identificáveis. A implementação dos padrões de compensação (Saga com</w:t>
      </w:r>
      <w:r>
        <w:t xml:space="preserve"> </w:t>
      </w:r>
      <w:r>
        <w:rPr>
          <w:i/>
          <w:iCs/>
        </w:rPr>
        <w:t xml:space="preserve">outbox pattern</w:t>
      </w:r>
      <w:r>
        <w:t xml:space="preserve">, idempotência ao nível dos consumidores Kafka,</w:t>
      </w:r>
      <w:r>
        <w:t xml:space="preserve"> </w:t>
      </w:r>
      <w:r>
        <w:rPr>
          <w:i/>
          <w:iCs/>
        </w:rPr>
        <w:t xml:space="preserve">dead-letter queues</w:t>
      </w:r>
      <w:r>
        <w:t xml:space="preserve"> </w:t>
      </w:r>
      <w:r>
        <w:t xml:space="preserve">configuradas) eliminaria a regressão de consistência demonstrada em §6.3.5 e tornaria a comparação mais favorável aos microserviços nesta dimensão. A demonstração empírica do ganho de escalabilidade horizontal exigiria orquestração com Kubernetes ou equivalente, com auto-scaling baseado em métricas por serviço, e cenários de carga assimétrica entre domínios. A integração com um</w:t>
      </w:r>
      <w:r>
        <w:t xml:space="preserve"> </w:t>
      </w:r>
      <w:r>
        <w:rPr>
          <w:i/>
          <w:iCs/>
        </w:rPr>
        <w:t xml:space="preserve">Identity Provider</w:t>
      </w:r>
      <w:r>
        <w:t xml:space="preserve"> </w:t>
      </w:r>
      <w:r>
        <w:t xml:space="preserve">externo (Keycloak, Auth0) substituiria o JWT artesanal e introduziria realismo adicional. Por fim, testes em escala superior — múltiplas máquinas, milhares de utilizadores simultâneos — permitiriam identificar pontos de saturação distintos em cada arquitetura, possivelmente alterando a apreciação do custo da decomposição em escalas onde o monólito se torna ele próprio limitado.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Evans, E. (2003).</w:t>
      </w:r>
      <w:r>
        <w:t xml:space="preserve"> </w:t>
      </w:r>
      <w:r>
        <w:rPr>
          <w:i/>
          <w:iCs/>
        </w:rPr>
        <w:t xml:space="preserve">Domain-Driven Design: Tackling Complexity in the Heart of Software</w:t>
      </w:r>
      <w:r>
        <w:t xml:space="preserve">. Addison-Wesley.</w:t>
      </w:r>
    </w:p>
    <w:p>
      <w:pPr>
        <w:pStyle w:val="Compact"/>
        <w:numPr>
          <w:ilvl w:val="0"/>
          <w:numId w:val="1001"/>
        </w:numPr>
      </w:pPr>
      <w:r>
        <w:t xml:space="preserve">Fowler, M., &amp; Lewis, J. (2014).</w:t>
      </w:r>
      <w:r>
        <w:t xml:space="preserve"> </w:t>
      </w:r>
      <w:r>
        <w:rPr>
          <w:i/>
          <w:iCs/>
        </w:rPr>
        <w:t xml:space="preserve">Microservices: a definition of this new architectural term</w:t>
      </w:r>
      <w:r>
        <w:t xml:space="preserve">. martinfowler.com.</w:t>
      </w:r>
    </w:p>
    <w:p>
      <w:pPr>
        <w:pStyle w:val="Compact"/>
        <w:numPr>
          <w:ilvl w:val="0"/>
          <w:numId w:val="1001"/>
        </w:numPr>
      </w:pPr>
      <w:r>
        <w:t xml:space="preserve">Newman, S. (2021).</w:t>
      </w:r>
      <w:r>
        <w:t xml:space="preserve"> </w:t>
      </w:r>
      <w:r>
        <w:rPr>
          <w:i/>
          <w:iCs/>
        </w:rPr>
        <w:t xml:space="preserve">Building Microservices</w:t>
      </w:r>
      <w:r>
        <w:t xml:space="preserve"> </w:t>
      </w:r>
      <w:r>
        <w:t xml:space="preserve">(2nd ed.). O’Reilly Media.</w:t>
      </w:r>
    </w:p>
    <w:p>
      <w:pPr>
        <w:pStyle w:val="Compact"/>
        <w:numPr>
          <w:ilvl w:val="0"/>
          <w:numId w:val="1001"/>
        </w:numPr>
      </w:pPr>
      <w:r>
        <w:t xml:space="preserve">Richardson, C. (2018).</w:t>
      </w:r>
      <w:r>
        <w:t xml:space="preserve"> </w:t>
      </w:r>
      <w:r>
        <w:rPr>
          <w:i/>
          <w:iCs/>
        </w:rPr>
        <w:t xml:space="preserve">Microservices Patterns: With examples in Java</w:t>
      </w:r>
      <w:r>
        <w:t xml:space="preserve">. Manning Publications.</w:t>
      </w:r>
    </w:p>
    <w:p>
      <w:r>
        <w:pict>
          <v:rect style="width:0;height:1.5pt" o:hralign="center" o:hrstd="t" o:hr="t"/>
        </w:pict>
      </w:r>
    </w:p>
    <w:bookmarkEnd w:id="46"/>
    <w:bookmarkStart w:id="47" w:name="anexos"/>
    <w:p>
      <w:pPr>
        <w:pStyle w:val="Heading2"/>
      </w:pPr>
      <w:r>
        <w:t xml:space="preserve">Anexos</w:t>
      </w:r>
    </w:p>
    <w:p>
      <w:pPr>
        <w:pStyle w:val="FirstParagraph"/>
      </w:pPr>
      <w:r>
        <w:t xml:space="preserve">Os elementos seguintes constam dos anexos arquivados no repositório do projeto e na partilha do grupo, sendo aqui apenas referenciados:</w:t>
      </w:r>
    </w:p>
    <w:p>
      <w:pPr>
        <w:pStyle w:val="Compact"/>
        <w:numPr>
          <w:ilvl w:val="0"/>
          <w:numId w:val="1002"/>
        </w:numPr>
      </w:pPr>
      <w:r>
        <w:t xml:space="preserve">detalhes da estrutura interna do código (pacotes, classes e dependências) das duas arquiteturas;</w:t>
      </w:r>
    </w:p>
    <w:p>
      <w:pPr>
        <w:pStyle w:val="Compact"/>
        <w:numPr>
          <w:ilvl w:val="0"/>
          <w:numId w:val="1002"/>
        </w:numPr>
      </w:pPr>
      <w:r>
        <w:t xml:space="preserve">ficheiros de configuração de infraestrutura (Docker Compose, Prometheus, gateway);</w:t>
      </w:r>
    </w:p>
    <w:p>
      <w:pPr>
        <w:pStyle w:val="Compact"/>
        <w:numPr>
          <w:ilvl w:val="0"/>
          <w:numId w:val="1002"/>
        </w:numPr>
      </w:pPr>
      <w:r>
        <w:t xml:space="preserve">resultados brutos das medições experimentais (CSV e JSON) dos cenários T1, T2, T3, T5 e Workflow 4;</w:t>
      </w:r>
    </w:p>
    <w:p>
      <w:pPr>
        <w:pStyle w:val="Compact"/>
        <w:numPr>
          <w:ilvl w:val="0"/>
          <w:numId w:val="1002"/>
        </w:numPr>
      </w:pPr>
      <w:r>
        <w:t xml:space="preserve">diagramas de sequência detalhados para os fluxos analisados em §5;</w:t>
      </w:r>
    </w:p>
    <w:p>
      <w:pPr>
        <w:pStyle w:val="Compact"/>
        <w:numPr>
          <w:ilvl w:val="0"/>
          <w:numId w:val="1002"/>
        </w:numPr>
      </w:pPr>
      <w:r>
        <w:t xml:space="preserve">capturas de ecrã das ferramentas de observabilidade (Jaeger, Grafana, Kafdrop) ilustrando os cenários discutidos;</w:t>
      </w:r>
    </w:p>
    <w:p>
      <w:pPr>
        <w:pStyle w:val="Compact"/>
        <w:numPr>
          <w:ilvl w:val="0"/>
          <w:numId w:val="1002"/>
        </w:numPr>
      </w:pPr>
      <w:r>
        <w:t xml:space="preserve">excertos relevantes do código que implementa as decisões arquiteturais discutidas (controllers, configuração de circuit breakers, consumidores Kafka).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2026-05-30T17:02:27Z</dcterms:created>
  <dcterms:modified xsi:type="dcterms:W3CDTF">2026-05-30T17:02:27Z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