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53837" w14:textId="77777777" w:rsidR="00A95A56" w:rsidRDefault="00A95A56"/>
    <w:p w14:paraId="45FA77D6" w14:textId="77777777" w:rsidR="00A95A56" w:rsidRDefault="00000000">
      <w:pPr>
        <w:spacing w:before="200" w:after="60"/>
        <w:jc w:val="center"/>
      </w:pPr>
      <w:r>
        <w:rPr>
          <w:b/>
          <w:bCs/>
          <w:color w:val="1F3864"/>
          <w:sz w:val="34"/>
          <w:szCs w:val="34"/>
        </w:rPr>
        <w:t>Privatize to adjust, weaken to govern:</w:t>
      </w:r>
    </w:p>
    <w:p w14:paraId="34D42F20" w14:textId="77777777" w:rsidR="00A95A56" w:rsidRDefault="00000000">
      <w:pPr>
        <w:spacing w:after="60"/>
        <w:jc w:val="center"/>
      </w:pPr>
      <w:r>
        <w:rPr>
          <w:b/>
          <w:bCs/>
          <w:color w:val="1F3864"/>
          <w:sz w:val="28"/>
          <w:szCs w:val="28"/>
        </w:rPr>
        <w:t>Washington Consensus privatization conditionalities and state</w:t>
      </w:r>
    </w:p>
    <w:p w14:paraId="4B20A50F" w14:textId="77777777" w:rsidR="00A95A56" w:rsidRDefault="00000000">
      <w:pPr>
        <w:spacing w:after="60"/>
        <w:jc w:val="center"/>
      </w:pPr>
      <w:r>
        <w:rPr>
          <w:b/>
          <w:bCs/>
          <w:color w:val="1F3864"/>
          <w:sz w:val="26"/>
          <w:szCs w:val="26"/>
        </w:rPr>
        <w:t>capacity erosion in Latin American HIPC countries</w:t>
      </w:r>
    </w:p>
    <w:p w14:paraId="3E690066" w14:textId="77777777" w:rsidR="00A95A56" w:rsidRDefault="00A95A56"/>
    <w:p w14:paraId="76301515" w14:textId="77777777" w:rsidR="00A95A56" w:rsidRDefault="00000000">
      <w:pPr>
        <w:spacing w:after="60"/>
        <w:jc w:val="center"/>
      </w:pPr>
      <w:r>
        <w:rPr>
          <w:b/>
          <w:bCs/>
          <w:color w:val="222222"/>
          <w:sz w:val="22"/>
          <w:szCs w:val="22"/>
        </w:rPr>
        <w:t>Tomás Rodríguez A.</w:t>
      </w:r>
    </w:p>
    <w:p w14:paraId="2DA5B1A1" w14:textId="57723940" w:rsidR="00A95A56" w:rsidRDefault="00000000">
      <w:pPr>
        <w:spacing w:after="200"/>
        <w:jc w:val="center"/>
        <w:rPr>
          <w:i/>
          <w:iCs/>
          <w:color w:val="777777"/>
          <w:sz w:val="20"/>
          <w:szCs w:val="20"/>
        </w:rPr>
      </w:pPr>
      <w:r>
        <w:rPr>
          <w:i/>
          <w:iCs/>
          <w:color w:val="777777"/>
          <w:sz w:val="20"/>
          <w:szCs w:val="20"/>
        </w:rPr>
        <w:t xml:space="preserve">[PhD </w:t>
      </w:r>
      <w:proofErr w:type="spellStart"/>
      <w:r>
        <w:rPr>
          <w:i/>
          <w:iCs/>
          <w:color w:val="777777"/>
          <w:sz w:val="20"/>
          <w:szCs w:val="20"/>
        </w:rPr>
        <w:t>Programme</w:t>
      </w:r>
      <w:proofErr w:type="spellEnd"/>
      <w:r>
        <w:rPr>
          <w:i/>
          <w:iCs/>
          <w:color w:val="777777"/>
          <w:sz w:val="20"/>
          <w:szCs w:val="20"/>
        </w:rPr>
        <w:t xml:space="preserve"> · Department of Economics ·</w:t>
      </w:r>
      <w:r w:rsidR="00F954F0">
        <w:rPr>
          <w:i/>
          <w:iCs/>
          <w:color w:val="777777"/>
          <w:sz w:val="20"/>
          <w:szCs w:val="20"/>
        </w:rPr>
        <w:t>Universidad de Córdoba, Spain</w:t>
      </w:r>
      <w:r>
        <w:rPr>
          <w:i/>
          <w:iCs/>
          <w:color w:val="777777"/>
          <w:sz w:val="20"/>
          <w:szCs w:val="20"/>
        </w:rPr>
        <w:t>]</w:t>
      </w:r>
    </w:p>
    <w:p w14:paraId="00FD402C" w14:textId="77777777" w:rsidR="00A95A56" w:rsidRDefault="00000000">
      <w:pPr>
        <w:spacing w:after="80"/>
      </w:pPr>
      <w:r>
        <w:rPr>
          <w:b/>
          <w:bCs/>
          <w:color w:val="1F3864"/>
        </w:rPr>
        <w:t>Abstract</w:t>
      </w:r>
    </w:p>
    <w:p w14:paraId="0E937DAD" w14:textId="6364F0F7" w:rsidR="00A95A56" w:rsidRDefault="00000000">
      <w:pPr>
        <w:spacing w:after="200" w:line="320" w:lineRule="auto"/>
        <w:jc w:val="both"/>
      </w:pPr>
      <w:r>
        <w:rPr>
          <w:color w:val="333333"/>
          <w:sz w:val="22"/>
          <w:szCs w:val="22"/>
        </w:rPr>
        <w:t>This article investigates the relationship between Washington Consensus privatization conditionalities and state institutional capacity in Latin American HIPC countries. Using a panel dataset of 27 Latin American countries for the period 1990–2015, we estimate the effect of privatization intensity on a government effectiveness index (WGI-GE) via two-way fixed-effects panel regressions and a two-stage least squares (2SLS) specification that instruments privatization intensity with the historical mortality of colonial settlers following Acemoglu, Johnson, and Robinson (2001). We find that a one-standard-deviation increase in privatization intensity is associated with a reduction of 0.118–0.201 standard deviations in government effectiveness</w:t>
      </w:r>
      <w:r w:rsidR="00F954F0">
        <w:rPr>
          <w:color w:val="333333"/>
          <w:sz w:val="22"/>
          <w:szCs w:val="22"/>
        </w:rPr>
        <w:t>. This effect</w:t>
      </w:r>
      <w:r>
        <w:rPr>
          <w:color w:val="333333"/>
          <w:sz w:val="22"/>
          <w:szCs w:val="22"/>
        </w:rPr>
        <w:t xml:space="preserve"> is robust across specifications and survives endogeneity correction. The result is consistent with four mechanisms identified through comparative case analysis of Bolivia, Honduras, and Nicaragua—the three earliest LAC HIPC completers: (1) regulatory vacuum and state capture by privatized firms; (2) adverse selection in the bureaucracy triggered by public wage collapse; (3) fragmentation of public service delivery networks; and (4) fiscal rigidities created by privatization contracts that crowded out post-HIPC PRSP social spending. These findings contribute to the growing literature on IMF conditionality and institutional outcomes (</w:t>
      </w:r>
      <w:proofErr w:type="spellStart"/>
      <w:r>
        <w:rPr>
          <w:color w:val="333333"/>
          <w:sz w:val="22"/>
          <w:szCs w:val="22"/>
        </w:rPr>
        <w:t>Kentikelenis</w:t>
      </w:r>
      <w:proofErr w:type="spellEnd"/>
      <w:r>
        <w:rPr>
          <w:color w:val="333333"/>
          <w:sz w:val="22"/>
          <w:szCs w:val="22"/>
        </w:rPr>
        <w:t xml:space="preserve">, Stubbs &amp; King, 2019; </w:t>
      </w:r>
      <w:proofErr w:type="spellStart"/>
      <w:r>
        <w:rPr>
          <w:color w:val="333333"/>
          <w:sz w:val="22"/>
          <w:szCs w:val="22"/>
        </w:rPr>
        <w:t>Apeti</w:t>
      </w:r>
      <w:proofErr w:type="spellEnd"/>
      <w:r>
        <w:rPr>
          <w:color w:val="333333"/>
          <w:sz w:val="22"/>
          <w:szCs w:val="22"/>
        </w:rPr>
        <w:t xml:space="preserve"> &amp; </w:t>
      </w:r>
      <w:proofErr w:type="spellStart"/>
      <w:r>
        <w:rPr>
          <w:color w:val="333333"/>
          <w:sz w:val="22"/>
          <w:szCs w:val="22"/>
        </w:rPr>
        <w:t>Gomado</w:t>
      </w:r>
      <w:proofErr w:type="spellEnd"/>
      <w:r>
        <w:rPr>
          <w:color w:val="333333"/>
          <w:sz w:val="22"/>
          <w:szCs w:val="22"/>
        </w:rPr>
        <w:t>, 2025) and carry direct implications for the design of conditionality in the G20 Common Framework.</w:t>
      </w:r>
    </w:p>
    <w:p w14:paraId="4B491756" w14:textId="77777777" w:rsidR="00A95A56" w:rsidRDefault="00000000">
      <w:pPr>
        <w:spacing w:after="80"/>
      </w:pPr>
      <w:r>
        <w:rPr>
          <w:b/>
          <w:bCs/>
          <w:sz w:val="22"/>
          <w:szCs w:val="22"/>
        </w:rPr>
        <w:t xml:space="preserve">Keywords: </w:t>
      </w:r>
      <w:r>
        <w:rPr>
          <w:color w:val="444444"/>
          <w:sz w:val="22"/>
          <w:szCs w:val="22"/>
        </w:rPr>
        <w:t>Washington Consensus; state capacity; privatization; HIPC Initiative; IMF conditionality; regulatory capture; Latin America.</w:t>
      </w:r>
    </w:p>
    <w:p w14:paraId="4E111A24" w14:textId="77777777" w:rsidR="00A95A56" w:rsidRDefault="00000000">
      <w:pPr>
        <w:spacing w:before="40" w:after="60"/>
      </w:pPr>
      <w:r>
        <w:rPr>
          <w:i/>
          <w:iCs/>
          <w:color w:val="555555"/>
          <w:sz w:val="22"/>
          <w:szCs w:val="22"/>
        </w:rPr>
        <w:t>JEL classification: F34, H63, O17, O54, P16.</w:t>
      </w:r>
    </w:p>
    <w:p w14:paraId="25CB2853" w14:textId="77777777" w:rsidR="00A95A56" w:rsidRDefault="00000000">
      <w:pPr>
        <w:pStyle w:val="Ttulo1"/>
      </w:pPr>
      <w:r>
        <w:t>1. Introduction</w:t>
      </w:r>
    </w:p>
    <w:p w14:paraId="7DD6AD0D" w14:textId="363E4345" w:rsidR="00A95A56" w:rsidRDefault="00000000">
      <w:pPr>
        <w:spacing w:after="200" w:line="360" w:lineRule="auto"/>
        <w:ind w:firstLine="720"/>
        <w:jc w:val="both"/>
      </w:pPr>
      <w:r>
        <w:t xml:space="preserve">In January 2004, Nicaragua reached the completion point of the </w:t>
      </w:r>
      <w:r>
        <w:rPr>
          <w:i/>
          <w:iCs/>
        </w:rPr>
        <w:t>Heavily Indebted Poor Countries</w:t>
      </w:r>
      <w:r>
        <w:t xml:space="preserve"> (HIPC) Initiative</w:t>
      </w:r>
      <w:r w:rsidR="00F954F0">
        <w:t>. It received</w:t>
      </w:r>
      <w:r>
        <w:t xml:space="preserve"> debt relief worth approximately USD 4.5 billion in net present value</w:t>
      </w:r>
      <w:r w:rsidR="00F954F0">
        <w:t xml:space="preserve">, </w:t>
      </w:r>
      <w:r>
        <w:t xml:space="preserve">equivalent to 67 per cent of its GDP, the largest relative relief among Latin American HIPC beneficiaries. By 2022, Nicaragua records an external debt-to-GDP ratio of 138 per cent, the worst government effectiveness score among the three Latin American countries that completed the HIPC process in 2001–2005, and a V-Dem liberal democracy index that fell from 0.30 in 2000 to 0.05 in 2022. Bolivia, which received relief equivalent to 30 per cent of its GDP, exhibits significantly stronger institutional indicators in 2022, a lower </w:t>
      </w:r>
      <w:r>
        <w:lastRenderedPageBreak/>
        <w:t>debt burden, and the largest reduction in inequality—measured by the Gini coefficient—of the three countries. Honduras displays intermediate outcomes.</w:t>
      </w:r>
    </w:p>
    <w:p w14:paraId="2FB9C5B5" w14:textId="06477C30" w:rsidR="00A95A56" w:rsidRDefault="00000000">
      <w:pPr>
        <w:spacing w:after="200" w:line="360" w:lineRule="auto"/>
        <w:ind w:firstLine="720"/>
        <w:jc w:val="both"/>
      </w:pPr>
      <w:r>
        <w:t xml:space="preserve">This heterogeneity—more relief, worse institutional outcomes in Nicaragua—poses a puzzle that </w:t>
      </w:r>
      <w:r w:rsidR="00F954F0">
        <w:t>existing theories of debt-relief effectiveness cannot resolve</w:t>
      </w:r>
      <w:r>
        <w:t xml:space="preserve">. </w:t>
      </w:r>
      <w:r>
        <w:rPr>
          <w:i/>
          <w:iCs/>
        </w:rPr>
        <w:t>Debt-overhang</w:t>
      </w:r>
      <w:r>
        <w:t xml:space="preserve"> theory (Krugman, 1988; Sachs, 1989) predicts that greater relief should yield better results. Poverty-trap theory (Sachs, 2005) predicts superior outcomes wherever human capital investment </w:t>
      </w:r>
      <w:r w:rsidR="00F954F0">
        <w:t>is</w:t>
      </w:r>
      <w:r>
        <w:t xml:space="preserve"> higher. Neither geography nor </w:t>
      </w:r>
      <w:r w:rsidR="00F954F0">
        <w:t>natural resource endowments differ</w:t>
      </w:r>
      <w:r>
        <w:t xml:space="preserve"> substantially across the three countries. This article offers an alternative explanation: the Nicaraguan paradox is the product of a structural contradiction embedded in HIPC </w:t>
      </w:r>
      <w:proofErr w:type="spellStart"/>
      <w:r>
        <w:t>programme</w:t>
      </w:r>
      <w:proofErr w:type="spellEnd"/>
      <w:r>
        <w:t xml:space="preserve"> design—the Washington Consensus privatization conditionalities (Williamson, 1990) required as a precondition for debt access systematically eroded the state institutional capacity that the effective implementation of that relief most required.</w:t>
      </w:r>
    </w:p>
    <w:p w14:paraId="04E27F82" w14:textId="214866FD" w:rsidR="00A95A56" w:rsidRDefault="00000000">
      <w:pPr>
        <w:spacing w:after="200" w:line="360" w:lineRule="auto"/>
        <w:ind w:firstLine="720"/>
        <w:jc w:val="both"/>
      </w:pPr>
      <w:r>
        <w:t xml:space="preserve">Research on the institutional consequences of IMF conditionality has advanced considerably. </w:t>
      </w:r>
      <w:proofErr w:type="spellStart"/>
      <w:r>
        <w:t>Kentikelenis</w:t>
      </w:r>
      <w:proofErr w:type="spellEnd"/>
      <w:r>
        <w:t>, Stubbs</w:t>
      </w:r>
      <w:r w:rsidR="00F954F0">
        <w:t>,</w:t>
      </w:r>
      <w:r>
        <w:t xml:space="preserve"> and King (2019) demonstrated, using a 131-country panel, that structural </w:t>
      </w:r>
      <w:proofErr w:type="gramStart"/>
      <w:r>
        <w:t>conditions—</w:t>
      </w:r>
      <w:proofErr w:type="gramEnd"/>
      <w:r>
        <w:t xml:space="preserve">especially privatization, price deregulation, and public employment </w:t>
      </w:r>
      <w:proofErr w:type="gramStart"/>
      <w:r>
        <w:t>cuts—</w:t>
      </w:r>
      <w:proofErr w:type="gramEnd"/>
      <w:r>
        <w:t xml:space="preserve">reduce bureaucratic quality, with an effect that survives instrumentalization. </w:t>
      </w:r>
      <w:proofErr w:type="spellStart"/>
      <w:r>
        <w:t>Apeti</w:t>
      </w:r>
      <w:proofErr w:type="spellEnd"/>
      <w:r>
        <w:t xml:space="preserve"> and </w:t>
      </w:r>
      <w:proofErr w:type="spellStart"/>
      <w:r>
        <w:t>Gomado</w:t>
      </w:r>
      <w:proofErr w:type="spellEnd"/>
      <w:r>
        <w:t xml:space="preserve"> (2025), in </w:t>
      </w:r>
      <w:r>
        <w:rPr>
          <w:i/>
          <w:iCs/>
        </w:rPr>
        <w:t>Economics of Transition and Institutional Change</w:t>
      </w:r>
      <w:r>
        <w:t>, confirmed that the effect of conditionalities on structural reforms is negatively mediated by initial institutional quality</w:t>
      </w:r>
      <w:r w:rsidR="00F954F0">
        <w:t>. In</w:t>
      </w:r>
      <w:r>
        <w:t xml:space="preserve"> countries with weak institutions, conditionalities do not produce sustained reforms. The present article contributes to this literature in three ways: (i) it extends the analysis to the specific context of LAC HIPC countries, where the simultaneity of privatization conditionalities and PRSP implementation requirements creates a particularly acute design contradiction; (ii) it identifies four causal mechanisms through case-specific evidence from Nicaragua, Bolivia and Honduras; and (iii) it adds a 2SLS estimation with a colonial instrument to address the endogeneity of privatization intensity.</w:t>
      </w:r>
    </w:p>
    <w:p w14:paraId="00424E09" w14:textId="77777777" w:rsidR="00A95A56" w:rsidRDefault="00000000">
      <w:pPr>
        <w:spacing w:after="200" w:line="360" w:lineRule="auto"/>
        <w:ind w:firstLine="720"/>
        <w:jc w:val="both"/>
      </w:pPr>
      <w:r>
        <w:t>The article is organized as follows. Section 2 describes the research design and data. Section 3 presents the theoretical framework. Section 4 documents the mechanisms through comparative case evidence. Section 5 presents the econometric results. Section 6 concludes.</w:t>
      </w:r>
    </w:p>
    <w:p w14:paraId="0AB85E67" w14:textId="77777777" w:rsidR="00A95A56" w:rsidRDefault="00A95A56"/>
    <w:p w14:paraId="5E0A528F" w14:textId="77777777" w:rsidR="00A95A56" w:rsidRDefault="00000000">
      <w:pPr>
        <w:pStyle w:val="Ttulo1"/>
      </w:pPr>
      <w:r>
        <w:t>2. Data, research design, and descriptive statistics</w:t>
      </w:r>
    </w:p>
    <w:p w14:paraId="4D0E288E" w14:textId="77777777" w:rsidR="00A95A56" w:rsidRDefault="00000000">
      <w:pPr>
        <w:pStyle w:val="Ttulo2"/>
      </w:pPr>
      <w:r>
        <w:t xml:space="preserve">2.1 Sample and </w:t>
      </w:r>
      <w:proofErr w:type="gramStart"/>
      <w:r>
        <w:t>time period</w:t>
      </w:r>
      <w:proofErr w:type="gramEnd"/>
    </w:p>
    <w:p w14:paraId="3336C0BB" w14:textId="280ABFD2" w:rsidR="00A95A56" w:rsidRDefault="00000000">
      <w:pPr>
        <w:spacing w:after="200" w:line="360" w:lineRule="auto"/>
        <w:ind w:firstLine="720"/>
        <w:jc w:val="both"/>
      </w:pPr>
      <w:r>
        <w:lastRenderedPageBreak/>
        <w:t>The main sample consists of a panel of 27 Latin American and Caribbean countries over the period 1990–2015. The selection comprises the five LAC HIPC countries (Bolivia, Honduras, Nicaragua, Haiti</w:t>
      </w:r>
      <w:r w:rsidR="00F954F0">
        <w:t>,</w:t>
      </w:r>
      <w:r>
        <w:t xml:space="preserve"> and Guyana) and 22 control countries in the region with comparable structural characteristics—small, open, commodity-dependent economies with similar human development levels at the start of the period—that either did not complete the HIPC process or did so outside the analysis window. The sample is restricted to 1990–2015 to capture the peak period of structural adjustment (1990–2003) and the post-HIPC phase (2004–2015), avoiding contamination from the effects of the Nicaraguan political crisis after 2018.</w:t>
      </w:r>
    </w:p>
    <w:p w14:paraId="568C840C" w14:textId="77777777" w:rsidR="00A95A56" w:rsidRDefault="00000000">
      <w:pPr>
        <w:spacing w:after="200" w:line="360" w:lineRule="auto"/>
        <w:ind w:firstLine="720"/>
        <w:jc w:val="both"/>
      </w:pPr>
      <w:r>
        <w:t>Observations for Nicaragua after 2015 are excluded from the regression analysis because the institutional deterioration of the second Ortega phase (2007–2022) is primarily attributable to political causes—executive concentration of power, suppression of opposition—whose origins are more closely linked to domestic political dynamics than to the lagged impact of 1990s privatizations. In the case study analysis (Section 4), however, the horizon is extended to 2022 to document the full trajectory.</w:t>
      </w:r>
    </w:p>
    <w:p w14:paraId="67B2B073" w14:textId="77777777" w:rsidR="00A95A56" w:rsidRDefault="00000000">
      <w:pPr>
        <w:pStyle w:val="Ttulo2"/>
      </w:pPr>
      <w:r>
        <w:t>2.2 Variables</w:t>
      </w:r>
    </w:p>
    <w:p w14:paraId="4D2821CA" w14:textId="44CFE624" w:rsidR="00A95A56" w:rsidRDefault="00000000">
      <w:pPr>
        <w:spacing w:after="200" w:line="360" w:lineRule="auto"/>
        <w:ind w:firstLine="720"/>
        <w:jc w:val="both"/>
      </w:pPr>
      <w:r>
        <w:rPr>
          <w:b/>
          <w:bCs/>
        </w:rPr>
        <w:t xml:space="preserve">Dependent variable. </w:t>
      </w:r>
      <w:r>
        <w:t xml:space="preserve">The World Bank's Government Effectiveness </w:t>
      </w:r>
      <w:r w:rsidR="00F954F0">
        <w:t>Index</w:t>
      </w:r>
      <w:r>
        <w:t xml:space="preserve"> (WGI-GE)</w:t>
      </w:r>
      <w:r w:rsidR="00F954F0">
        <w:t xml:space="preserve"> is on a</w:t>
      </w:r>
      <w:r>
        <w:t xml:space="preserve"> continuous scale from −2.5 to +2.5. This indicator captures the quality of public services, the capacity of the bureaucracy to formulate and implement policies, and the independence of the civil service from political pressures (Kaufmann et al., 2010). It is the WGI dimension that most directly reflects the deterioration mechanisms proposed here: the hollowing out of technical bureaucracy (Mechanism 2), the collapse of regulatory capacity (Mechanism 1), and the fragmentation of public service delivery networks (Mechanism 3). The WGI Control of Corruption (WGI-CC) and the composite WGI (average of six dimensions) are used as alternative dependent variables in robustness checks.</w:t>
      </w:r>
    </w:p>
    <w:p w14:paraId="17A51F72" w14:textId="77777777" w:rsidR="00A95A56" w:rsidRDefault="00000000">
      <w:pPr>
        <w:spacing w:after="200" w:line="360" w:lineRule="auto"/>
        <w:ind w:firstLine="720"/>
        <w:jc w:val="both"/>
      </w:pPr>
      <w:r>
        <w:rPr>
          <w:b/>
          <w:bCs/>
        </w:rPr>
        <w:t xml:space="preserve">Main independent variable: </w:t>
      </w:r>
      <w:proofErr w:type="spellStart"/>
      <w:r>
        <w:rPr>
          <w:b/>
          <w:bCs/>
        </w:rPr>
        <w:t>PrivInt</w:t>
      </w:r>
      <w:proofErr w:type="spellEnd"/>
      <w:r>
        <w:rPr>
          <w:b/>
          <w:bCs/>
        </w:rPr>
        <w:t xml:space="preserve">. </w:t>
      </w:r>
      <w:r>
        <w:t>The privatization intensity index (</w:t>
      </w:r>
      <w:proofErr w:type="spellStart"/>
      <w:r>
        <w:t>PrivInt</w:t>
      </w:r>
      <w:proofErr w:type="spellEnd"/>
      <w:r>
        <w:t xml:space="preserve">) is constructed as the equal-weighted average of three standardized sub-indices: (i) the cumulative number of privatized state-owned enterprises as a proportion of state enterprises existing at the start of the period (source: World Bank, 2004; ECLAC, 2006); (ii) cumulative privatization proceeds as a share of GDP (source: World Bank </w:t>
      </w:r>
      <w:proofErr w:type="spellStart"/>
      <w:r>
        <w:t>PrivatizationBarometer</w:t>
      </w:r>
      <w:proofErr w:type="spellEnd"/>
      <w:r>
        <w:t xml:space="preserve">); and (iii) the annual change in the public ownership index for telecommunications, energy, and transport from the Fraser Institute. The three components are standardized by their sample maximum and </w:t>
      </w:r>
      <w:r>
        <w:lastRenderedPageBreak/>
        <w:t>averaged with equal weights. The index ranges from 0 (no privatization) to 3 (maximum relative privatization in the sample).</w:t>
      </w:r>
    </w:p>
    <w:p w14:paraId="34B422D2" w14:textId="77777777" w:rsidR="00A95A56" w:rsidRDefault="00000000">
      <w:pPr>
        <w:spacing w:after="200" w:line="360" w:lineRule="auto"/>
        <w:ind w:firstLine="720"/>
        <w:jc w:val="both"/>
      </w:pPr>
      <w:r>
        <w:rPr>
          <w:b/>
          <w:bCs/>
        </w:rPr>
        <w:t xml:space="preserve">Control variables. </w:t>
      </w:r>
      <w:r>
        <w:t xml:space="preserve">ln GDP per capita (constant 2015 USD, WDI); trade openness (exports + imports / GDP, WDI); inflation rate (log, IMF WEO); external debt-to-GDP ratio (WDI/IDS); IMF </w:t>
      </w:r>
      <w:proofErr w:type="spellStart"/>
      <w:r>
        <w:t>programme</w:t>
      </w:r>
      <w:proofErr w:type="spellEnd"/>
      <w:r>
        <w:t xml:space="preserve"> participation (dummy); HIPC dummy (equals 1 from the decision point year). Controls are </w:t>
      </w:r>
      <w:proofErr w:type="gramStart"/>
      <w:r>
        <w:t>lagged</w:t>
      </w:r>
      <w:proofErr w:type="gramEnd"/>
      <w:r>
        <w:t xml:space="preserve"> one period to reduce simultaneity.</w:t>
      </w:r>
    </w:p>
    <w:p w14:paraId="7DA893EC" w14:textId="4AD55AC4" w:rsidR="00A95A56" w:rsidRDefault="00000000">
      <w:pPr>
        <w:spacing w:after="200" w:line="360" w:lineRule="auto"/>
        <w:ind w:firstLine="720"/>
        <w:jc w:val="both"/>
      </w:pPr>
      <w:r>
        <w:rPr>
          <w:b/>
          <w:bCs/>
        </w:rPr>
        <w:t xml:space="preserve">Instrument: settler mortality. </w:t>
      </w:r>
      <w:r>
        <w:t>For the 2SLS specification, we use the historical mortality rate of European colonial settlers in the nineteenth century (</w:t>
      </w:r>
      <w:proofErr w:type="spellStart"/>
      <w:r>
        <w:t>ajr_settmort</w:t>
      </w:r>
      <w:proofErr w:type="spellEnd"/>
      <w:r>
        <w:t>), drawn from Acemoglu, Johnson</w:t>
      </w:r>
      <w:r w:rsidR="00F954F0">
        <w:t>,</w:t>
      </w:r>
      <w:r>
        <w:t xml:space="preserve"> and Robinson (2001) and the Quality of Government Institute (</w:t>
      </w:r>
      <w:proofErr w:type="spellStart"/>
      <w:r>
        <w:t>Teorell</w:t>
      </w:r>
      <w:proofErr w:type="spellEnd"/>
      <w:r>
        <w:t xml:space="preserve"> et al., 2021). The instrument's validity rests on the premise that where settlers died from tropical diseases, they built extractive institutions—characterized by weaker organized resistance to privatization and lower pre-existing regulatory capacity—but </w:t>
      </w:r>
      <w:r w:rsidR="00F954F0">
        <w:t>government effectiveness indicators cannot have caused their nineteenth-century mortality</w:t>
      </w:r>
      <w:r>
        <w:t xml:space="preserve"> in 1990–2015. Instrument relevance is verified with the first-stage F-statistic (F = 18.4 in the full model), well above the threshold of 10 recommended by Stock and Yogo (2005).</w:t>
      </w:r>
    </w:p>
    <w:p w14:paraId="473FC96F" w14:textId="77777777" w:rsidR="00A95A56" w:rsidRDefault="00000000">
      <w:pPr>
        <w:pStyle w:val="Ttulo2"/>
      </w:pPr>
      <w:r>
        <w:t>2.3 Descriptive statistics</w:t>
      </w:r>
    </w:p>
    <w:p w14:paraId="751F752C" w14:textId="77777777" w:rsidR="00A95A56" w:rsidRDefault="00A95A56"/>
    <w:p w14:paraId="52DF0E9F" w14:textId="77777777" w:rsidR="00A95A56" w:rsidRDefault="00000000">
      <w:pPr>
        <w:spacing w:before="200" w:after="60"/>
      </w:pPr>
      <w:r>
        <w:rPr>
          <w:b/>
          <w:bCs/>
          <w:color w:val="1F3864"/>
          <w:sz w:val="20"/>
          <w:szCs w:val="20"/>
        </w:rPr>
        <w:t>Table 1. Panel descriptive statistics (N = 27 countries, T = 1990–2015)</w:t>
      </w: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800"/>
        <w:gridCol w:w="800"/>
        <w:gridCol w:w="800"/>
        <w:gridCol w:w="1400"/>
      </w:tblGrid>
      <w:tr w:rsidR="00A95A56" w14:paraId="658A507E" w14:textId="77777777">
        <w:tblPrEx>
          <w:tblCellMar>
            <w:top w:w="0" w:type="dxa"/>
            <w:bottom w:w="0" w:type="dxa"/>
          </w:tblCellMar>
        </w:tblPrEx>
        <w:tc>
          <w:tcPr>
            <w:tcW w:w="2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5240CA7E" w14:textId="77777777" w:rsidR="00A95A56" w:rsidRDefault="00000000">
            <w:pPr>
              <w:jc w:val="center"/>
            </w:pPr>
            <w:r>
              <w:rPr>
                <w:b/>
                <w:bCs/>
                <w:color w:val="FFFFFF"/>
                <w:sz w:val="18"/>
                <w:szCs w:val="18"/>
              </w:rPr>
              <w:t>Variable</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1AA530B9" w14:textId="77777777" w:rsidR="00A95A56" w:rsidRDefault="00000000">
            <w:pPr>
              <w:jc w:val="center"/>
            </w:pPr>
            <w:r>
              <w:rPr>
                <w:b/>
                <w:bCs/>
                <w:color w:val="FFFFFF"/>
                <w:sz w:val="18"/>
                <w:szCs w:val="18"/>
              </w:rPr>
              <w:t>Mean</w:t>
            </w:r>
          </w:p>
        </w:tc>
        <w:tc>
          <w:tcPr>
            <w:tcW w:w="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4E4AE0BA" w14:textId="77777777" w:rsidR="00A95A56" w:rsidRDefault="00000000">
            <w:pPr>
              <w:jc w:val="center"/>
            </w:pPr>
            <w:r>
              <w:rPr>
                <w:b/>
                <w:bCs/>
                <w:color w:val="FFFFFF"/>
                <w:sz w:val="18"/>
                <w:szCs w:val="18"/>
              </w:rPr>
              <w:t>S.D.</w:t>
            </w:r>
          </w:p>
        </w:tc>
        <w:tc>
          <w:tcPr>
            <w:tcW w:w="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299C3044" w14:textId="77777777" w:rsidR="00A95A56" w:rsidRDefault="00000000">
            <w:pPr>
              <w:jc w:val="center"/>
            </w:pPr>
            <w:r>
              <w:rPr>
                <w:b/>
                <w:bCs/>
                <w:color w:val="FFFFFF"/>
                <w:sz w:val="18"/>
                <w:szCs w:val="18"/>
              </w:rPr>
              <w:t>Min.</w:t>
            </w:r>
          </w:p>
        </w:tc>
        <w:tc>
          <w:tcPr>
            <w:tcW w:w="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67F45B5F" w14:textId="77777777" w:rsidR="00A95A56" w:rsidRDefault="00000000">
            <w:pPr>
              <w:jc w:val="center"/>
            </w:pPr>
            <w:r>
              <w:rPr>
                <w:b/>
                <w:bCs/>
                <w:color w:val="FFFFFF"/>
                <w:sz w:val="18"/>
                <w:szCs w:val="18"/>
              </w:rPr>
              <w:t>Max.</w:t>
            </w:r>
          </w:p>
        </w:tc>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24622DF8" w14:textId="77777777" w:rsidR="00A95A56" w:rsidRDefault="00000000">
            <w:pPr>
              <w:jc w:val="center"/>
            </w:pPr>
            <w:r>
              <w:rPr>
                <w:b/>
                <w:bCs/>
                <w:color w:val="FFFFFF"/>
                <w:sz w:val="18"/>
                <w:szCs w:val="18"/>
              </w:rPr>
              <w:t>LAC HIPC countries (mean)</w:t>
            </w:r>
          </w:p>
        </w:tc>
      </w:tr>
      <w:tr w:rsidR="00A95A56" w14:paraId="734D6CC6"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shd w:val="clear" w:color="auto" w:fill="EEF3FB"/>
            <w:tcMar>
              <w:top w:w="70" w:type="dxa"/>
              <w:left w:w="100" w:type="dxa"/>
              <w:bottom w:w="70" w:type="dxa"/>
              <w:right w:w="100" w:type="dxa"/>
            </w:tcMar>
            <w:vAlign w:val="center"/>
          </w:tcPr>
          <w:p w14:paraId="063EE3F8" w14:textId="77777777" w:rsidR="00A95A56" w:rsidRDefault="00000000">
            <w:r>
              <w:rPr>
                <w:b/>
                <w:bCs/>
                <w:color w:val="222222"/>
                <w:sz w:val="18"/>
                <w:szCs w:val="18"/>
              </w:rPr>
              <w:t>WGI-GE</w:t>
            </w:r>
          </w:p>
        </w:tc>
        <w:tc>
          <w:tcPr>
            <w:tcW w:w="9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35BC4DAD" w14:textId="77777777" w:rsidR="00A95A56" w:rsidRDefault="00000000">
            <w:pPr>
              <w:jc w:val="center"/>
            </w:pPr>
            <w:r>
              <w:rPr>
                <w:color w:val="222222"/>
                <w:sz w:val="18"/>
                <w:szCs w:val="18"/>
              </w:rPr>
              <w:t>−0.61</w:t>
            </w:r>
          </w:p>
        </w:tc>
        <w:tc>
          <w:tcPr>
            <w:tcW w:w="8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13FCC29D" w14:textId="77777777" w:rsidR="00A95A56" w:rsidRDefault="00000000">
            <w:pPr>
              <w:jc w:val="center"/>
            </w:pPr>
            <w:r>
              <w:rPr>
                <w:color w:val="222222"/>
                <w:sz w:val="18"/>
                <w:szCs w:val="18"/>
              </w:rPr>
              <w:t>0.48</w:t>
            </w:r>
          </w:p>
        </w:tc>
        <w:tc>
          <w:tcPr>
            <w:tcW w:w="8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62C2AF90" w14:textId="77777777" w:rsidR="00A95A56" w:rsidRDefault="00000000">
            <w:pPr>
              <w:jc w:val="center"/>
            </w:pPr>
            <w:r>
              <w:rPr>
                <w:color w:val="222222"/>
                <w:sz w:val="18"/>
                <w:szCs w:val="18"/>
              </w:rPr>
              <w:t>−1.66</w:t>
            </w:r>
          </w:p>
        </w:tc>
        <w:tc>
          <w:tcPr>
            <w:tcW w:w="8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61D61FCC" w14:textId="77777777" w:rsidR="00A95A56" w:rsidRDefault="00000000">
            <w:pPr>
              <w:jc w:val="center"/>
            </w:pPr>
            <w:r>
              <w:rPr>
                <w:color w:val="222222"/>
                <w:sz w:val="18"/>
                <w:szCs w:val="18"/>
              </w:rPr>
              <w:t>0.89</w:t>
            </w:r>
          </w:p>
        </w:tc>
        <w:tc>
          <w:tcPr>
            <w:tcW w:w="14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6E8EB1F1" w14:textId="77777777" w:rsidR="00A95A56" w:rsidRDefault="00000000">
            <w:pPr>
              <w:jc w:val="center"/>
            </w:pPr>
            <w:r>
              <w:rPr>
                <w:color w:val="222222"/>
                <w:sz w:val="18"/>
                <w:szCs w:val="18"/>
              </w:rPr>
              <w:t>−0.73</w:t>
            </w:r>
          </w:p>
        </w:tc>
      </w:tr>
      <w:tr w:rsidR="00A95A56" w14:paraId="2C9355BF"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shd w:val="clear" w:color="auto" w:fill="E8EFF8"/>
            <w:tcMar>
              <w:top w:w="70" w:type="dxa"/>
              <w:left w:w="100" w:type="dxa"/>
              <w:bottom w:w="70" w:type="dxa"/>
              <w:right w:w="100" w:type="dxa"/>
            </w:tcMar>
            <w:vAlign w:val="center"/>
          </w:tcPr>
          <w:p w14:paraId="7C52DC71" w14:textId="77777777" w:rsidR="00A95A56" w:rsidRDefault="00000000">
            <w:r>
              <w:rPr>
                <w:b/>
                <w:bCs/>
                <w:color w:val="222222"/>
                <w:sz w:val="18"/>
                <w:szCs w:val="18"/>
              </w:rPr>
              <w:t>WGI-CC</w:t>
            </w:r>
          </w:p>
        </w:tc>
        <w:tc>
          <w:tcPr>
            <w:tcW w:w="9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11DFC647" w14:textId="77777777" w:rsidR="00A95A56" w:rsidRDefault="00000000">
            <w:pPr>
              <w:jc w:val="center"/>
            </w:pPr>
            <w:r>
              <w:rPr>
                <w:color w:val="222222"/>
                <w:sz w:val="18"/>
                <w:szCs w:val="18"/>
              </w:rPr>
              <w:t>−0.59</w:t>
            </w:r>
          </w:p>
        </w:tc>
        <w:tc>
          <w:tcPr>
            <w:tcW w:w="8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50C64292" w14:textId="77777777" w:rsidR="00A95A56" w:rsidRDefault="00000000">
            <w:pPr>
              <w:jc w:val="center"/>
            </w:pPr>
            <w:r>
              <w:rPr>
                <w:color w:val="222222"/>
                <w:sz w:val="18"/>
                <w:szCs w:val="18"/>
              </w:rPr>
              <w:t>0.51</w:t>
            </w:r>
          </w:p>
        </w:tc>
        <w:tc>
          <w:tcPr>
            <w:tcW w:w="8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60F4BE64" w14:textId="77777777" w:rsidR="00A95A56" w:rsidRDefault="00000000">
            <w:pPr>
              <w:jc w:val="center"/>
            </w:pPr>
            <w:r>
              <w:rPr>
                <w:color w:val="222222"/>
                <w:sz w:val="18"/>
                <w:szCs w:val="18"/>
              </w:rPr>
              <w:t>−1.72</w:t>
            </w:r>
          </w:p>
        </w:tc>
        <w:tc>
          <w:tcPr>
            <w:tcW w:w="8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2838FCFD" w14:textId="77777777" w:rsidR="00A95A56" w:rsidRDefault="00000000">
            <w:pPr>
              <w:jc w:val="center"/>
            </w:pPr>
            <w:r>
              <w:rPr>
                <w:color w:val="222222"/>
                <w:sz w:val="18"/>
                <w:szCs w:val="18"/>
              </w:rPr>
              <w:t>0.91</w:t>
            </w:r>
          </w:p>
        </w:tc>
        <w:tc>
          <w:tcPr>
            <w:tcW w:w="14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2D4E36A6" w14:textId="77777777" w:rsidR="00A95A56" w:rsidRDefault="00000000">
            <w:pPr>
              <w:jc w:val="center"/>
            </w:pPr>
            <w:r>
              <w:rPr>
                <w:color w:val="222222"/>
                <w:sz w:val="18"/>
                <w:szCs w:val="18"/>
              </w:rPr>
              <w:t>−0.71</w:t>
            </w:r>
          </w:p>
        </w:tc>
      </w:tr>
      <w:tr w:rsidR="00A95A56" w14:paraId="17C435E8"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shd w:val="clear" w:color="auto" w:fill="EEF3FB"/>
            <w:tcMar>
              <w:top w:w="70" w:type="dxa"/>
              <w:left w:w="100" w:type="dxa"/>
              <w:bottom w:w="70" w:type="dxa"/>
              <w:right w:w="100" w:type="dxa"/>
            </w:tcMar>
            <w:vAlign w:val="center"/>
          </w:tcPr>
          <w:p w14:paraId="2B4D5941" w14:textId="77777777" w:rsidR="00A95A56" w:rsidRDefault="00000000">
            <w:r>
              <w:rPr>
                <w:b/>
                <w:bCs/>
                <w:color w:val="222222"/>
                <w:sz w:val="18"/>
                <w:szCs w:val="18"/>
              </w:rPr>
              <w:t>WGI composite</w:t>
            </w:r>
          </w:p>
        </w:tc>
        <w:tc>
          <w:tcPr>
            <w:tcW w:w="9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5165D66C" w14:textId="77777777" w:rsidR="00A95A56" w:rsidRDefault="00000000">
            <w:pPr>
              <w:jc w:val="center"/>
            </w:pPr>
            <w:r>
              <w:rPr>
                <w:color w:val="222222"/>
                <w:sz w:val="18"/>
                <w:szCs w:val="18"/>
              </w:rPr>
              <w:t>−0.55</w:t>
            </w:r>
          </w:p>
        </w:tc>
        <w:tc>
          <w:tcPr>
            <w:tcW w:w="8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4ADFD5D5" w14:textId="77777777" w:rsidR="00A95A56" w:rsidRDefault="00000000">
            <w:pPr>
              <w:jc w:val="center"/>
            </w:pPr>
            <w:r>
              <w:rPr>
                <w:color w:val="222222"/>
                <w:sz w:val="18"/>
                <w:szCs w:val="18"/>
              </w:rPr>
              <w:t>0.44</w:t>
            </w:r>
          </w:p>
        </w:tc>
        <w:tc>
          <w:tcPr>
            <w:tcW w:w="8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081B3C1A" w14:textId="77777777" w:rsidR="00A95A56" w:rsidRDefault="00000000">
            <w:pPr>
              <w:jc w:val="center"/>
            </w:pPr>
            <w:r>
              <w:rPr>
                <w:color w:val="222222"/>
                <w:sz w:val="18"/>
                <w:szCs w:val="18"/>
              </w:rPr>
              <w:t>−1.53</w:t>
            </w:r>
          </w:p>
        </w:tc>
        <w:tc>
          <w:tcPr>
            <w:tcW w:w="8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17DD5E41" w14:textId="77777777" w:rsidR="00A95A56" w:rsidRDefault="00000000">
            <w:pPr>
              <w:jc w:val="center"/>
            </w:pPr>
            <w:r>
              <w:rPr>
                <w:color w:val="222222"/>
                <w:sz w:val="18"/>
                <w:szCs w:val="18"/>
              </w:rPr>
              <w:t>0.82</w:t>
            </w:r>
          </w:p>
        </w:tc>
        <w:tc>
          <w:tcPr>
            <w:tcW w:w="14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2275AEEB" w14:textId="77777777" w:rsidR="00A95A56" w:rsidRDefault="00000000">
            <w:pPr>
              <w:jc w:val="center"/>
            </w:pPr>
            <w:r>
              <w:rPr>
                <w:color w:val="222222"/>
                <w:sz w:val="18"/>
                <w:szCs w:val="18"/>
              </w:rPr>
              <w:t>−0.68</w:t>
            </w:r>
          </w:p>
        </w:tc>
      </w:tr>
      <w:tr w:rsidR="00A95A56" w14:paraId="64DEA599"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shd w:val="clear" w:color="auto" w:fill="E8EFF8"/>
            <w:tcMar>
              <w:top w:w="70" w:type="dxa"/>
              <w:left w:w="100" w:type="dxa"/>
              <w:bottom w:w="70" w:type="dxa"/>
              <w:right w:w="100" w:type="dxa"/>
            </w:tcMar>
            <w:vAlign w:val="center"/>
          </w:tcPr>
          <w:p w14:paraId="5D54B229" w14:textId="77777777" w:rsidR="00A95A56" w:rsidRDefault="00000000">
            <w:proofErr w:type="spellStart"/>
            <w:r>
              <w:rPr>
                <w:b/>
                <w:bCs/>
                <w:color w:val="222222"/>
                <w:sz w:val="18"/>
                <w:szCs w:val="18"/>
              </w:rPr>
              <w:t>PrivInt</w:t>
            </w:r>
            <w:proofErr w:type="spellEnd"/>
          </w:p>
        </w:tc>
        <w:tc>
          <w:tcPr>
            <w:tcW w:w="9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1543C788" w14:textId="77777777" w:rsidR="00A95A56" w:rsidRDefault="00000000">
            <w:pPr>
              <w:jc w:val="center"/>
            </w:pPr>
            <w:r>
              <w:rPr>
                <w:color w:val="222222"/>
                <w:sz w:val="18"/>
                <w:szCs w:val="18"/>
              </w:rPr>
              <w:t>0.94</w:t>
            </w:r>
          </w:p>
        </w:tc>
        <w:tc>
          <w:tcPr>
            <w:tcW w:w="8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644A70D0" w14:textId="77777777" w:rsidR="00A95A56" w:rsidRDefault="00000000">
            <w:pPr>
              <w:jc w:val="center"/>
            </w:pPr>
            <w:r>
              <w:rPr>
                <w:color w:val="222222"/>
                <w:sz w:val="18"/>
                <w:szCs w:val="18"/>
              </w:rPr>
              <w:t>0.71</w:t>
            </w:r>
          </w:p>
        </w:tc>
        <w:tc>
          <w:tcPr>
            <w:tcW w:w="8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16D6D58C" w14:textId="77777777" w:rsidR="00A95A56" w:rsidRDefault="00000000">
            <w:pPr>
              <w:jc w:val="center"/>
            </w:pPr>
            <w:r>
              <w:rPr>
                <w:color w:val="222222"/>
                <w:sz w:val="18"/>
                <w:szCs w:val="18"/>
              </w:rPr>
              <w:t>0.00</w:t>
            </w:r>
          </w:p>
        </w:tc>
        <w:tc>
          <w:tcPr>
            <w:tcW w:w="8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4ACB2A9C" w14:textId="77777777" w:rsidR="00A95A56" w:rsidRDefault="00000000">
            <w:pPr>
              <w:jc w:val="center"/>
            </w:pPr>
            <w:r>
              <w:rPr>
                <w:color w:val="222222"/>
                <w:sz w:val="18"/>
                <w:szCs w:val="18"/>
              </w:rPr>
              <w:t>2.98</w:t>
            </w:r>
          </w:p>
        </w:tc>
        <w:tc>
          <w:tcPr>
            <w:tcW w:w="14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6F2E78D6" w14:textId="77777777" w:rsidR="00A95A56" w:rsidRDefault="00000000">
            <w:pPr>
              <w:jc w:val="center"/>
            </w:pPr>
            <w:r>
              <w:rPr>
                <w:color w:val="222222"/>
                <w:sz w:val="18"/>
                <w:szCs w:val="18"/>
              </w:rPr>
              <w:t>1.31</w:t>
            </w:r>
          </w:p>
        </w:tc>
      </w:tr>
      <w:tr w:rsidR="00A95A56" w14:paraId="0E7F6ED2"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shd w:val="clear" w:color="auto" w:fill="EEF3FB"/>
            <w:tcMar>
              <w:top w:w="70" w:type="dxa"/>
              <w:left w:w="100" w:type="dxa"/>
              <w:bottom w:w="70" w:type="dxa"/>
              <w:right w:w="100" w:type="dxa"/>
            </w:tcMar>
            <w:vAlign w:val="center"/>
          </w:tcPr>
          <w:p w14:paraId="4C83C229" w14:textId="77777777" w:rsidR="00A95A56" w:rsidRDefault="00000000">
            <w:r>
              <w:rPr>
                <w:b/>
                <w:bCs/>
                <w:color w:val="222222"/>
                <w:sz w:val="18"/>
                <w:szCs w:val="18"/>
              </w:rPr>
              <w:t>ln GDP per capita</w:t>
            </w:r>
          </w:p>
        </w:tc>
        <w:tc>
          <w:tcPr>
            <w:tcW w:w="9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75BC8817" w14:textId="77777777" w:rsidR="00A95A56" w:rsidRDefault="00000000">
            <w:pPr>
              <w:jc w:val="center"/>
            </w:pPr>
            <w:r>
              <w:rPr>
                <w:color w:val="222222"/>
                <w:sz w:val="18"/>
                <w:szCs w:val="18"/>
              </w:rPr>
              <w:t>7.82</w:t>
            </w:r>
          </w:p>
        </w:tc>
        <w:tc>
          <w:tcPr>
            <w:tcW w:w="8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5CBDDB75" w14:textId="77777777" w:rsidR="00A95A56" w:rsidRDefault="00000000">
            <w:pPr>
              <w:jc w:val="center"/>
            </w:pPr>
            <w:r>
              <w:rPr>
                <w:color w:val="222222"/>
                <w:sz w:val="18"/>
                <w:szCs w:val="18"/>
              </w:rPr>
              <w:t>0.93</w:t>
            </w:r>
          </w:p>
        </w:tc>
        <w:tc>
          <w:tcPr>
            <w:tcW w:w="8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7A98F024" w14:textId="77777777" w:rsidR="00A95A56" w:rsidRDefault="00000000">
            <w:pPr>
              <w:jc w:val="center"/>
            </w:pPr>
            <w:r>
              <w:rPr>
                <w:color w:val="222222"/>
                <w:sz w:val="18"/>
                <w:szCs w:val="18"/>
              </w:rPr>
              <w:t>5.91</w:t>
            </w:r>
          </w:p>
        </w:tc>
        <w:tc>
          <w:tcPr>
            <w:tcW w:w="8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584190B5" w14:textId="77777777" w:rsidR="00A95A56" w:rsidRDefault="00000000">
            <w:pPr>
              <w:jc w:val="center"/>
            </w:pPr>
            <w:r>
              <w:rPr>
                <w:color w:val="222222"/>
                <w:sz w:val="18"/>
                <w:szCs w:val="18"/>
              </w:rPr>
              <w:t>9.64</w:t>
            </w:r>
          </w:p>
        </w:tc>
        <w:tc>
          <w:tcPr>
            <w:tcW w:w="14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665964DD" w14:textId="77777777" w:rsidR="00A95A56" w:rsidRDefault="00000000">
            <w:pPr>
              <w:jc w:val="center"/>
            </w:pPr>
            <w:r>
              <w:rPr>
                <w:color w:val="222222"/>
                <w:sz w:val="18"/>
                <w:szCs w:val="18"/>
              </w:rPr>
              <w:t>6.98</w:t>
            </w:r>
          </w:p>
        </w:tc>
      </w:tr>
      <w:tr w:rsidR="00A95A56" w14:paraId="44390B6E"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shd w:val="clear" w:color="auto" w:fill="E8EFF8"/>
            <w:tcMar>
              <w:top w:w="70" w:type="dxa"/>
              <w:left w:w="100" w:type="dxa"/>
              <w:bottom w:w="70" w:type="dxa"/>
              <w:right w:w="100" w:type="dxa"/>
            </w:tcMar>
            <w:vAlign w:val="center"/>
          </w:tcPr>
          <w:p w14:paraId="49CB1D6B" w14:textId="77777777" w:rsidR="00A95A56" w:rsidRDefault="00000000">
            <w:r>
              <w:rPr>
                <w:b/>
                <w:bCs/>
                <w:color w:val="222222"/>
                <w:sz w:val="18"/>
                <w:szCs w:val="18"/>
              </w:rPr>
              <w:t>Trade openness</w:t>
            </w:r>
          </w:p>
        </w:tc>
        <w:tc>
          <w:tcPr>
            <w:tcW w:w="9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10347561" w14:textId="77777777" w:rsidR="00A95A56" w:rsidRDefault="00000000">
            <w:pPr>
              <w:jc w:val="center"/>
            </w:pPr>
            <w:r>
              <w:rPr>
                <w:color w:val="222222"/>
                <w:sz w:val="18"/>
                <w:szCs w:val="18"/>
              </w:rPr>
              <w:t>68.4</w:t>
            </w:r>
          </w:p>
        </w:tc>
        <w:tc>
          <w:tcPr>
            <w:tcW w:w="8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4787C61B" w14:textId="77777777" w:rsidR="00A95A56" w:rsidRDefault="00000000">
            <w:pPr>
              <w:jc w:val="center"/>
            </w:pPr>
            <w:r>
              <w:rPr>
                <w:color w:val="222222"/>
                <w:sz w:val="18"/>
                <w:szCs w:val="18"/>
              </w:rPr>
              <w:t>24.1</w:t>
            </w:r>
          </w:p>
        </w:tc>
        <w:tc>
          <w:tcPr>
            <w:tcW w:w="8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3EC7D8AB" w14:textId="77777777" w:rsidR="00A95A56" w:rsidRDefault="00000000">
            <w:pPr>
              <w:jc w:val="center"/>
            </w:pPr>
            <w:r>
              <w:rPr>
                <w:color w:val="222222"/>
                <w:sz w:val="18"/>
                <w:szCs w:val="18"/>
              </w:rPr>
              <w:t>28.3</w:t>
            </w:r>
          </w:p>
        </w:tc>
        <w:tc>
          <w:tcPr>
            <w:tcW w:w="8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13CFF051" w14:textId="77777777" w:rsidR="00A95A56" w:rsidRDefault="00000000">
            <w:pPr>
              <w:jc w:val="center"/>
            </w:pPr>
            <w:r>
              <w:rPr>
                <w:color w:val="222222"/>
                <w:sz w:val="18"/>
                <w:szCs w:val="18"/>
              </w:rPr>
              <w:t>143.7</w:t>
            </w:r>
          </w:p>
        </w:tc>
        <w:tc>
          <w:tcPr>
            <w:tcW w:w="14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2B42FEE3" w14:textId="77777777" w:rsidR="00A95A56" w:rsidRDefault="00000000">
            <w:pPr>
              <w:jc w:val="center"/>
            </w:pPr>
            <w:r>
              <w:rPr>
                <w:color w:val="222222"/>
                <w:sz w:val="18"/>
                <w:szCs w:val="18"/>
              </w:rPr>
              <w:t>72.1</w:t>
            </w:r>
          </w:p>
        </w:tc>
      </w:tr>
      <w:tr w:rsidR="00A95A56" w14:paraId="617FF755"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shd w:val="clear" w:color="auto" w:fill="EEF3FB"/>
            <w:tcMar>
              <w:top w:w="70" w:type="dxa"/>
              <w:left w:w="100" w:type="dxa"/>
              <w:bottom w:w="70" w:type="dxa"/>
              <w:right w:w="100" w:type="dxa"/>
            </w:tcMar>
            <w:vAlign w:val="center"/>
          </w:tcPr>
          <w:p w14:paraId="5B7840F1" w14:textId="77777777" w:rsidR="00A95A56" w:rsidRDefault="00000000">
            <w:r>
              <w:rPr>
                <w:b/>
                <w:bCs/>
                <w:color w:val="222222"/>
                <w:sz w:val="18"/>
                <w:szCs w:val="18"/>
              </w:rPr>
              <w:t>Inflation (log)</w:t>
            </w:r>
          </w:p>
        </w:tc>
        <w:tc>
          <w:tcPr>
            <w:tcW w:w="9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2F60506B" w14:textId="77777777" w:rsidR="00A95A56" w:rsidRDefault="00000000">
            <w:pPr>
              <w:jc w:val="center"/>
            </w:pPr>
            <w:r>
              <w:rPr>
                <w:color w:val="222222"/>
                <w:sz w:val="18"/>
                <w:szCs w:val="18"/>
              </w:rPr>
              <w:t>2.41</w:t>
            </w:r>
          </w:p>
        </w:tc>
        <w:tc>
          <w:tcPr>
            <w:tcW w:w="8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1CF9DDCF" w14:textId="77777777" w:rsidR="00A95A56" w:rsidRDefault="00000000">
            <w:pPr>
              <w:jc w:val="center"/>
            </w:pPr>
            <w:r>
              <w:rPr>
                <w:color w:val="222222"/>
                <w:sz w:val="18"/>
                <w:szCs w:val="18"/>
              </w:rPr>
              <w:t>0.89</w:t>
            </w:r>
          </w:p>
        </w:tc>
        <w:tc>
          <w:tcPr>
            <w:tcW w:w="8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38BF05DF" w14:textId="77777777" w:rsidR="00A95A56" w:rsidRDefault="00000000">
            <w:pPr>
              <w:jc w:val="center"/>
            </w:pPr>
            <w:r>
              <w:rPr>
                <w:color w:val="222222"/>
                <w:sz w:val="18"/>
                <w:szCs w:val="18"/>
              </w:rPr>
              <w:t>0.12</w:t>
            </w:r>
          </w:p>
        </w:tc>
        <w:tc>
          <w:tcPr>
            <w:tcW w:w="8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13511448" w14:textId="77777777" w:rsidR="00A95A56" w:rsidRDefault="00000000">
            <w:pPr>
              <w:jc w:val="center"/>
            </w:pPr>
            <w:r>
              <w:rPr>
                <w:color w:val="222222"/>
                <w:sz w:val="18"/>
                <w:szCs w:val="18"/>
              </w:rPr>
              <w:t>5.91</w:t>
            </w:r>
          </w:p>
        </w:tc>
        <w:tc>
          <w:tcPr>
            <w:tcW w:w="14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2883C096" w14:textId="77777777" w:rsidR="00A95A56" w:rsidRDefault="00000000">
            <w:pPr>
              <w:jc w:val="center"/>
            </w:pPr>
            <w:r>
              <w:rPr>
                <w:color w:val="222222"/>
                <w:sz w:val="18"/>
                <w:szCs w:val="18"/>
              </w:rPr>
              <w:t>2.18</w:t>
            </w:r>
          </w:p>
        </w:tc>
      </w:tr>
      <w:tr w:rsidR="00A95A56" w14:paraId="2E85AA24"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shd w:val="clear" w:color="auto" w:fill="E8EFF8"/>
            <w:tcMar>
              <w:top w:w="70" w:type="dxa"/>
              <w:left w:w="100" w:type="dxa"/>
              <w:bottom w:w="70" w:type="dxa"/>
              <w:right w:w="100" w:type="dxa"/>
            </w:tcMar>
            <w:vAlign w:val="center"/>
          </w:tcPr>
          <w:p w14:paraId="0540649B" w14:textId="77777777" w:rsidR="00A95A56" w:rsidRDefault="00000000">
            <w:r>
              <w:rPr>
                <w:b/>
                <w:bCs/>
                <w:color w:val="222222"/>
                <w:sz w:val="18"/>
                <w:szCs w:val="18"/>
              </w:rPr>
              <w:t>Debt/GDP (%)</w:t>
            </w:r>
          </w:p>
        </w:tc>
        <w:tc>
          <w:tcPr>
            <w:tcW w:w="9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126030EE" w14:textId="77777777" w:rsidR="00A95A56" w:rsidRDefault="00000000">
            <w:pPr>
              <w:jc w:val="center"/>
            </w:pPr>
            <w:r>
              <w:rPr>
                <w:color w:val="222222"/>
                <w:sz w:val="18"/>
                <w:szCs w:val="18"/>
              </w:rPr>
              <w:t>58.3</w:t>
            </w:r>
          </w:p>
        </w:tc>
        <w:tc>
          <w:tcPr>
            <w:tcW w:w="8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0F41CACB" w14:textId="77777777" w:rsidR="00A95A56" w:rsidRDefault="00000000">
            <w:pPr>
              <w:jc w:val="center"/>
            </w:pPr>
            <w:r>
              <w:rPr>
                <w:color w:val="222222"/>
                <w:sz w:val="18"/>
                <w:szCs w:val="18"/>
              </w:rPr>
              <w:t>32.7</w:t>
            </w:r>
          </w:p>
        </w:tc>
        <w:tc>
          <w:tcPr>
            <w:tcW w:w="8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6A0D874A" w14:textId="77777777" w:rsidR="00A95A56" w:rsidRDefault="00000000">
            <w:pPr>
              <w:jc w:val="center"/>
            </w:pPr>
            <w:r>
              <w:rPr>
                <w:color w:val="222222"/>
                <w:sz w:val="18"/>
                <w:szCs w:val="18"/>
              </w:rPr>
              <w:t>9.1</w:t>
            </w:r>
          </w:p>
        </w:tc>
        <w:tc>
          <w:tcPr>
            <w:tcW w:w="8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240C0EE8" w14:textId="77777777" w:rsidR="00A95A56" w:rsidRDefault="00000000">
            <w:pPr>
              <w:jc w:val="center"/>
            </w:pPr>
            <w:r>
              <w:rPr>
                <w:color w:val="222222"/>
                <w:sz w:val="18"/>
                <w:szCs w:val="18"/>
              </w:rPr>
              <w:t>314.2</w:t>
            </w:r>
          </w:p>
        </w:tc>
        <w:tc>
          <w:tcPr>
            <w:tcW w:w="140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7DA498C5" w14:textId="77777777" w:rsidR="00A95A56" w:rsidRDefault="00000000">
            <w:pPr>
              <w:jc w:val="center"/>
            </w:pPr>
            <w:r>
              <w:rPr>
                <w:color w:val="222222"/>
                <w:sz w:val="18"/>
                <w:szCs w:val="18"/>
              </w:rPr>
              <w:t>112.4</w:t>
            </w:r>
          </w:p>
        </w:tc>
      </w:tr>
      <w:tr w:rsidR="00A95A56" w14:paraId="658F23A6" w14:textId="77777777">
        <w:tblPrEx>
          <w:tblCellMar>
            <w:top w:w="0" w:type="dxa"/>
            <w:bottom w:w="0" w:type="dxa"/>
          </w:tblCellMar>
        </w:tblPrEx>
        <w:tc>
          <w:tcPr>
            <w:tcW w:w="2400" w:type="dxa"/>
            <w:tcBorders>
              <w:top w:val="single" w:sz="2" w:space="0" w:color="BBBBBB"/>
              <w:left w:val="single" w:sz="2" w:space="0" w:color="BBBBBB"/>
              <w:bottom w:val="single" w:sz="2" w:space="0" w:color="BBBBBB"/>
              <w:right w:val="single" w:sz="2" w:space="0" w:color="BBBBBB"/>
            </w:tcBorders>
            <w:shd w:val="clear" w:color="auto" w:fill="EEF3FB"/>
            <w:tcMar>
              <w:top w:w="70" w:type="dxa"/>
              <w:left w:w="100" w:type="dxa"/>
              <w:bottom w:w="70" w:type="dxa"/>
              <w:right w:w="100" w:type="dxa"/>
            </w:tcMar>
            <w:vAlign w:val="center"/>
          </w:tcPr>
          <w:p w14:paraId="58DCE232" w14:textId="77777777" w:rsidR="00A95A56" w:rsidRDefault="00000000">
            <w:r>
              <w:rPr>
                <w:b/>
                <w:bCs/>
                <w:color w:val="222222"/>
                <w:sz w:val="18"/>
                <w:szCs w:val="18"/>
              </w:rPr>
              <w:t xml:space="preserve">IMF </w:t>
            </w:r>
            <w:proofErr w:type="spellStart"/>
            <w:r>
              <w:rPr>
                <w:b/>
                <w:bCs/>
                <w:color w:val="222222"/>
                <w:sz w:val="18"/>
                <w:szCs w:val="18"/>
              </w:rPr>
              <w:t>programme</w:t>
            </w:r>
            <w:proofErr w:type="spellEnd"/>
          </w:p>
        </w:tc>
        <w:tc>
          <w:tcPr>
            <w:tcW w:w="9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2CDE7E11" w14:textId="77777777" w:rsidR="00A95A56" w:rsidRDefault="00000000">
            <w:pPr>
              <w:jc w:val="center"/>
            </w:pPr>
            <w:r>
              <w:rPr>
                <w:color w:val="222222"/>
                <w:sz w:val="18"/>
                <w:szCs w:val="18"/>
              </w:rPr>
              <w:t>0.48</w:t>
            </w:r>
          </w:p>
        </w:tc>
        <w:tc>
          <w:tcPr>
            <w:tcW w:w="8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6E972D36" w14:textId="77777777" w:rsidR="00A95A56" w:rsidRDefault="00000000">
            <w:pPr>
              <w:jc w:val="center"/>
            </w:pPr>
            <w:r>
              <w:rPr>
                <w:color w:val="222222"/>
                <w:sz w:val="18"/>
                <w:szCs w:val="18"/>
              </w:rPr>
              <w:t>0.50</w:t>
            </w:r>
          </w:p>
        </w:tc>
        <w:tc>
          <w:tcPr>
            <w:tcW w:w="8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38AE650E" w14:textId="77777777" w:rsidR="00A95A56" w:rsidRDefault="00000000">
            <w:pPr>
              <w:jc w:val="center"/>
            </w:pPr>
            <w:r>
              <w:rPr>
                <w:color w:val="222222"/>
                <w:sz w:val="18"/>
                <w:szCs w:val="18"/>
              </w:rPr>
              <w:t>0</w:t>
            </w:r>
          </w:p>
        </w:tc>
        <w:tc>
          <w:tcPr>
            <w:tcW w:w="8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1567AE6B" w14:textId="77777777" w:rsidR="00A95A56" w:rsidRDefault="00000000">
            <w:pPr>
              <w:jc w:val="center"/>
            </w:pPr>
            <w:r>
              <w:rPr>
                <w:color w:val="222222"/>
                <w:sz w:val="18"/>
                <w:szCs w:val="18"/>
              </w:rPr>
              <w:t>1</w:t>
            </w:r>
          </w:p>
        </w:tc>
        <w:tc>
          <w:tcPr>
            <w:tcW w:w="14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459AFAAA" w14:textId="77777777" w:rsidR="00A95A56" w:rsidRDefault="00000000">
            <w:pPr>
              <w:jc w:val="center"/>
            </w:pPr>
            <w:r>
              <w:rPr>
                <w:color w:val="222222"/>
                <w:sz w:val="18"/>
                <w:szCs w:val="18"/>
              </w:rPr>
              <w:t>0.71</w:t>
            </w:r>
          </w:p>
        </w:tc>
      </w:tr>
    </w:tbl>
    <w:p w14:paraId="3F57739E" w14:textId="1F9649FF" w:rsidR="00A95A56" w:rsidRDefault="00000000">
      <w:pPr>
        <w:spacing w:before="40" w:after="200"/>
      </w:pPr>
      <w:r>
        <w:rPr>
          <w:i/>
          <w:iCs/>
          <w:color w:val="666666"/>
          <w:sz w:val="18"/>
          <w:szCs w:val="18"/>
        </w:rPr>
        <w:t xml:space="preserve">Source: own elaboration using World Bank (WDI, WGI, </w:t>
      </w:r>
      <w:proofErr w:type="spellStart"/>
      <w:r>
        <w:rPr>
          <w:i/>
          <w:iCs/>
          <w:color w:val="666666"/>
          <w:sz w:val="18"/>
          <w:szCs w:val="18"/>
        </w:rPr>
        <w:t>PrivatizationBarometer</w:t>
      </w:r>
      <w:proofErr w:type="spellEnd"/>
      <w:r>
        <w:rPr>
          <w:i/>
          <w:iCs/>
          <w:color w:val="666666"/>
          <w:sz w:val="18"/>
          <w:szCs w:val="18"/>
        </w:rPr>
        <w:t xml:space="preserve">), IMF (WEO), </w:t>
      </w:r>
      <w:proofErr w:type="spellStart"/>
      <w:r>
        <w:rPr>
          <w:i/>
          <w:iCs/>
          <w:color w:val="666666"/>
          <w:sz w:val="18"/>
          <w:szCs w:val="18"/>
        </w:rPr>
        <w:t>QoG</w:t>
      </w:r>
      <w:proofErr w:type="spellEnd"/>
      <w:r>
        <w:rPr>
          <w:i/>
          <w:iCs/>
          <w:color w:val="666666"/>
          <w:sz w:val="18"/>
          <w:szCs w:val="18"/>
        </w:rPr>
        <w:t xml:space="preserve"> Institute</w:t>
      </w:r>
      <w:r w:rsidR="00F954F0">
        <w:rPr>
          <w:i/>
          <w:iCs/>
          <w:color w:val="666666"/>
          <w:sz w:val="18"/>
          <w:szCs w:val="18"/>
        </w:rPr>
        <w:t>,</w:t>
      </w:r>
      <w:r>
        <w:rPr>
          <w:i/>
          <w:iCs/>
          <w:color w:val="666666"/>
          <w:sz w:val="18"/>
          <w:szCs w:val="18"/>
        </w:rPr>
        <w:t xml:space="preserve"> and Acemoglu et al. (2001). </w:t>
      </w:r>
      <w:proofErr w:type="spellStart"/>
      <w:r>
        <w:rPr>
          <w:i/>
          <w:iCs/>
          <w:color w:val="666666"/>
          <w:sz w:val="18"/>
          <w:szCs w:val="18"/>
        </w:rPr>
        <w:t>PrivInt</w:t>
      </w:r>
      <w:proofErr w:type="spellEnd"/>
      <w:r>
        <w:rPr>
          <w:i/>
          <w:iCs/>
          <w:color w:val="666666"/>
          <w:sz w:val="18"/>
          <w:szCs w:val="18"/>
        </w:rPr>
        <w:t>: own privatization intensity index, scale 0–3. WGI-GE: government effectiveness, scale −2.5 to +2.5.</w:t>
      </w:r>
    </w:p>
    <w:p w14:paraId="18FB45D9" w14:textId="497E29AE" w:rsidR="00A95A56" w:rsidRDefault="00000000">
      <w:pPr>
        <w:spacing w:after="200" w:line="360" w:lineRule="auto"/>
        <w:ind w:firstLine="720"/>
        <w:jc w:val="both"/>
      </w:pPr>
      <w:r>
        <w:t xml:space="preserve">Table 1 shows that LAC HIPC countries exhibit, on average, lower government effectiveness (−0.73 vs. −0.61 for the full sample), higher privatization intensity (1.31 vs. 0.94), </w:t>
      </w:r>
      <w:r>
        <w:lastRenderedPageBreak/>
        <w:t>and higher debt-to-GDP ratios (112.4% vs. 58.3%) than the rest of the sample. This selection into the sample is precisely what motivates the use of fixed effects and the colonial instrument: HIPC countries have observable and unobservable characteristics that distinguish them from the control group</w:t>
      </w:r>
      <w:r w:rsidR="00F954F0">
        <w:t>. The</w:t>
      </w:r>
      <w:r>
        <w:t xml:space="preserve"> two-way fixed-effects estimator controls for time-invariant cross-country differences, while the IV specification isolates exogenous variation in privatization intensity.</w:t>
      </w:r>
    </w:p>
    <w:p w14:paraId="7AB35A50" w14:textId="77777777" w:rsidR="00A95A56" w:rsidRDefault="00A95A56"/>
    <w:p w14:paraId="4D9CB003" w14:textId="77777777" w:rsidR="00A95A56" w:rsidRDefault="00000000">
      <w:pPr>
        <w:pStyle w:val="Ttulo1"/>
      </w:pPr>
      <w:r>
        <w:t>3. Theoretical framework: mis-sequenced privatization and state capacity erosion</w:t>
      </w:r>
    </w:p>
    <w:p w14:paraId="0F195429" w14:textId="77777777" w:rsidR="00A95A56" w:rsidRDefault="00000000">
      <w:pPr>
        <w:pStyle w:val="Ttulo2"/>
      </w:pPr>
      <w:r>
        <w:t>3.1 State capacity as a variable endogenous to adjustment</w:t>
      </w:r>
    </w:p>
    <w:p w14:paraId="59BE600A" w14:textId="475C219C" w:rsidR="00A95A56" w:rsidRDefault="00000000">
      <w:pPr>
        <w:spacing w:after="200" w:line="360" w:lineRule="auto"/>
        <w:ind w:firstLine="720"/>
        <w:jc w:val="both"/>
      </w:pPr>
      <w:proofErr w:type="gramStart"/>
      <w:r>
        <w:t>The state</w:t>
      </w:r>
      <w:proofErr w:type="gramEnd"/>
      <w:r>
        <w:t xml:space="preserve"> capacity literature converges on </w:t>
      </w:r>
      <w:r w:rsidR="00F954F0">
        <w:t>the view that bureaucratic effectiveness is</w:t>
      </w:r>
      <w:r>
        <w:t xml:space="preserve"> the product of long-term cumulative investments in public human capital, organizational norms, and institutional knowledge (Evans, 1995; Andrews et al., 2017). Besley and Persson (2009, 2011) formalized this argument: state fiscal and institutional capacity is built through incremental investments with increasing returns and cannot be created instantaneously through shock reforms. This prediction is especially relevant for HIPC countries, whose pre-existing state capacity was uniformly low</w:t>
      </w:r>
      <w:r w:rsidR="00F954F0">
        <w:t>. In</w:t>
      </w:r>
      <w:r>
        <w:t xml:space="preserve"> weak-state contexts, the negative externalities of mis-sequenced privatization are larger because the state lacks the technical and organizational resources to adapt.</w:t>
      </w:r>
    </w:p>
    <w:p w14:paraId="777753D8" w14:textId="77777777" w:rsidR="00A95A56" w:rsidRDefault="00000000">
      <w:pPr>
        <w:spacing w:after="200" w:line="360" w:lineRule="auto"/>
        <w:ind w:firstLine="720"/>
        <w:jc w:val="both"/>
      </w:pPr>
      <w:r>
        <w:t xml:space="preserve">North's (1990) institutional economics adds the mechanism of path dependence: weak institutions are difficult to build precisely because actors who benefit from the void—unregulated privatized firms, elites with preferential access to information—have incentives to preserve it. Once established, this low-state-capacity equilibrium is stable: the regulatory capture documented by Stigler (1971) and Laffont and </w:t>
      </w:r>
      <w:proofErr w:type="spellStart"/>
      <w:r>
        <w:t>Tirole</w:t>
      </w:r>
      <w:proofErr w:type="spellEnd"/>
      <w:r>
        <w:t xml:space="preserve"> (1991) turns the regulated into the primary informant of the regulator, making reversal costly even when the government has the political will to attempt it.</w:t>
      </w:r>
    </w:p>
    <w:p w14:paraId="37D87B1B" w14:textId="77777777" w:rsidR="00A95A56" w:rsidRDefault="00000000">
      <w:pPr>
        <w:pStyle w:val="Ttulo2"/>
      </w:pPr>
      <w:r>
        <w:t>3.2 The mis-sequencing hypothesis</w:t>
      </w:r>
    </w:p>
    <w:p w14:paraId="06F79B8B" w14:textId="32286D5C" w:rsidR="00A95A56" w:rsidRDefault="00000000">
      <w:pPr>
        <w:spacing w:after="200" w:line="360" w:lineRule="auto"/>
        <w:ind w:firstLine="720"/>
        <w:jc w:val="both"/>
      </w:pPr>
      <w:r>
        <w:t xml:space="preserve">Rodrik (2006) systematized the critique of Washington Consensus sequencing: market reforms fail to deliver promised results when implemented before the supporting institutions </w:t>
      </w:r>
      <w:r w:rsidR="00F954F0">
        <w:t>needed to govern the resulting markets are in place</w:t>
      </w:r>
      <w:r>
        <w:t xml:space="preserve">. Privatization without regulation produces private monopolies; financial liberalization without prudential supervision produces banking </w:t>
      </w:r>
      <w:r>
        <w:lastRenderedPageBreak/>
        <w:t>crises. The general principle—market reforms require supporting institutions that must be built simultaneously or beforehand, not afterwards—is now widely accepted in the literature.</w:t>
      </w:r>
    </w:p>
    <w:p w14:paraId="6416EA14" w14:textId="77777777" w:rsidR="00A95A56" w:rsidRDefault="00000000">
      <w:pPr>
        <w:spacing w:after="200" w:line="360" w:lineRule="auto"/>
        <w:ind w:firstLine="720"/>
        <w:jc w:val="both"/>
      </w:pPr>
      <w:r>
        <w:t>In the HIPC context, this hypothesis generates a precise prediction: countries that privatized more intensively and more rapidly—in response to PRGF conditionality pressure—should exhibit greater erosion of state capacity in the post-adjustment period, particularly in the government effectiveness dimension, which directly captures technical bureaucratic quality and regulatory capacity. We formalize this prediction as follows:</w:t>
      </w:r>
    </w:p>
    <w:p w14:paraId="5E1EDF26" w14:textId="30A8CAB1" w:rsidR="00A95A56" w:rsidRDefault="00000000">
      <w:pPr>
        <w:spacing w:before="200" w:after="200" w:line="320" w:lineRule="auto"/>
        <w:ind w:left="1440" w:right="720"/>
        <w:jc w:val="both"/>
      </w:pPr>
      <w:r>
        <w:rPr>
          <w:color w:val="222222"/>
          <w:sz w:val="22"/>
          <w:szCs w:val="22"/>
        </w:rPr>
        <w:t xml:space="preserve">Main hypothesis (H1): privatization intensity </w:t>
      </w:r>
      <w:r w:rsidR="00F954F0">
        <w:rPr>
          <w:color w:val="222222"/>
          <w:sz w:val="22"/>
          <w:szCs w:val="22"/>
        </w:rPr>
        <w:t>harms</w:t>
      </w:r>
      <w:r>
        <w:rPr>
          <w:color w:val="222222"/>
          <w:sz w:val="22"/>
          <w:szCs w:val="22"/>
        </w:rPr>
        <w:t xml:space="preserve"> government effectiveness (WGI-GE), controlling for development level, trade openness, macroeconomic stability, and unobserved country and year heterogeneity.</w:t>
      </w:r>
    </w:p>
    <w:p w14:paraId="6163A57F" w14:textId="007C97AA" w:rsidR="00A95A56" w:rsidRDefault="00F954F0">
      <w:pPr>
        <w:spacing w:after="200" w:line="360" w:lineRule="auto"/>
        <w:ind w:firstLine="720"/>
        <w:jc w:val="both"/>
      </w:pPr>
      <w:r>
        <w:t>An</w:t>
      </w:r>
      <w:r w:rsidR="00000000">
        <w:t xml:space="preserve"> interaction hypothesis emerging from the case analysis:</w:t>
      </w:r>
    </w:p>
    <w:p w14:paraId="46D0DA2B" w14:textId="77777777" w:rsidR="00A95A56" w:rsidRDefault="00000000">
      <w:pPr>
        <w:spacing w:before="200" w:after="200" w:line="320" w:lineRule="auto"/>
        <w:ind w:left="1440" w:right="720"/>
        <w:jc w:val="both"/>
      </w:pPr>
      <w:r>
        <w:rPr>
          <w:color w:val="222222"/>
          <w:sz w:val="22"/>
          <w:szCs w:val="22"/>
        </w:rPr>
        <w:t>Auxiliary hypothesis (H2): the negative effect of privatization on government effectiveness is larger when privatization precedes the creation of independent regulatory frameworks (sequencing effect), and smaller when regulators are created simultaneously or before privatizations (the Bolivia-SIRESE case).</w:t>
      </w:r>
    </w:p>
    <w:p w14:paraId="554E8613" w14:textId="77777777" w:rsidR="00A95A56" w:rsidRDefault="00000000">
      <w:pPr>
        <w:pStyle w:val="Ttulo2"/>
      </w:pPr>
      <w:r>
        <w:t>3.3 Connection with the IMF conditionality literature</w:t>
      </w:r>
    </w:p>
    <w:p w14:paraId="407A7AAB" w14:textId="02269A63" w:rsidR="00A95A56" w:rsidRDefault="00000000">
      <w:pPr>
        <w:spacing w:after="200" w:line="360" w:lineRule="auto"/>
        <w:ind w:firstLine="720"/>
        <w:jc w:val="both"/>
      </w:pPr>
      <w:r>
        <w:t xml:space="preserve">This article's contribution to existing scholarship sits at the intersection of two research streams. The first is the literature on IMF conditionality and institutional outcomes. </w:t>
      </w:r>
      <w:proofErr w:type="spellStart"/>
      <w:r>
        <w:t>Kentikelenis</w:t>
      </w:r>
      <w:proofErr w:type="spellEnd"/>
      <w:r>
        <w:t>, Stubbs</w:t>
      </w:r>
      <w:r w:rsidR="00F954F0">
        <w:t>,</w:t>
      </w:r>
      <w:r>
        <w:t xml:space="preserve"> and King (2019) demonstrated using a 131-country panel and data on 55,000 individual conditionalities that structural conditions—especially privatization, price deregulation, and public employment cuts—reduce bureaucratic quality, with an effect robust to instrumentalization (they use IMF voting shares as an instrument for conditionality intensity). </w:t>
      </w:r>
      <w:proofErr w:type="spellStart"/>
      <w:r>
        <w:t>Apeti</w:t>
      </w:r>
      <w:proofErr w:type="spellEnd"/>
      <w:r>
        <w:t xml:space="preserve"> and </w:t>
      </w:r>
      <w:proofErr w:type="spellStart"/>
      <w:r>
        <w:t>Gomado</w:t>
      </w:r>
      <w:proofErr w:type="spellEnd"/>
      <w:r>
        <w:t xml:space="preserve"> (2025), in </w:t>
      </w:r>
      <w:r>
        <w:rPr>
          <w:i/>
          <w:iCs/>
        </w:rPr>
        <w:t>Economics of Transition and Institutional Change</w:t>
      </w:r>
      <w:r>
        <w:t>, extended this analysis by showing that the effect of conditionalities on structural reforms is negatively mediated by initial institutional quality: where institutions are weak, conditionalities do not produce sustained reforms, suggesting a vicious cycle between conditionalities and institutional weakening.</w:t>
      </w:r>
    </w:p>
    <w:p w14:paraId="35C0BDF3" w14:textId="0F4A765B" w:rsidR="00A95A56" w:rsidRDefault="00000000">
      <w:pPr>
        <w:spacing w:after="200" w:line="360" w:lineRule="auto"/>
        <w:ind w:firstLine="720"/>
        <w:jc w:val="both"/>
      </w:pPr>
      <w:r>
        <w:t>The second stream is the literature on HIPC effectiveness and debt-relief outcomes. Presbitero (2009) showed that the growth effect of debt relief is conditioned on institutional quality, and Dijkstra (2008) documented</w:t>
      </w:r>
      <w:r w:rsidR="00F954F0">
        <w:t>, for Bolivia, Honduras, and Nicaragua,</w:t>
      </w:r>
      <w:r>
        <w:t xml:space="preserve"> that the gap between PRSP-committed spending and welfare outcomes varies systematically with state implementation capacity. Our article bridges these two streams: the mechanism that </w:t>
      </w:r>
      <w:proofErr w:type="spellStart"/>
      <w:r>
        <w:lastRenderedPageBreak/>
        <w:t>Kentikelenis</w:t>
      </w:r>
      <w:proofErr w:type="spellEnd"/>
      <w:r>
        <w:t xml:space="preserve"> et al. (2019) identify globally operates with </w:t>
      </w:r>
      <w:proofErr w:type="gramStart"/>
      <w:r>
        <w:t>particular virulence</w:t>
      </w:r>
      <w:proofErr w:type="gramEnd"/>
      <w:r>
        <w:t xml:space="preserve"> in HIPC countries because the simultaneity of privatization conditionalities (which erode state capacity) and PRSP implementation requirements (which demand it) creates a design contradiction that previous literature had not </w:t>
      </w:r>
      <w:proofErr w:type="spellStart"/>
      <w:r>
        <w:t>analysed</w:t>
      </w:r>
      <w:proofErr w:type="spellEnd"/>
      <w:r>
        <w:t xml:space="preserve"> explicitly.</w:t>
      </w:r>
    </w:p>
    <w:p w14:paraId="3E43E639" w14:textId="77777777" w:rsidR="00A95A56" w:rsidRDefault="00A95A56"/>
    <w:p w14:paraId="4DE3F578" w14:textId="5ED54F7A" w:rsidR="00A95A56" w:rsidRDefault="00000000">
      <w:pPr>
        <w:pStyle w:val="Ttulo1"/>
      </w:pPr>
      <w:r>
        <w:t>4. The four mechanisms: comparative case evidence from Nicaragua, Bolivia</w:t>
      </w:r>
      <w:r w:rsidR="00F954F0">
        <w:t>,</w:t>
      </w:r>
      <w:r>
        <w:t xml:space="preserve"> and Honduras</w:t>
      </w:r>
    </w:p>
    <w:p w14:paraId="3D4CD17D" w14:textId="4F09E22D" w:rsidR="00A95A56" w:rsidRDefault="00000000">
      <w:pPr>
        <w:spacing w:after="200" w:line="360" w:lineRule="auto"/>
        <w:ind w:firstLine="720"/>
        <w:jc w:val="both"/>
      </w:pPr>
      <w:r>
        <w:t>The econometric analysis in Section 5 establishes the panel-level relationship between privatization intensity and government effectiveness. This section complements that analysis by identifying the causal mechanisms through comparative case analysis. For each mechanism</w:t>
      </w:r>
      <w:r w:rsidR="00F954F0">
        <w:t>, we present the theoretical logic, the Nicaraguan</w:t>
      </w:r>
      <w:r>
        <w:t xml:space="preserve"> evidence as the leading case, and the contrast with Bolivia and Honduras, which function as qualitative control cases: if the mechanism operates, its intensity should be lower where privatization was more cautious (Bolivia) or more incomplete (Honduras).</w:t>
      </w:r>
    </w:p>
    <w:p w14:paraId="470D7A88" w14:textId="77777777" w:rsidR="00A95A56" w:rsidRDefault="00000000">
      <w:pPr>
        <w:pStyle w:val="Ttulo2"/>
      </w:pPr>
      <w:r>
        <w:t>4.1 Mechanism 1: regulatory vacuum and state capture</w:t>
      </w:r>
    </w:p>
    <w:p w14:paraId="6B22903D" w14:textId="546D2F42" w:rsidR="00A95A56" w:rsidRDefault="00000000">
      <w:pPr>
        <w:spacing w:after="200" w:line="360" w:lineRule="auto"/>
        <w:ind w:firstLine="720"/>
        <w:jc w:val="both"/>
      </w:pPr>
      <w:r>
        <w:t xml:space="preserve">When the state privatizes a public utility before </w:t>
      </w:r>
      <w:r w:rsidR="00F954F0">
        <w:t xml:space="preserve">establishing </w:t>
      </w:r>
      <w:proofErr w:type="gramStart"/>
      <w:r w:rsidR="00F954F0">
        <w:t>the</w:t>
      </w:r>
      <w:proofErr w:type="gramEnd"/>
      <w:r w:rsidR="00F954F0">
        <w:t xml:space="preserve"> independent regulator that should oversee it, it creates an institutional vacuum that the privatized operator informally occupies</w:t>
      </w:r>
      <w:r>
        <w:t>. In the absence of formal regulation, the private operator sets tariffs, service standards</w:t>
      </w:r>
      <w:r w:rsidR="00F954F0">
        <w:t>,</w:t>
      </w:r>
      <w:r>
        <w:t xml:space="preserve"> and access conditions according to its profit-maximization logic rather than any social welfare or universal-access criterion. Regulatory capture theory (Stigler, 1971; Laffont &amp; </w:t>
      </w:r>
      <w:proofErr w:type="spellStart"/>
      <w:r>
        <w:t>Tirole</w:t>
      </w:r>
      <w:proofErr w:type="spellEnd"/>
      <w:r>
        <w:t>, 1991) predicts that, in this context, the regulator created ex post is captured from birth: the private operator holds a radical informational advantage and has had time to cultivate relationships with relevant officials.</w:t>
      </w:r>
    </w:p>
    <w:p w14:paraId="28047663" w14:textId="5F4B2693" w:rsidR="00A95A56" w:rsidRDefault="00000000">
      <w:pPr>
        <w:spacing w:after="200" w:line="360" w:lineRule="auto"/>
        <w:ind w:firstLine="720"/>
        <w:jc w:val="both"/>
      </w:pPr>
      <w:r>
        <w:t xml:space="preserve">The privatization of Nicaraguan electricity distribution to UNION FENOSA in 2000 illustrates this mechanism with almost textbook clarity. At the time of privatization, Nicaragua lacked an operationally capable electricity sector regulator: the Instituto </w:t>
      </w:r>
      <w:proofErr w:type="spellStart"/>
      <w:r>
        <w:t>Nicaragüense</w:t>
      </w:r>
      <w:proofErr w:type="spellEnd"/>
      <w:r>
        <w:t xml:space="preserve"> de Energía (INE) had existed formally since 1979 but had no qualified engineers, no independent budget, and no executive autonomy. UNION FENOSA acquired the distributors at tariffs inherited from the Sandinista era that did not reflect real costs. The firm argued that tariffs failed to cover operating costs; the INE lacked the technical capacity to </w:t>
      </w:r>
      <w:r w:rsidR="00F954F0">
        <w:t>independently verify or refute that claim</w:t>
      </w:r>
      <w:r>
        <w:t xml:space="preserve">. The result was an escalating series of service cuts, tariff increases </w:t>
      </w:r>
      <w:r>
        <w:lastRenderedPageBreak/>
        <w:t xml:space="preserve">negotiated under extreme informational asymmetry, and infrastructure deterioration that the state also lacked </w:t>
      </w:r>
      <w:r w:rsidR="00F954F0">
        <w:t xml:space="preserve">the </w:t>
      </w:r>
      <w:r>
        <w:t>resources to monitor. When the Nicaraguan government attempted to renegotiate contractual conditions, UNION FENOSA filed compensation claims that the state was equally unable to assess.</w:t>
      </w:r>
    </w:p>
    <w:p w14:paraId="4E3E821D" w14:textId="0438A119" w:rsidR="00A95A56" w:rsidRDefault="00000000">
      <w:pPr>
        <w:spacing w:after="200" w:line="360" w:lineRule="auto"/>
        <w:ind w:firstLine="720"/>
        <w:jc w:val="both"/>
      </w:pPr>
      <w:r>
        <w:t xml:space="preserve">Bolivia, by contrast, created the SIRESE (Sectoral Regulation System) in 1994, simultaneously with the Sánchez de Lozada government's privatizations, with sector directors on fixed terms not removable for political reasons. This simultaneity created a different asymmetry: although the SIRESE was not fully independent either, its existence prior to </w:t>
      </w:r>
      <w:r w:rsidR="00F954F0">
        <w:t>the establishment of privatized operators</w:t>
      </w:r>
      <w:r>
        <w:t xml:space="preserve"> provided an institutional reference that bounded capture. Honduras, which privatized less and more incompletely, generated lower regulatory urgency, which paradoxically reduced the vacuum: residual public presence in telecommunications (HONDUTEL) and electricity (ENEE) functioned as a tariff reference anchor.</w:t>
      </w:r>
    </w:p>
    <w:p w14:paraId="4F127DAF" w14:textId="77777777" w:rsidR="00A95A56" w:rsidRDefault="00000000">
      <w:pPr>
        <w:pStyle w:val="Ttulo2"/>
      </w:pPr>
      <w:r>
        <w:t>4.2 Mechanism 2: wage collapse and adverse selection in the bureaucracy</w:t>
      </w:r>
    </w:p>
    <w:p w14:paraId="136C72AD" w14:textId="77777777" w:rsidR="00A95A56" w:rsidRDefault="00000000">
      <w:pPr>
        <w:spacing w:after="200" w:line="360" w:lineRule="auto"/>
        <w:ind w:firstLine="720"/>
        <w:jc w:val="both"/>
      </w:pPr>
      <w:r>
        <w:t xml:space="preserve">The fiscal discipline conditionality of PRGF </w:t>
      </w:r>
      <w:proofErr w:type="spellStart"/>
      <w:r>
        <w:t>programmes</w:t>
      </w:r>
      <w:proofErr w:type="spellEnd"/>
      <w:r>
        <w:t xml:space="preserve"> translated into public spending cuts that fell disproportionately on technical public sector salaries across LAC. Adverse selection theory (Akerlof, 1970) predicts that declining public wages affect civil servants with the highest human </w:t>
      </w:r>
      <w:proofErr w:type="gramStart"/>
      <w:r>
        <w:t>capital</w:t>
      </w:r>
      <w:proofErr w:type="gramEnd"/>
      <w:r>
        <w:t xml:space="preserve"> most severely—precisely those with the most outside options in the private sector or abroad.</w:t>
      </w:r>
    </w:p>
    <w:p w14:paraId="427810FE" w14:textId="18D64C6C" w:rsidR="00A95A56" w:rsidRDefault="00000000">
      <w:pPr>
        <w:spacing w:after="200" w:line="360" w:lineRule="auto"/>
        <w:ind w:firstLine="720"/>
        <w:jc w:val="both"/>
      </w:pPr>
      <w:r>
        <w:t xml:space="preserve">In Nicaragua, average real </w:t>
      </w:r>
      <w:r w:rsidR="00F954F0">
        <w:t>public-sector wages fell by 40 per cent between 1990 and 1995 (ECLAC, 2006), coinciding with the period of strongest Costa Rican economic growth, which absorbed skilled Nicaraguan professionals who had emigrated</w:t>
      </w:r>
      <w:r>
        <w:t xml:space="preserve">. The emigration was not uniform: it disproportionately affected physicians, engineers, and economics graduates. The INE, the Banking Superintendency, and the Ministry of Finance lost a significant fraction of their technical staff during this period, </w:t>
      </w:r>
      <w:r w:rsidR="00F954F0">
        <w:t>with some positions left unfilled or filled by lower-skilled officials</w:t>
      </w:r>
      <w:r>
        <w:t>. This technical hollowing-out created the context in which 1990s privatizations found a state incapable of regulating, supervising, or negotiating from a position of informational parity.</w:t>
      </w:r>
    </w:p>
    <w:p w14:paraId="1330B851" w14:textId="49E284FF" w:rsidR="00A95A56" w:rsidRDefault="00000000">
      <w:pPr>
        <w:spacing w:after="200" w:line="360" w:lineRule="auto"/>
        <w:ind w:firstLine="720"/>
        <w:jc w:val="both"/>
      </w:pPr>
      <w:r>
        <w:t xml:space="preserve">Bolivia exhibited a different pattern due to the existence of a technical ecosystem linked to the natural gas industry. Professionals with industry-specific </w:t>
      </w:r>
      <w:proofErr w:type="gramStart"/>
      <w:r>
        <w:t>skills—</w:t>
      </w:r>
      <w:proofErr w:type="gramEnd"/>
      <w:r>
        <w:t>petroleum engineers, geologists</w:t>
      </w:r>
      <w:proofErr w:type="gramStart"/>
      <w:r>
        <w:t>, natural</w:t>
      </w:r>
      <w:proofErr w:type="gramEnd"/>
      <w:r>
        <w:t xml:space="preserve">-resource regulation economists—had lower international mobility because their competencies were more valuable domestically. This sectoral anchoring of Bolivia's </w:t>
      </w:r>
      <w:r>
        <w:lastRenderedPageBreak/>
        <w:t xml:space="preserve">technical human capital reduced selective emigration and preserved a </w:t>
      </w:r>
      <w:r w:rsidR="00F954F0">
        <w:t xml:space="preserve">core of technical state capacity </w:t>
      </w:r>
      <w:r>
        <w:t xml:space="preserve">that fiscal adjustment eroded but did not destroy. Honduras, with a smaller technical base and a less knowledge-intensive export sector, experienced emigration primarily as unskilled </w:t>
      </w:r>
      <w:proofErr w:type="spellStart"/>
      <w:r>
        <w:t>labour</w:t>
      </w:r>
      <w:proofErr w:type="spellEnd"/>
      <w:r>
        <w:t xml:space="preserve"> flows to the United States, with a smaller impact on state regulatory capacity.</w:t>
      </w:r>
    </w:p>
    <w:p w14:paraId="4F1BBF4F" w14:textId="77777777" w:rsidR="00A95A56" w:rsidRDefault="00000000">
      <w:pPr>
        <w:pStyle w:val="Ttulo2"/>
      </w:pPr>
      <w:r>
        <w:t>4.3 Mechanism 3: fragmentation of public service delivery networks</w:t>
      </w:r>
    </w:p>
    <w:p w14:paraId="76872944" w14:textId="2885A556" w:rsidR="00A95A56" w:rsidRDefault="00000000">
      <w:pPr>
        <w:spacing w:after="200" w:line="360" w:lineRule="auto"/>
        <w:ind w:firstLine="720"/>
        <w:jc w:val="both"/>
      </w:pPr>
      <w:r>
        <w:t>Privatization and state reform conditionalities also affected social service delivery networks. In Nicaragua, the partial transfer of regional hospitals to civil society organizations and private foundations during the 1990s created a fragmented delivery architecture. When HIPC relief funds arrived in 2004</w:t>
      </w:r>
      <w:r w:rsidR="00F954F0">
        <w:t>,</w:t>
      </w:r>
      <w:r>
        <w:t xml:space="preserve"> and the government attempted to expand health spending under PRSP commitments, the Ministry of Health lacked the capacity to supervise private providers or ensure that spending reached services effectively. Dijkstra (2008) documents that in Nicaragua, unlike Bolivia and Honduras, the post-HIPC increase in health spending did not translate into proportional improvements in health outcomes: infant mortality fell more slowly than in countries with more integrated public delivery networks.</w:t>
      </w:r>
    </w:p>
    <w:p w14:paraId="3A47014D" w14:textId="77777777" w:rsidR="00A95A56" w:rsidRDefault="00000000">
      <w:pPr>
        <w:spacing w:after="200" w:line="360" w:lineRule="auto"/>
        <w:ind w:firstLine="720"/>
        <w:jc w:val="both"/>
      </w:pPr>
      <w:r>
        <w:t xml:space="preserve">The contrast with Bolivia is particularly instructive. The health management model developed under the Morales government from 2006 combined public investment with community participation grounded in the indigenous and trade-union organizational tradition that had survived the adjustment process. This pre-existing organizational base—which adjustment had failed to dismantle—provided the social capital needed to implement health </w:t>
      </w:r>
      <w:proofErr w:type="spellStart"/>
      <w:r>
        <w:t>programmes</w:t>
      </w:r>
      <w:proofErr w:type="spellEnd"/>
      <w:r>
        <w:t xml:space="preserve"> effectively, reducing the gap between committed spending and observed outcomes.</w:t>
      </w:r>
    </w:p>
    <w:p w14:paraId="5109BA84" w14:textId="77777777" w:rsidR="00A95A56" w:rsidRDefault="00000000">
      <w:pPr>
        <w:pStyle w:val="Ttulo2"/>
      </w:pPr>
      <w:r>
        <w:t>4.4 Mechanism 4: contingent liabilities and fiscal rigidities</w:t>
      </w:r>
    </w:p>
    <w:p w14:paraId="7D454818" w14:textId="11192940" w:rsidR="00A95A56" w:rsidRDefault="00000000">
      <w:pPr>
        <w:spacing w:after="200" w:line="360" w:lineRule="auto"/>
        <w:ind w:firstLine="720"/>
        <w:jc w:val="both"/>
      </w:pPr>
      <w:r>
        <w:t xml:space="preserve">Infrastructure privatization contracts typically include economic equilibrium clauses that guarantee the investor a minimum return and compensation in case of regulatory change. These clauses, reasonable from the private investor's perspective, become </w:t>
      </w:r>
      <w:r w:rsidR="00F954F0">
        <w:t>state-contingent liabilities that do not appear in</w:t>
      </w:r>
      <w:r>
        <w:t xml:space="preserve"> the public budget but materialize when the regulator attempts to act. Their effect on fiscal capacity is twofold: they reduce the fiscal space available for PRSP social spending, and they create rigidities that constrain the state's future regulatory autonomy.</w:t>
      </w:r>
    </w:p>
    <w:p w14:paraId="65EBC15E" w14:textId="177917EA" w:rsidR="00A95A56" w:rsidRDefault="00000000">
      <w:pPr>
        <w:spacing w:after="200" w:line="360" w:lineRule="auto"/>
        <w:ind w:firstLine="720"/>
        <w:jc w:val="both"/>
      </w:pPr>
      <w:r>
        <w:t xml:space="preserve">In Nicaragua, the UNION FENOSA crisis generated compensation claims that absorbed between 1.0 and 1.5 per cent of GDP annually in implicit energy sector subsidies during 2004–2010, according to budget execution data from the MHCP (2006). This amount </w:t>
      </w:r>
      <w:r>
        <w:lastRenderedPageBreak/>
        <w:t xml:space="preserve">is approximately one-third of the annual HIPC relief received during that period, meaning that a significant fraction of the financial benefit of debt relief was captured by contractual liabilities inherited from </w:t>
      </w:r>
      <w:r w:rsidR="00F954F0">
        <w:t xml:space="preserve">the </w:t>
      </w:r>
      <w:r>
        <w:t>1990s privatizations. Bolivia also faced liabilities from capitalization contracts, but the 2006 hydrocarbon renationalization recovered the rents that would have serviced them, creating a positive feedback loop between extractive rents and state fiscal capacity.</w:t>
      </w:r>
    </w:p>
    <w:p w14:paraId="20662EB5" w14:textId="77777777" w:rsidR="00A95A56" w:rsidRDefault="00A95A56"/>
    <w:p w14:paraId="0B1A9D64" w14:textId="77777777" w:rsidR="00A95A56" w:rsidRDefault="00000000">
      <w:pPr>
        <w:pStyle w:val="Ttulo1"/>
      </w:pPr>
      <w:r>
        <w:t>5. Econometric evidence</w:t>
      </w:r>
    </w:p>
    <w:p w14:paraId="1714AB52" w14:textId="77777777" w:rsidR="00A95A56" w:rsidRDefault="00000000">
      <w:pPr>
        <w:pStyle w:val="Ttulo2"/>
      </w:pPr>
      <w:r>
        <w:t>5.1 Empirical specification</w:t>
      </w:r>
    </w:p>
    <w:p w14:paraId="0EFD1FCA" w14:textId="77777777" w:rsidR="00A95A56" w:rsidRDefault="00000000">
      <w:pPr>
        <w:spacing w:after="200" w:line="360" w:lineRule="auto"/>
        <w:ind w:firstLine="720"/>
        <w:jc w:val="both"/>
      </w:pPr>
      <w:r>
        <w:t>The main panel model takes the form:</w:t>
      </w:r>
    </w:p>
    <w:p w14:paraId="1FB9484D" w14:textId="77777777" w:rsidR="00A95A56" w:rsidRDefault="00A95A56"/>
    <w:p w14:paraId="22176321" w14:textId="77777777" w:rsidR="00A95A56" w:rsidRDefault="00000000">
      <w:pPr>
        <w:spacing w:before="120" w:after="80"/>
        <w:jc w:val="center"/>
      </w:pPr>
      <w:r>
        <w:rPr>
          <w:b/>
          <w:bCs/>
          <w:color w:val="1F3864"/>
          <w:sz w:val="22"/>
          <w:szCs w:val="22"/>
        </w:rPr>
        <w:t>WGI-</w:t>
      </w:r>
      <w:proofErr w:type="gramStart"/>
      <w:r>
        <w:rPr>
          <w:b/>
          <w:bCs/>
          <w:color w:val="1F3864"/>
          <w:sz w:val="22"/>
          <w:szCs w:val="22"/>
        </w:rPr>
        <w:t>GEᵢₜ  =</w:t>
      </w:r>
      <w:proofErr w:type="gramEnd"/>
      <w:r>
        <w:rPr>
          <w:b/>
          <w:bCs/>
          <w:color w:val="1F3864"/>
          <w:sz w:val="22"/>
          <w:szCs w:val="22"/>
        </w:rPr>
        <w:t xml:space="preserve">  α + β₁ · </w:t>
      </w:r>
      <w:proofErr w:type="spellStart"/>
      <w:proofErr w:type="gramStart"/>
      <w:r>
        <w:rPr>
          <w:b/>
          <w:bCs/>
          <w:color w:val="1F3864"/>
          <w:sz w:val="22"/>
          <w:szCs w:val="22"/>
        </w:rPr>
        <w:t>PrivInt</w:t>
      </w:r>
      <w:proofErr w:type="spellEnd"/>
      <w:r>
        <w:rPr>
          <w:b/>
          <w:bCs/>
          <w:color w:val="1F3864"/>
          <w:sz w:val="22"/>
          <w:szCs w:val="22"/>
        </w:rPr>
        <w:t>ᵢ,ₜ₋₁  +</w:t>
      </w:r>
      <w:proofErr w:type="gramEnd"/>
      <w:r>
        <w:rPr>
          <w:b/>
          <w:bCs/>
          <w:color w:val="1F3864"/>
          <w:sz w:val="22"/>
          <w:szCs w:val="22"/>
        </w:rPr>
        <w:t xml:space="preserve">  β₂ · </w:t>
      </w:r>
      <w:proofErr w:type="gramStart"/>
      <w:r>
        <w:rPr>
          <w:b/>
          <w:bCs/>
          <w:color w:val="1F3864"/>
          <w:sz w:val="22"/>
          <w:szCs w:val="22"/>
        </w:rPr>
        <w:t>Xᵢₜ  +</w:t>
      </w:r>
      <w:proofErr w:type="gramEnd"/>
      <w:r>
        <w:rPr>
          <w:b/>
          <w:bCs/>
          <w:color w:val="1F3864"/>
          <w:sz w:val="22"/>
          <w:szCs w:val="22"/>
        </w:rPr>
        <w:t xml:space="preserve">  μ</w:t>
      </w:r>
      <w:proofErr w:type="gramStart"/>
      <w:r>
        <w:rPr>
          <w:b/>
          <w:bCs/>
          <w:color w:val="1F3864"/>
          <w:sz w:val="22"/>
          <w:szCs w:val="22"/>
        </w:rPr>
        <w:t>ᵢ  +</w:t>
      </w:r>
      <w:proofErr w:type="gramEnd"/>
      <w:r>
        <w:rPr>
          <w:b/>
          <w:bCs/>
          <w:color w:val="1F3864"/>
          <w:sz w:val="22"/>
          <w:szCs w:val="22"/>
        </w:rPr>
        <w:t xml:space="preserve">  </w:t>
      </w:r>
      <w:proofErr w:type="gramStart"/>
      <w:r>
        <w:rPr>
          <w:b/>
          <w:bCs/>
          <w:color w:val="1F3864"/>
          <w:sz w:val="22"/>
          <w:szCs w:val="22"/>
        </w:rPr>
        <w:t>λₜ  +</w:t>
      </w:r>
      <w:proofErr w:type="gramEnd"/>
      <w:r>
        <w:rPr>
          <w:b/>
          <w:bCs/>
          <w:color w:val="1F3864"/>
          <w:sz w:val="22"/>
          <w:szCs w:val="22"/>
        </w:rPr>
        <w:t xml:space="preserve">  εᵢₜ</w:t>
      </w:r>
    </w:p>
    <w:p w14:paraId="7642A275" w14:textId="77777777" w:rsidR="00A95A56" w:rsidRDefault="00A95A56"/>
    <w:p w14:paraId="755F488E" w14:textId="77777777" w:rsidR="00A95A56" w:rsidRDefault="00000000">
      <w:pPr>
        <w:spacing w:after="200" w:line="360" w:lineRule="auto"/>
        <w:ind w:firstLine="720"/>
        <w:jc w:val="both"/>
      </w:pPr>
      <w:r>
        <w:t xml:space="preserve">where WGI-GEᵢₜ is the government effectiveness index of country </w:t>
      </w:r>
      <w:r>
        <w:rPr>
          <w:i/>
          <w:iCs/>
        </w:rPr>
        <w:t>i</w:t>
      </w:r>
      <w:r>
        <w:t xml:space="preserve"> in year </w:t>
      </w:r>
      <w:r>
        <w:rPr>
          <w:i/>
          <w:iCs/>
        </w:rPr>
        <w:t>t</w:t>
      </w:r>
      <w:r>
        <w:t xml:space="preserve">; </w:t>
      </w:r>
      <w:proofErr w:type="spellStart"/>
      <w:r>
        <w:t>PrivInt</w:t>
      </w:r>
      <w:proofErr w:type="spellEnd"/>
      <w:r>
        <w:t>ᵢ,ₜ₋₁ is the privatization intensity index lagged one period; Xᵢₜ is the vector of controls; μᵢ are country fixed effects capturing time-invariant unobserved heterogeneity (colonial history, geography, political culture); λₜ are year fixed effects capturing common global shocks; and εᵢₜ is the error term clustered at the country level.</w:t>
      </w:r>
    </w:p>
    <w:p w14:paraId="636F58B5" w14:textId="458DFD94" w:rsidR="00A95A56" w:rsidRDefault="00000000">
      <w:pPr>
        <w:spacing w:after="200" w:line="360" w:lineRule="auto"/>
        <w:ind w:firstLine="720"/>
        <w:jc w:val="both"/>
      </w:pPr>
      <w:r>
        <w:t xml:space="preserve">The 2SLS specification instruments </w:t>
      </w:r>
      <w:proofErr w:type="spellStart"/>
      <w:proofErr w:type="gramStart"/>
      <w:r>
        <w:t>PrivInt</w:t>
      </w:r>
      <w:proofErr w:type="spellEnd"/>
      <w:r>
        <w:t>ᵢ,ₜ₋</w:t>
      </w:r>
      <w:proofErr w:type="gramEnd"/>
      <w:r>
        <w:t>₁ with settler mortality (</w:t>
      </w:r>
      <w:proofErr w:type="spellStart"/>
      <w:r>
        <w:t>ajr_settmort</w:t>
      </w:r>
      <w:proofErr w:type="spellEnd"/>
      <w:r>
        <w:t xml:space="preserve">). The first stage regresses </w:t>
      </w:r>
      <w:proofErr w:type="spellStart"/>
      <w:r>
        <w:t>PrivInt</w:t>
      </w:r>
      <w:proofErr w:type="spellEnd"/>
      <w:r>
        <w:t xml:space="preserve"> on </w:t>
      </w:r>
      <w:proofErr w:type="spellStart"/>
      <w:r>
        <w:t>ajr_settmort</w:t>
      </w:r>
      <w:proofErr w:type="spellEnd"/>
      <w:r>
        <w:t xml:space="preserve"> and the controls; the second stage uses </w:t>
      </w:r>
      <w:r w:rsidR="00F954F0">
        <w:t xml:space="preserve">the fitted values of </w:t>
      </w:r>
      <w:proofErr w:type="spellStart"/>
      <w:r w:rsidR="00F954F0">
        <w:t>PrivInt</w:t>
      </w:r>
      <w:proofErr w:type="spellEnd"/>
      <w:r w:rsidR="00F954F0">
        <w:t xml:space="preserve"> </w:t>
      </w:r>
      <w:r>
        <w:t>to estimate the effect on WGI-GE. Country-clustered standard errors are reported throughout. Results are robust to two-way clustered standard errors (country and year) and to the exclusion of outliers (Haiti and Bolivia post-2006).</w:t>
      </w:r>
    </w:p>
    <w:p w14:paraId="41AB11F6" w14:textId="77777777" w:rsidR="00A95A56" w:rsidRDefault="00000000">
      <w:pPr>
        <w:pStyle w:val="Ttulo2"/>
      </w:pPr>
      <w:r>
        <w:t>5.2 Main results</w:t>
      </w:r>
    </w:p>
    <w:p w14:paraId="5ADCEE05" w14:textId="77777777" w:rsidR="00A95A56" w:rsidRDefault="00A95A56"/>
    <w:p w14:paraId="68A425FB" w14:textId="77777777" w:rsidR="00A95A56" w:rsidRDefault="00000000">
      <w:pPr>
        <w:spacing w:before="200" w:after="60"/>
      </w:pPr>
      <w:r>
        <w:rPr>
          <w:b/>
          <w:bCs/>
          <w:color w:val="1F3864"/>
          <w:sz w:val="20"/>
          <w:szCs w:val="20"/>
        </w:rPr>
        <w:t>Table 2. Effect of privatization intensity on government effectiveness (WGI-GE)</w:t>
      </w:r>
    </w:p>
    <w:p w14:paraId="7C520B29" w14:textId="77777777" w:rsidR="00A95A56" w:rsidRDefault="00000000">
      <w:pPr>
        <w:spacing w:after="80"/>
      </w:pPr>
      <w:r>
        <w:rPr>
          <w:i/>
          <w:iCs/>
          <w:color w:val="444444"/>
          <w:sz w:val="19"/>
          <w:szCs w:val="19"/>
        </w:rPr>
        <w:t>Dependent variable: WGI Government Effectiveness (WGI-GE, scale −2.5 to +2.5). Sample: 27 LAC countries, 1990–2015. All models include country and year fixed effects.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60"/>
        <w:gridCol w:w="1560"/>
        <w:gridCol w:w="1560"/>
        <w:gridCol w:w="1560"/>
        <w:gridCol w:w="1560"/>
      </w:tblGrid>
      <w:tr w:rsidR="00A95A56" w14:paraId="2BEA2662" w14:textId="77777777">
        <w:tblPrEx>
          <w:tblCellMar>
            <w:top w:w="0" w:type="dxa"/>
            <w:bottom w:w="0" w:type="dxa"/>
          </w:tblCellMar>
        </w:tblPrEx>
        <w:tc>
          <w:tcPr>
            <w:tcW w:w="10000" w:type="dxa"/>
            <w:gridSpan w:val="6"/>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72832332" w14:textId="77777777" w:rsidR="00A95A56" w:rsidRDefault="00000000">
            <w:pPr>
              <w:jc w:val="center"/>
            </w:pPr>
            <w:r>
              <w:rPr>
                <w:b/>
                <w:bCs/>
                <w:color w:val="FFFFFF"/>
                <w:sz w:val="18"/>
                <w:szCs w:val="18"/>
              </w:rPr>
              <w:t>Dependent variable: WGI Government Effectiveness (WGI-GE)</w:t>
            </w:r>
          </w:p>
        </w:tc>
      </w:tr>
      <w:tr w:rsidR="00A95A56" w14:paraId="4E7437A6" w14:textId="77777777">
        <w:tblPrEx>
          <w:tblCellMar>
            <w:top w:w="0" w:type="dxa"/>
            <w:bottom w:w="0" w:type="dxa"/>
          </w:tblCellMar>
        </w:tblPrEx>
        <w:tc>
          <w:tcPr>
            <w:tcW w:w="2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50CF42C2" w14:textId="77777777" w:rsidR="00A95A56" w:rsidRDefault="00000000">
            <w:pPr>
              <w:jc w:val="center"/>
            </w:pPr>
            <w:r>
              <w:rPr>
                <w:b/>
                <w:bCs/>
                <w:color w:val="FFFFFF"/>
                <w:sz w:val="18"/>
                <w:szCs w:val="18"/>
              </w:rPr>
              <w:t>Independent variable</w:t>
            </w:r>
          </w:p>
        </w:tc>
        <w:tc>
          <w:tcPr>
            <w:tcW w:w="15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3A40FF6B" w14:textId="77777777" w:rsidR="00A95A56" w:rsidRDefault="00000000">
            <w:pPr>
              <w:jc w:val="center"/>
            </w:pPr>
            <w:r>
              <w:rPr>
                <w:b/>
                <w:bCs/>
                <w:color w:val="FFFFFF"/>
                <w:sz w:val="18"/>
                <w:szCs w:val="18"/>
              </w:rPr>
              <w:t>M1 Baseline</w:t>
            </w:r>
          </w:p>
        </w:tc>
        <w:tc>
          <w:tcPr>
            <w:tcW w:w="15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6A9377C5" w14:textId="77777777" w:rsidR="00A95A56" w:rsidRDefault="00000000">
            <w:pPr>
              <w:jc w:val="center"/>
            </w:pPr>
            <w:r>
              <w:rPr>
                <w:b/>
                <w:bCs/>
                <w:color w:val="FFFFFF"/>
                <w:sz w:val="18"/>
                <w:szCs w:val="18"/>
              </w:rPr>
              <w:t>M2 +Macro</w:t>
            </w:r>
          </w:p>
        </w:tc>
        <w:tc>
          <w:tcPr>
            <w:tcW w:w="15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3666C0D8" w14:textId="77777777" w:rsidR="00A95A56" w:rsidRDefault="00000000">
            <w:pPr>
              <w:jc w:val="center"/>
            </w:pPr>
            <w:r>
              <w:rPr>
                <w:b/>
                <w:bCs/>
                <w:color w:val="FFFFFF"/>
                <w:sz w:val="18"/>
                <w:szCs w:val="18"/>
              </w:rPr>
              <w:t xml:space="preserve">M3 </w:t>
            </w:r>
            <w:proofErr w:type="spellStart"/>
            <w:r>
              <w:rPr>
                <w:b/>
                <w:bCs/>
                <w:color w:val="FFFFFF"/>
                <w:sz w:val="18"/>
                <w:szCs w:val="18"/>
              </w:rPr>
              <w:t>Privatiz</w:t>
            </w:r>
            <w:proofErr w:type="spellEnd"/>
            <w:r>
              <w:rPr>
                <w:b/>
                <w:bCs/>
                <w:color w:val="FFFFFF"/>
                <w:sz w:val="18"/>
                <w:szCs w:val="18"/>
              </w:rPr>
              <w:t>.</w:t>
            </w:r>
          </w:p>
        </w:tc>
        <w:tc>
          <w:tcPr>
            <w:tcW w:w="15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1F00F71C" w14:textId="77777777" w:rsidR="00A95A56" w:rsidRDefault="00000000">
            <w:pPr>
              <w:jc w:val="center"/>
            </w:pPr>
            <w:r>
              <w:rPr>
                <w:b/>
                <w:bCs/>
                <w:color w:val="FFFFFF"/>
                <w:sz w:val="18"/>
                <w:szCs w:val="18"/>
              </w:rPr>
              <w:t>M4 Full</w:t>
            </w:r>
          </w:p>
        </w:tc>
        <w:tc>
          <w:tcPr>
            <w:tcW w:w="15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0314C272" w14:textId="77777777" w:rsidR="00A95A56" w:rsidRDefault="00000000">
            <w:pPr>
              <w:jc w:val="center"/>
            </w:pPr>
            <w:r>
              <w:rPr>
                <w:b/>
                <w:bCs/>
                <w:color w:val="FFFFFF"/>
                <w:sz w:val="18"/>
                <w:szCs w:val="18"/>
              </w:rPr>
              <w:t>M5 IV-2SLS</w:t>
            </w:r>
          </w:p>
        </w:tc>
      </w:tr>
      <w:tr w:rsidR="00A95A56" w14:paraId="0359714C" w14:textId="77777777">
        <w:tblPrEx>
          <w:tblCellMar>
            <w:top w:w="0" w:type="dxa"/>
            <w:bottom w:w="0" w:type="dxa"/>
          </w:tblCellMar>
        </w:tblPrEx>
        <w:tc>
          <w:tcPr>
            <w:tcW w:w="0" w:type="auto"/>
            <w:gridSpan w:val="6"/>
            <w:tcBorders>
              <w:top w:val="single" w:sz="4" w:space="0" w:color="2E5597"/>
              <w:left w:val="single" w:sz="6" w:space="0" w:color="1F3864"/>
              <w:bottom w:val="single" w:sz="4" w:space="0" w:color="2E5597"/>
              <w:right w:val="single" w:sz="6" w:space="0" w:color="1F3864"/>
            </w:tcBorders>
            <w:shd w:val="clear" w:color="auto" w:fill="EEF3FB"/>
            <w:tcMar>
              <w:top w:w="60" w:type="dxa"/>
              <w:left w:w="120" w:type="dxa"/>
              <w:bottom w:w="60" w:type="dxa"/>
              <w:right w:w="120" w:type="dxa"/>
            </w:tcMar>
          </w:tcPr>
          <w:p w14:paraId="5B87C9E6" w14:textId="77777777" w:rsidR="00A95A56" w:rsidRDefault="00000000">
            <w:r>
              <w:rPr>
                <w:b/>
                <w:bCs/>
                <w:i/>
                <w:iCs/>
                <w:color w:val="2E5597"/>
                <w:sz w:val="19"/>
                <w:szCs w:val="19"/>
              </w:rPr>
              <w:t>Panel A — Main variable of interest</w:t>
            </w:r>
          </w:p>
        </w:tc>
      </w:tr>
      <w:tr w:rsidR="00A95A56" w14:paraId="57B53E5D" w14:textId="77777777">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FAFCFF"/>
            <w:tcMar>
              <w:top w:w="60" w:type="dxa"/>
              <w:left w:w="100" w:type="dxa"/>
              <w:bottom w:w="60" w:type="dxa"/>
              <w:right w:w="100" w:type="dxa"/>
            </w:tcMar>
            <w:vAlign w:val="center"/>
          </w:tcPr>
          <w:p w14:paraId="195C23F0" w14:textId="77777777" w:rsidR="00A95A56" w:rsidRDefault="00000000">
            <w:r>
              <w:rPr>
                <w:b/>
                <w:bCs/>
                <w:color w:val="222222"/>
                <w:sz w:val="18"/>
                <w:szCs w:val="18"/>
              </w:rPr>
              <w:t>Privatization index (</w:t>
            </w:r>
            <w:proofErr w:type="spellStart"/>
            <w:r>
              <w:rPr>
                <w:b/>
                <w:bCs/>
                <w:color w:val="222222"/>
                <w:sz w:val="18"/>
                <w:szCs w:val="18"/>
              </w:rPr>
              <w:t>PrivInt</w:t>
            </w:r>
            <w:proofErr w:type="spellEnd"/>
            <w:r>
              <w:rPr>
                <w:b/>
                <w:bCs/>
                <w:color w:val="222222"/>
                <w:sz w:val="18"/>
                <w:szCs w:val="18"/>
              </w:rPr>
              <w:t>)</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7EDB71EB" w14:textId="77777777" w:rsidR="00A95A56" w:rsidRDefault="00000000">
            <w:pPr>
              <w:jc w:val="center"/>
            </w:pPr>
            <w:r>
              <w:rPr>
                <w:color w:val="222222"/>
                <w:sz w:val="18"/>
                <w:szCs w:val="18"/>
              </w:rPr>
              <w:t>—</w:t>
            </w:r>
          </w:p>
        </w:tc>
        <w:tc>
          <w:tcPr>
            <w:tcW w:w="1560" w:type="dxa"/>
            <w:tcBorders>
              <w:top w:val="single" w:sz="2" w:space="0" w:color="BBBBBB"/>
              <w:left w:val="single" w:sz="2" w:space="0" w:color="BBBBBB"/>
              <w:bottom w:val="single" w:sz="2" w:space="0" w:color="BBBBBB"/>
              <w:right w:val="single" w:sz="2" w:space="0" w:color="BBBBBB"/>
            </w:tcBorders>
            <w:shd w:val="clear" w:color="auto" w:fill="FAFAFA"/>
            <w:tcMar>
              <w:top w:w="60" w:type="dxa"/>
              <w:left w:w="100" w:type="dxa"/>
              <w:bottom w:w="60" w:type="dxa"/>
              <w:right w:w="100" w:type="dxa"/>
            </w:tcMar>
            <w:vAlign w:val="center"/>
          </w:tcPr>
          <w:p w14:paraId="43AE4C5E" w14:textId="77777777" w:rsidR="00A95A56" w:rsidRDefault="00000000">
            <w:pPr>
              <w:jc w:val="center"/>
            </w:pPr>
            <w:r>
              <w:rPr>
                <w:color w:val="222222"/>
                <w:sz w:val="18"/>
                <w:szCs w:val="18"/>
              </w:rPr>
              <w:t>—</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10B47FB4" w14:textId="77777777" w:rsidR="00A95A56" w:rsidRDefault="00000000">
            <w:pPr>
              <w:jc w:val="center"/>
            </w:pPr>
            <w:r>
              <w:rPr>
                <w:b/>
                <w:bCs/>
                <w:color w:val="222222"/>
                <w:sz w:val="18"/>
                <w:szCs w:val="18"/>
              </w:rPr>
              <w:t>−0.142***</w:t>
            </w:r>
          </w:p>
        </w:tc>
        <w:tc>
          <w:tcPr>
            <w:tcW w:w="1560" w:type="dxa"/>
            <w:tcBorders>
              <w:top w:val="single" w:sz="2" w:space="0" w:color="BBBBBB"/>
              <w:left w:val="single" w:sz="2" w:space="0" w:color="BBBBBB"/>
              <w:bottom w:val="single" w:sz="2" w:space="0" w:color="BBBBBB"/>
              <w:right w:val="single" w:sz="2" w:space="0" w:color="BBBBBB"/>
            </w:tcBorders>
            <w:shd w:val="clear" w:color="auto" w:fill="FAFAFA"/>
            <w:tcMar>
              <w:top w:w="60" w:type="dxa"/>
              <w:left w:w="100" w:type="dxa"/>
              <w:bottom w:w="60" w:type="dxa"/>
              <w:right w:w="100" w:type="dxa"/>
            </w:tcMar>
            <w:vAlign w:val="center"/>
          </w:tcPr>
          <w:p w14:paraId="7793CFCA" w14:textId="77777777" w:rsidR="00A95A56" w:rsidRDefault="00000000">
            <w:pPr>
              <w:jc w:val="center"/>
            </w:pPr>
            <w:r>
              <w:rPr>
                <w:b/>
                <w:bCs/>
                <w:color w:val="222222"/>
                <w:sz w:val="18"/>
                <w:szCs w:val="18"/>
              </w:rPr>
              <w:t>−0.118**</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7C976972" w14:textId="77777777" w:rsidR="00A95A56" w:rsidRDefault="00000000">
            <w:pPr>
              <w:jc w:val="center"/>
            </w:pPr>
            <w:r>
              <w:rPr>
                <w:b/>
                <w:bCs/>
                <w:color w:val="222222"/>
                <w:sz w:val="18"/>
                <w:szCs w:val="18"/>
              </w:rPr>
              <w:t>−0.201***</w:t>
            </w:r>
          </w:p>
        </w:tc>
      </w:tr>
      <w:tr w:rsidR="00A95A56" w14:paraId="16961876" w14:textId="77777777">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5F264AAD" w14:textId="77777777" w:rsidR="00A95A56" w:rsidRDefault="00A95A56">
            <w:pPr>
              <w:jc w:val="center"/>
            </w:pP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5B0BC755" w14:textId="77777777" w:rsidR="00A95A56" w:rsidRDefault="00A95A56">
            <w:pPr>
              <w:jc w:val="center"/>
            </w:pPr>
          </w:p>
        </w:tc>
        <w:tc>
          <w:tcPr>
            <w:tcW w:w="1560" w:type="dxa"/>
            <w:tcBorders>
              <w:top w:val="single" w:sz="2" w:space="0" w:color="BBBBBB"/>
              <w:left w:val="single" w:sz="2" w:space="0" w:color="BBBBBB"/>
              <w:bottom w:val="single" w:sz="2" w:space="0" w:color="BBBBBB"/>
              <w:right w:val="single" w:sz="2" w:space="0" w:color="BBBBBB"/>
            </w:tcBorders>
            <w:shd w:val="clear" w:color="auto" w:fill="E8EFF8"/>
            <w:tcMar>
              <w:top w:w="60" w:type="dxa"/>
              <w:left w:w="100" w:type="dxa"/>
              <w:bottom w:w="60" w:type="dxa"/>
              <w:right w:w="100" w:type="dxa"/>
            </w:tcMar>
            <w:vAlign w:val="center"/>
          </w:tcPr>
          <w:p w14:paraId="6DEAE4B6" w14:textId="77777777" w:rsidR="00A95A56" w:rsidRDefault="00A95A56">
            <w:pPr>
              <w:jc w:val="center"/>
            </w:pP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67551C57" w14:textId="77777777" w:rsidR="00A95A56" w:rsidRDefault="00000000">
            <w:pPr>
              <w:jc w:val="center"/>
            </w:pPr>
            <w:r>
              <w:rPr>
                <w:i/>
                <w:iCs/>
                <w:color w:val="222222"/>
                <w:sz w:val="18"/>
                <w:szCs w:val="18"/>
              </w:rPr>
              <w:t>(0.041)</w:t>
            </w:r>
          </w:p>
        </w:tc>
        <w:tc>
          <w:tcPr>
            <w:tcW w:w="1560" w:type="dxa"/>
            <w:tcBorders>
              <w:top w:val="single" w:sz="2" w:space="0" w:color="BBBBBB"/>
              <w:left w:val="single" w:sz="2" w:space="0" w:color="BBBBBB"/>
              <w:bottom w:val="single" w:sz="2" w:space="0" w:color="BBBBBB"/>
              <w:right w:val="single" w:sz="2" w:space="0" w:color="BBBBBB"/>
            </w:tcBorders>
            <w:shd w:val="clear" w:color="auto" w:fill="E8EFF8"/>
            <w:tcMar>
              <w:top w:w="60" w:type="dxa"/>
              <w:left w:w="100" w:type="dxa"/>
              <w:bottom w:w="60" w:type="dxa"/>
              <w:right w:w="100" w:type="dxa"/>
            </w:tcMar>
            <w:vAlign w:val="center"/>
          </w:tcPr>
          <w:p w14:paraId="472D2A1E" w14:textId="77777777" w:rsidR="00A95A56" w:rsidRDefault="00000000">
            <w:pPr>
              <w:jc w:val="center"/>
            </w:pPr>
            <w:r>
              <w:rPr>
                <w:i/>
                <w:iCs/>
                <w:color w:val="222222"/>
                <w:sz w:val="18"/>
                <w:szCs w:val="18"/>
              </w:rPr>
              <w:t>(0.049)</w:t>
            </w: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2AB5AC0C" w14:textId="77777777" w:rsidR="00A95A56" w:rsidRDefault="00000000">
            <w:pPr>
              <w:jc w:val="center"/>
            </w:pPr>
            <w:r>
              <w:rPr>
                <w:i/>
                <w:iCs/>
                <w:color w:val="222222"/>
                <w:sz w:val="18"/>
                <w:szCs w:val="18"/>
              </w:rPr>
              <w:t>(0.063)</w:t>
            </w:r>
          </w:p>
        </w:tc>
      </w:tr>
      <w:tr w:rsidR="00A95A56" w14:paraId="6C404821" w14:textId="77777777">
        <w:tblPrEx>
          <w:tblCellMar>
            <w:top w:w="0" w:type="dxa"/>
            <w:bottom w:w="0" w:type="dxa"/>
          </w:tblCellMar>
        </w:tblPrEx>
        <w:tc>
          <w:tcPr>
            <w:tcW w:w="0" w:type="auto"/>
            <w:gridSpan w:val="6"/>
            <w:tcBorders>
              <w:top w:val="single" w:sz="4" w:space="0" w:color="2E5597"/>
              <w:left w:val="single" w:sz="6" w:space="0" w:color="1F3864"/>
              <w:bottom w:val="single" w:sz="4" w:space="0" w:color="2E5597"/>
              <w:right w:val="single" w:sz="6" w:space="0" w:color="1F3864"/>
            </w:tcBorders>
            <w:shd w:val="clear" w:color="auto" w:fill="EEF3FB"/>
            <w:tcMar>
              <w:top w:w="60" w:type="dxa"/>
              <w:left w:w="120" w:type="dxa"/>
              <w:bottom w:w="60" w:type="dxa"/>
              <w:right w:w="120" w:type="dxa"/>
            </w:tcMar>
          </w:tcPr>
          <w:p w14:paraId="17352104" w14:textId="77777777" w:rsidR="00A95A56" w:rsidRDefault="00000000">
            <w:r>
              <w:rPr>
                <w:b/>
                <w:bCs/>
                <w:i/>
                <w:iCs/>
                <w:color w:val="2E5597"/>
                <w:sz w:val="19"/>
                <w:szCs w:val="19"/>
              </w:rPr>
              <w:t>Panel B — Macroeconomic controls</w:t>
            </w:r>
          </w:p>
        </w:tc>
      </w:tr>
      <w:tr w:rsidR="00A95A56" w14:paraId="1188AABE" w14:textId="77777777">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FAFCFF"/>
            <w:tcMar>
              <w:top w:w="60" w:type="dxa"/>
              <w:left w:w="100" w:type="dxa"/>
              <w:bottom w:w="60" w:type="dxa"/>
              <w:right w:w="100" w:type="dxa"/>
            </w:tcMar>
            <w:vAlign w:val="center"/>
          </w:tcPr>
          <w:p w14:paraId="791C043C" w14:textId="77777777" w:rsidR="00A95A56" w:rsidRDefault="00000000">
            <w:r>
              <w:rPr>
                <w:b/>
                <w:bCs/>
                <w:color w:val="222222"/>
                <w:sz w:val="18"/>
                <w:szCs w:val="18"/>
              </w:rPr>
              <w:t>ln GDP per capita</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42DB6184" w14:textId="77777777" w:rsidR="00A95A56" w:rsidRDefault="00000000">
            <w:pPr>
              <w:jc w:val="center"/>
            </w:pPr>
            <w:r>
              <w:rPr>
                <w:b/>
                <w:bCs/>
                <w:color w:val="222222"/>
                <w:sz w:val="18"/>
                <w:szCs w:val="18"/>
              </w:rPr>
              <w:t>0.289***</w:t>
            </w:r>
          </w:p>
        </w:tc>
        <w:tc>
          <w:tcPr>
            <w:tcW w:w="1560" w:type="dxa"/>
            <w:tcBorders>
              <w:top w:val="single" w:sz="2" w:space="0" w:color="BBBBBB"/>
              <w:left w:val="single" w:sz="2" w:space="0" w:color="BBBBBB"/>
              <w:bottom w:val="single" w:sz="2" w:space="0" w:color="BBBBBB"/>
              <w:right w:val="single" w:sz="2" w:space="0" w:color="BBBBBB"/>
            </w:tcBorders>
            <w:shd w:val="clear" w:color="auto" w:fill="FAFAFA"/>
            <w:tcMar>
              <w:top w:w="60" w:type="dxa"/>
              <w:left w:w="100" w:type="dxa"/>
              <w:bottom w:w="60" w:type="dxa"/>
              <w:right w:w="100" w:type="dxa"/>
            </w:tcMar>
            <w:vAlign w:val="center"/>
          </w:tcPr>
          <w:p w14:paraId="7538D832" w14:textId="77777777" w:rsidR="00A95A56" w:rsidRDefault="00000000">
            <w:pPr>
              <w:jc w:val="center"/>
            </w:pPr>
            <w:r>
              <w:rPr>
                <w:b/>
                <w:bCs/>
                <w:color w:val="222222"/>
                <w:sz w:val="18"/>
                <w:szCs w:val="18"/>
              </w:rPr>
              <w:t>0.241***</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20CAEECD" w14:textId="77777777" w:rsidR="00A95A56" w:rsidRDefault="00000000">
            <w:pPr>
              <w:jc w:val="center"/>
            </w:pPr>
            <w:r>
              <w:rPr>
                <w:color w:val="222222"/>
                <w:sz w:val="18"/>
                <w:szCs w:val="18"/>
              </w:rPr>
              <w:t>—</w:t>
            </w:r>
          </w:p>
        </w:tc>
        <w:tc>
          <w:tcPr>
            <w:tcW w:w="1560" w:type="dxa"/>
            <w:tcBorders>
              <w:top w:val="single" w:sz="2" w:space="0" w:color="BBBBBB"/>
              <w:left w:val="single" w:sz="2" w:space="0" w:color="BBBBBB"/>
              <w:bottom w:val="single" w:sz="2" w:space="0" w:color="BBBBBB"/>
              <w:right w:val="single" w:sz="2" w:space="0" w:color="BBBBBB"/>
            </w:tcBorders>
            <w:shd w:val="clear" w:color="auto" w:fill="FAFAFA"/>
            <w:tcMar>
              <w:top w:w="60" w:type="dxa"/>
              <w:left w:w="100" w:type="dxa"/>
              <w:bottom w:w="60" w:type="dxa"/>
              <w:right w:w="100" w:type="dxa"/>
            </w:tcMar>
            <w:vAlign w:val="center"/>
          </w:tcPr>
          <w:p w14:paraId="2437F309" w14:textId="77777777" w:rsidR="00A95A56" w:rsidRDefault="00000000">
            <w:pPr>
              <w:jc w:val="center"/>
            </w:pPr>
            <w:r>
              <w:rPr>
                <w:b/>
                <w:bCs/>
                <w:color w:val="222222"/>
                <w:sz w:val="18"/>
                <w:szCs w:val="18"/>
              </w:rPr>
              <w:t>0.218***</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11735B77" w14:textId="77777777" w:rsidR="00A95A56" w:rsidRDefault="00000000">
            <w:pPr>
              <w:jc w:val="center"/>
            </w:pPr>
            <w:r>
              <w:rPr>
                <w:b/>
                <w:bCs/>
                <w:color w:val="222222"/>
                <w:sz w:val="18"/>
                <w:szCs w:val="18"/>
              </w:rPr>
              <w:t>0.203***</w:t>
            </w:r>
          </w:p>
        </w:tc>
      </w:tr>
      <w:tr w:rsidR="00A95A56" w14:paraId="42030CB9" w14:textId="77777777">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430AEB94" w14:textId="77777777" w:rsidR="00A95A56" w:rsidRDefault="00A95A56">
            <w:pPr>
              <w:jc w:val="center"/>
            </w:pP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14FC5B38" w14:textId="77777777" w:rsidR="00A95A56" w:rsidRDefault="00000000">
            <w:pPr>
              <w:jc w:val="center"/>
            </w:pPr>
            <w:r>
              <w:rPr>
                <w:i/>
                <w:iCs/>
                <w:color w:val="222222"/>
                <w:sz w:val="18"/>
                <w:szCs w:val="18"/>
              </w:rPr>
              <w:t>(0.052)</w:t>
            </w:r>
          </w:p>
        </w:tc>
        <w:tc>
          <w:tcPr>
            <w:tcW w:w="1560" w:type="dxa"/>
            <w:tcBorders>
              <w:top w:val="single" w:sz="2" w:space="0" w:color="BBBBBB"/>
              <w:left w:val="single" w:sz="2" w:space="0" w:color="BBBBBB"/>
              <w:bottom w:val="single" w:sz="2" w:space="0" w:color="BBBBBB"/>
              <w:right w:val="single" w:sz="2" w:space="0" w:color="BBBBBB"/>
            </w:tcBorders>
            <w:shd w:val="clear" w:color="auto" w:fill="E8EFF8"/>
            <w:tcMar>
              <w:top w:w="60" w:type="dxa"/>
              <w:left w:w="100" w:type="dxa"/>
              <w:bottom w:w="60" w:type="dxa"/>
              <w:right w:w="100" w:type="dxa"/>
            </w:tcMar>
            <w:vAlign w:val="center"/>
          </w:tcPr>
          <w:p w14:paraId="30442DA4" w14:textId="77777777" w:rsidR="00A95A56" w:rsidRDefault="00000000">
            <w:pPr>
              <w:jc w:val="center"/>
            </w:pPr>
            <w:r>
              <w:rPr>
                <w:i/>
                <w:iCs/>
                <w:color w:val="222222"/>
                <w:sz w:val="18"/>
                <w:szCs w:val="18"/>
              </w:rPr>
              <w:t>(0.058)</w:t>
            </w: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4297AC31" w14:textId="77777777" w:rsidR="00A95A56" w:rsidRDefault="00A95A56">
            <w:pPr>
              <w:jc w:val="center"/>
            </w:pPr>
          </w:p>
        </w:tc>
        <w:tc>
          <w:tcPr>
            <w:tcW w:w="1560" w:type="dxa"/>
            <w:tcBorders>
              <w:top w:val="single" w:sz="2" w:space="0" w:color="BBBBBB"/>
              <w:left w:val="single" w:sz="2" w:space="0" w:color="BBBBBB"/>
              <w:bottom w:val="single" w:sz="2" w:space="0" w:color="BBBBBB"/>
              <w:right w:val="single" w:sz="2" w:space="0" w:color="BBBBBB"/>
            </w:tcBorders>
            <w:shd w:val="clear" w:color="auto" w:fill="E8EFF8"/>
            <w:tcMar>
              <w:top w:w="60" w:type="dxa"/>
              <w:left w:w="100" w:type="dxa"/>
              <w:bottom w:w="60" w:type="dxa"/>
              <w:right w:w="100" w:type="dxa"/>
            </w:tcMar>
            <w:vAlign w:val="center"/>
          </w:tcPr>
          <w:p w14:paraId="4FB5B5CE" w14:textId="77777777" w:rsidR="00A95A56" w:rsidRDefault="00000000">
            <w:pPr>
              <w:jc w:val="center"/>
            </w:pPr>
            <w:r>
              <w:rPr>
                <w:i/>
                <w:iCs/>
                <w:color w:val="222222"/>
                <w:sz w:val="18"/>
                <w:szCs w:val="18"/>
              </w:rPr>
              <w:t>(0.061)</w:t>
            </w: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090C9028" w14:textId="77777777" w:rsidR="00A95A56" w:rsidRDefault="00000000">
            <w:pPr>
              <w:jc w:val="center"/>
            </w:pPr>
            <w:r>
              <w:rPr>
                <w:i/>
                <w:iCs/>
                <w:color w:val="222222"/>
                <w:sz w:val="18"/>
                <w:szCs w:val="18"/>
              </w:rPr>
              <w:t>(0.067)</w:t>
            </w:r>
          </w:p>
        </w:tc>
      </w:tr>
      <w:tr w:rsidR="00A95A56" w14:paraId="728F8D93" w14:textId="77777777">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FAFCFF"/>
            <w:tcMar>
              <w:top w:w="60" w:type="dxa"/>
              <w:left w:w="100" w:type="dxa"/>
              <w:bottom w:w="60" w:type="dxa"/>
              <w:right w:w="100" w:type="dxa"/>
            </w:tcMar>
            <w:vAlign w:val="center"/>
          </w:tcPr>
          <w:p w14:paraId="0A0BE5E9" w14:textId="77777777" w:rsidR="00A95A56" w:rsidRDefault="00000000">
            <w:r>
              <w:rPr>
                <w:b/>
                <w:bCs/>
                <w:color w:val="222222"/>
                <w:sz w:val="18"/>
                <w:szCs w:val="18"/>
              </w:rPr>
              <w:t>Trade openness (% GDP)</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057FC0D0" w14:textId="77777777" w:rsidR="00A95A56" w:rsidRDefault="00000000">
            <w:pPr>
              <w:jc w:val="center"/>
            </w:pPr>
            <w:r>
              <w:rPr>
                <w:color w:val="222222"/>
                <w:sz w:val="18"/>
                <w:szCs w:val="18"/>
              </w:rPr>
              <w:t>0.041</w:t>
            </w:r>
          </w:p>
        </w:tc>
        <w:tc>
          <w:tcPr>
            <w:tcW w:w="1560" w:type="dxa"/>
            <w:tcBorders>
              <w:top w:val="single" w:sz="2" w:space="0" w:color="BBBBBB"/>
              <w:left w:val="single" w:sz="2" w:space="0" w:color="BBBBBB"/>
              <w:bottom w:val="single" w:sz="2" w:space="0" w:color="BBBBBB"/>
              <w:right w:val="single" w:sz="2" w:space="0" w:color="BBBBBB"/>
            </w:tcBorders>
            <w:shd w:val="clear" w:color="auto" w:fill="FAFAFA"/>
            <w:tcMar>
              <w:top w:w="60" w:type="dxa"/>
              <w:left w:w="100" w:type="dxa"/>
              <w:bottom w:w="60" w:type="dxa"/>
              <w:right w:w="100" w:type="dxa"/>
            </w:tcMar>
            <w:vAlign w:val="center"/>
          </w:tcPr>
          <w:p w14:paraId="1114A2A3" w14:textId="77777777" w:rsidR="00A95A56" w:rsidRDefault="00000000">
            <w:pPr>
              <w:jc w:val="center"/>
            </w:pPr>
            <w:r>
              <w:rPr>
                <w:color w:val="222222"/>
                <w:sz w:val="18"/>
                <w:szCs w:val="18"/>
              </w:rPr>
              <w:t>0.038</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5FB00E18" w14:textId="77777777" w:rsidR="00A95A56" w:rsidRDefault="00000000">
            <w:pPr>
              <w:jc w:val="center"/>
            </w:pPr>
            <w:r>
              <w:rPr>
                <w:color w:val="222222"/>
                <w:sz w:val="18"/>
                <w:szCs w:val="18"/>
              </w:rPr>
              <w:t>—</w:t>
            </w:r>
          </w:p>
        </w:tc>
        <w:tc>
          <w:tcPr>
            <w:tcW w:w="1560" w:type="dxa"/>
            <w:tcBorders>
              <w:top w:val="single" w:sz="2" w:space="0" w:color="BBBBBB"/>
              <w:left w:val="single" w:sz="2" w:space="0" w:color="BBBBBB"/>
              <w:bottom w:val="single" w:sz="2" w:space="0" w:color="BBBBBB"/>
              <w:right w:val="single" w:sz="2" w:space="0" w:color="BBBBBB"/>
            </w:tcBorders>
            <w:shd w:val="clear" w:color="auto" w:fill="FAFAFA"/>
            <w:tcMar>
              <w:top w:w="60" w:type="dxa"/>
              <w:left w:w="100" w:type="dxa"/>
              <w:bottom w:w="60" w:type="dxa"/>
              <w:right w:w="100" w:type="dxa"/>
            </w:tcMar>
            <w:vAlign w:val="center"/>
          </w:tcPr>
          <w:p w14:paraId="0019A87B" w14:textId="77777777" w:rsidR="00A95A56" w:rsidRDefault="00000000">
            <w:pPr>
              <w:jc w:val="center"/>
            </w:pPr>
            <w:r>
              <w:rPr>
                <w:color w:val="222222"/>
                <w:sz w:val="18"/>
                <w:szCs w:val="18"/>
              </w:rPr>
              <w:t>0.029</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73613087" w14:textId="77777777" w:rsidR="00A95A56" w:rsidRDefault="00000000">
            <w:pPr>
              <w:jc w:val="center"/>
            </w:pPr>
            <w:r>
              <w:rPr>
                <w:color w:val="222222"/>
                <w:sz w:val="18"/>
                <w:szCs w:val="18"/>
              </w:rPr>
              <w:t>0.031</w:t>
            </w:r>
          </w:p>
        </w:tc>
      </w:tr>
      <w:tr w:rsidR="00A95A56" w14:paraId="74138BEF" w14:textId="77777777">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0837227D" w14:textId="77777777" w:rsidR="00A95A56" w:rsidRDefault="00A95A56">
            <w:pPr>
              <w:jc w:val="center"/>
            </w:pP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4632C00B" w14:textId="77777777" w:rsidR="00A95A56" w:rsidRDefault="00000000">
            <w:pPr>
              <w:jc w:val="center"/>
            </w:pPr>
            <w:r>
              <w:rPr>
                <w:i/>
                <w:iCs/>
                <w:color w:val="222222"/>
                <w:sz w:val="18"/>
                <w:szCs w:val="18"/>
              </w:rPr>
              <w:t>(0.031)</w:t>
            </w:r>
          </w:p>
        </w:tc>
        <w:tc>
          <w:tcPr>
            <w:tcW w:w="1560" w:type="dxa"/>
            <w:tcBorders>
              <w:top w:val="single" w:sz="2" w:space="0" w:color="BBBBBB"/>
              <w:left w:val="single" w:sz="2" w:space="0" w:color="BBBBBB"/>
              <w:bottom w:val="single" w:sz="2" w:space="0" w:color="BBBBBB"/>
              <w:right w:val="single" w:sz="2" w:space="0" w:color="BBBBBB"/>
            </w:tcBorders>
            <w:shd w:val="clear" w:color="auto" w:fill="E8EFF8"/>
            <w:tcMar>
              <w:top w:w="60" w:type="dxa"/>
              <w:left w:w="100" w:type="dxa"/>
              <w:bottom w:w="60" w:type="dxa"/>
              <w:right w:w="100" w:type="dxa"/>
            </w:tcMar>
            <w:vAlign w:val="center"/>
          </w:tcPr>
          <w:p w14:paraId="23FE4D66" w14:textId="77777777" w:rsidR="00A95A56" w:rsidRDefault="00000000">
            <w:pPr>
              <w:jc w:val="center"/>
            </w:pPr>
            <w:r>
              <w:rPr>
                <w:i/>
                <w:iCs/>
                <w:color w:val="222222"/>
                <w:sz w:val="18"/>
                <w:szCs w:val="18"/>
              </w:rPr>
              <w:t>(0.033)</w:t>
            </w: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6DEC0F01" w14:textId="77777777" w:rsidR="00A95A56" w:rsidRDefault="00A95A56">
            <w:pPr>
              <w:jc w:val="center"/>
            </w:pPr>
          </w:p>
        </w:tc>
        <w:tc>
          <w:tcPr>
            <w:tcW w:w="1560" w:type="dxa"/>
            <w:tcBorders>
              <w:top w:val="single" w:sz="2" w:space="0" w:color="BBBBBB"/>
              <w:left w:val="single" w:sz="2" w:space="0" w:color="BBBBBB"/>
              <w:bottom w:val="single" w:sz="2" w:space="0" w:color="BBBBBB"/>
              <w:right w:val="single" w:sz="2" w:space="0" w:color="BBBBBB"/>
            </w:tcBorders>
            <w:shd w:val="clear" w:color="auto" w:fill="E8EFF8"/>
            <w:tcMar>
              <w:top w:w="60" w:type="dxa"/>
              <w:left w:w="100" w:type="dxa"/>
              <w:bottom w:w="60" w:type="dxa"/>
              <w:right w:w="100" w:type="dxa"/>
            </w:tcMar>
            <w:vAlign w:val="center"/>
          </w:tcPr>
          <w:p w14:paraId="1408881C" w14:textId="77777777" w:rsidR="00A95A56" w:rsidRDefault="00000000">
            <w:pPr>
              <w:jc w:val="center"/>
            </w:pPr>
            <w:r>
              <w:rPr>
                <w:i/>
                <w:iCs/>
                <w:color w:val="222222"/>
                <w:sz w:val="18"/>
                <w:szCs w:val="18"/>
              </w:rPr>
              <w:t>(0.034)</w:t>
            </w: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265A5FA2" w14:textId="77777777" w:rsidR="00A95A56" w:rsidRDefault="00000000">
            <w:pPr>
              <w:jc w:val="center"/>
            </w:pPr>
            <w:r>
              <w:rPr>
                <w:i/>
                <w:iCs/>
                <w:color w:val="222222"/>
                <w:sz w:val="18"/>
                <w:szCs w:val="18"/>
              </w:rPr>
              <w:t>(0.035)</w:t>
            </w:r>
          </w:p>
        </w:tc>
      </w:tr>
      <w:tr w:rsidR="00A95A56" w14:paraId="35013883" w14:textId="77777777">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FAFCFF"/>
            <w:tcMar>
              <w:top w:w="60" w:type="dxa"/>
              <w:left w:w="100" w:type="dxa"/>
              <w:bottom w:w="60" w:type="dxa"/>
              <w:right w:w="100" w:type="dxa"/>
            </w:tcMar>
            <w:vAlign w:val="center"/>
          </w:tcPr>
          <w:p w14:paraId="2CEC57F8" w14:textId="77777777" w:rsidR="00A95A56" w:rsidRDefault="00000000">
            <w:r>
              <w:rPr>
                <w:b/>
                <w:bCs/>
                <w:color w:val="222222"/>
                <w:sz w:val="18"/>
                <w:szCs w:val="18"/>
              </w:rPr>
              <w:t>Inflation (log)</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01F7A096" w14:textId="77777777" w:rsidR="00A95A56" w:rsidRDefault="00000000">
            <w:pPr>
              <w:jc w:val="center"/>
            </w:pPr>
            <w:r>
              <w:rPr>
                <w:b/>
                <w:bCs/>
                <w:color w:val="222222"/>
                <w:sz w:val="18"/>
                <w:szCs w:val="18"/>
              </w:rPr>
              <w:t>−0.018**</w:t>
            </w:r>
          </w:p>
        </w:tc>
        <w:tc>
          <w:tcPr>
            <w:tcW w:w="1560" w:type="dxa"/>
            <w:tcBorders>
              <w:top w:val="single" w:sz="2" w:space="0" w:color="BBBBBB"/>
              <w:left w:val="single" w:sz="2" w:space="0" w:color="BBBBBB"/>
              <w:bottom w:val="single" w:sz="2" w:space="0" w:color="BBBBBB"/>
              <w:right w:val="single" w:sz="2" w:space="0" w:color="BBBBBB"/>
            </w:tcBorders>
            <w:shd w:val="clear" w:color="auto" w:fill="FAFAFA"/>
            <w:tcMar>
              <w:top w:w="60" w:type="dxa"/>
              <w:left w:w="100" w:type="dxa"/>
              <w:bottom w:w="60" w:type="dxa"/>
              <w:right w:w="100" w:type="dxa"/>
            </w:tcMar>
            <w:vAlign w:val="center"/>
          </w:tcPr>
          <w:p w14:paraId="13D845A7" w14:textId="77777777" w:rsidR="00A95A56" w:rsidRDefault="00000000">
            <w:pPr>
              <w:jc w:val="center"/>
            </w:pPr>
            <w:r>
              <w:rPr>
                <w:b/>
                <w:bCs/>
                <w:color w:val="222222"/>
                <w:sz w:val="18"/>
                <w:szCs w:val="18"/>
              </w:rPr>
              <w:t>−0.015*</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6AF4E31F" w14:textId="77777777" w:rsidR="00A95A56" w:rsidRDefault="00000000">
            <w:pPr>
              <w:jc w:val="center"/>
            </w:pPr>
            <w:r>
              <w:rPr>
                <w:color w:val="222222"/>
                <w:sz w:val="18"/>
                <w:szCs w:val="18"/>
              </w:rPr>
              <w:t>—</w:t>
            </w:r>
          </w:p>
        </w:tc>
        <w:tc>
          <w:tcPr>
            <w:tcW w:w="1560" w:type="dxa"/>
            <w:tcBorders>
              <w:top w:val="single" w:sz="2" w:space="0" w:color="BBBBBB"/>
              <w:left w:val="single" w:sz="2" w:space="0" w:color="BBBBBB"/>
              <w:bottom w:val="single" w:sz="2" w:space="0" w:color="BBBBBB"/>
              <w:right w:val="single" w:sz="2" w:space="0" w:color="BBBBBB"/>
            </w:tcBorders>
            <w:shd w:val="clear" w:color="auto" w:fill="FAFAFA"/>
            <w:tcMar>
              <w:top w:w="60" w:type="dxa"/>
              <w:left w:w="100" w:type="dxa"/>
              <w:bottom w:w="60" w:type="dxa"/>
              <w:right w:w="100" w:type="dxa"/>
            </w:tcMar>
            <w:vAlign w:val="center"/>
          </w:tcPr>
          <w:p w14:paraId="4FBA09BB" w14:textId="77777777" w:rsidR="00A95A56" w:rsidRDefault="00000000">
            <w:pPr>
              <w:jc w:val="center"/>
            </w:pPr>
            <w:r>
              <w:rPr>
                <w:color w:val="222222"/>
                <w:sz w:val="18"/>
                <w:szCs w:val="18"/>
              </w:rPr>
              <w:t>−0.013</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2F14334F" w14:textId="77777777" w:rsidR="00A95A56" w:rsidRDefault="00000000">
            <w:pPr>
              <w:jc w:val="center"/>
            </w:pPr>
            <w:r>
              <w:rPr>
                <w:color w:val="222222"/>
                <w:sz w:val="18"/>
                <w:szCs w:val="18"/>
              </w:rPr>
              <w:t>−0.014</w:t>
            </w:r>
          </w:p>
        </w:tc>
      </w:tr>
      <w:tr w:rsidR="00A95A56" w14:paraId="41F919BA" w14:textId="77777777">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0AE1D921" w14:textId="77777777" w:rsidR="00A95A56" w:rsidRDefault="00A95A56">
            <w:pPr>
              <w:jc w:val="center"/>
            </w:pP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15536ACF" w14:textId="77777777" w:rsidR="00A95A56" w:rsidRDefault="00000000">
            <w:pPr>
              <w:jc w:val="center"/>
            </w:pPr>
            <w:r>
              <w:rPr>
                <w:i/>
                <w:iCs/>
                <w:color w:val="222222"/>
                <w:sz w:val="18"/>
                <w:szCs w:val="18"/>
              </w:rPr>
              <w:t>(0.008)</w:t>
            </w:r>
          </w:p>
        </w:tc>
        <w:tc>
          <w:tcPr>
            <w:tcW w:w="1560" w:type="dxa"/>
            <w:tcBorders>
              <w:top w:val="single" w:sz="2" w:space="0" w:color="BBBBBB"/>
              <w:left w:val="single" w:sz="2" w:space="0" w:color="BBBBBB"/>
              <w:bottom w:val="single" w:sz="2" w:space="0" w:color="BBBBBB"/>
              <w:right w:val="single" w:sz="2" w:space="0" w:color="BBBBBB"/>
            </w:tcBorders>
            <w:shd w:val="clear" w:color="auto" w:fill="E8EFF8"/>
            <w:tcMar>
              <w:top w:w="60" w:type="dxa"/>
              <w:left w:w="100" w:type="dxa"/>
              <w:bottom w:w="60" w:type="dxa"/>
              <w:right w:w="100" w:type="dxa"/>
            </w:tcMar>
            <w:vAlign w:val="center"/>
          </w:tcPr>
          <w:p w14:paraId="3C3533EF" w14:textId="77777777" w:rsidR="00A95A56" w:rsidRDefault="00000000">
            <w:pPr>
              <w:jc w:val="center"/>
            </w:pPr>
            <w:r>
              <w:rPr>
                <w:i/>
                <w:iCs/>
                <w:color w:val="222222"/>
                <w:sz w:val="18"/>
                <w:szCs w:val="18"/>
              </w:rPr>
              <w:t>(0.008)</w:t>
            </w: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60161C28" w14:textId="77777777" w:rsidR="00A95A56" w:rsidRDefault="00A95A56">
            <w:pPr>
              <w:jc w:val="center"/>
            </w:pPr>
          </w:p>
        </w:tc>
        <w:tc>
          <w:tcPr>
            <w:tcW w:w="1560" w:type="dxa"/>
            <w:tcBorders>
              <w:top w:val="single" w:sz="2" w:space="0" w:color="BBBBBB"/>
              <w:left w:val="single" w:sz="2" w:space="0" w:color="BBBBBB"/>
              <w:bottom w:val="single" w:sz="2" w:space="0" w:color="BBBBBB"/>
              <w:right w:val="single" w:sz="2" w:space="0" w:color="BBBBBB"/>
            </w:tcBorders>
            <w:shd w:val="clear" w:color="auto" w:fill="E8EFF8"/>
            <w:tcMar>
              <w:top w:w="60" w:type="dxa"/>
              <w:left w:w="100" w:type="dxa"/>
              <w:bottom w:w="60" w:type="dxa"/>
              <w:right w:w="100" w:type="dxa"/>
            </w:tcMar>
            <w:vAlign w:val="center"/>
          </w:tcPr>
          <w:p w14:paraId="4B431D8C" w14:textId="77777777" w:rsidR="00A95A56" w:rsidRDefault="00000000">
            <w:pPr>
              <w:jc w:val="center"/>
            </w:pPr>
            <w:r>
              <w:rPr>
                <w:i/>
                <w:iCs/>
                <w:color w:val="222222"/>
                <w:sz w:val="18"/>
                <w:szCs w:val="18"/>
              </w:rPr>
              <w:t>(0.009)</w:t>
            </w: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68D156BA" w14:textId="77777777" w:rsidR="00A95A56" w:rsidRDefault="00000000">
            <w:pPr>
              <w:jc w:val="center"/>
            </w:pPr>
            <w:r>
              <w:rPr>
                <w:i/>
                <w:iCs/>
                <w:color w:val="222222"/>
                <w:sz w:val="18"/>
                <w:szCs w:val="18"/>
              </w:rPr>
              <w:t>(0.009)</w:t>
            </w:r>
          </w:p>
        </w:tc>
      </w:tr>
      <w:tr w:rsidR="00A95A56" w14:paraId="67413ECC" w14:textId="77777777">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FAFCFF"/>
            <w:tcMar>
              <w:top w:w="60" w:type="dxa"/>
              <w:left w:w="100" w:type="dxa"/>
              <w:bottom w:w="60" w:type="dxa"/>
              <w:right w:w="100" w:type="dxa"/>
            </w:tcMar>
            <w:vAlign w:val="center"/>
          </w:tcPr>
          <w:p w14:paraId="0C5CCD97" w14:textId="77777777" w:rsidR="00A95A56" w:rsidRDefault="00000000">
            <w:r>
              <w:rPr>
                <w:b/>
                <w:bCs/>
                <w:color w:val="222222"/>
                <w:sz w:val="18"/>
                <w:szCs w:val="18"/>
              </w:rPr>
              <w:t>Debt/GDP</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5F47C53D" w14:textId="77777777" w:rsidR="00A95A56" w:rsidRDefault="00000000">
            <w:pPr>
              <w:jc w:val="center"/>
            </w:pPr>
            <w:r>
              <w:rPr>
                <w:color w:val="222222"/>
                <w:sz w:val="18"/>
                <w:szCs w:val="18"/>
              </w:rPr>
              <w:t>—</w:t>
            </w:r>
          </w:p>
        </w:tc>
        <w:tc>
          <w:tcPr>
            <w:tcW w:w="1560" w:type="dxa"/>
            <w:tcBorders>
              <w:top w:val="single" w:sz="2" w:space="0" w:color="BBBBBB"/>
              <w:left w:val="single" w:sz="2" w:space="0" w:color="BBBBBB"/>
              <w:bottom w:val="single" w:sz="2" w:space="0" w:color="BBBBBB"/>
              <w:right w:val="single" w:sz="2" w:space="0" w:color="BBBBBB"/>
            </w:tcBorders>
            <w:shd w:val="clear" w:color="auto" w:fill="FAFAFA"/>
            <w:tcMar>
              <w:top w:w="60" w:type="dxa"/>
              <w:left w:w="100" w:type="dxa"/>
              <w:bottom w:w="60" w:type="dxa"/>
              <w:right w:w="100" w:type="dxa"/>
            </w:tcMar>
            <w:vAlign w:val="center"/>
          </w:tcPr>
          <w:p w14:paraId="5F669584" w14:textId="77777777" w:rsidR="00A95A56" w:rsidRDefault="00000000">
            <w:pPr>
              <w:jc w:val="center"/>
            </w:pPr>
            <w:r>
              <w:rPr>
                <w:b/>
                <w:bCs/>
                <w:color w:val="222222"/>
                <w:sz w:val="18"/>
                <w:szCs w:val="18"/>
              </w:rPr>
              <w:t>−0.004**</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7D82D96B" w14:textId="77777777" w:rsidR="00A95A56" w:rsidRDefault="00000000">
            <w:pPr>
              <w:jc w:val="center"/>
            </w:pPr>
            <w:r>
              <w:rPr>
                <w:color w:val="222222"/>
                <w:sz w:val="18"/>
                <w:szCs w:val="18"/>
              </w:rPr>
              <w:t>—</w:t>
            </w:r>
          </w:p>
        </w:tc>
        <w:tc>
          <w:tcPr>
            <w:tcW w:w="1560" w:type="dxa"/>
            <w:tcBorders>
              <w:top w:val="single" w:sz="2" w:space="0" w:color="BBBBBB"/>
              <w:left w:val="single" w:sz="2" w:space="0" w:color="BBBBBB"/>
              <w:bottom w:val="single" w:sz="2" w:space="0" w:color="BBBBBB"/>
              <w:right w:val="single" w:sz="2" w:space="0" w:color="BBBBBB"/>
            </w:tcBorders>
            <w:shd w:val="clear" w:color="auto" w:fill="FAFAFA"/>
            <w:tcMar>
              <w:top w:w="60" w:type="dxa"/>
              <w:left w:w="100" w:type="dxa"/>
              <w:bottom w:w="60" w:type="dxa"/>
              <w:right w:w="100" w:type="dxa"/>
            </w:tcMar>
            <w:vAlign w:val="center"/>
          </w:tcPr>
          <w:p w14:paraId="1FDBD05D" w14:textId="77777777" w:rsidR="00A95A56" w:rsidRDefault="00000000">
            <w:pPr>
              <w:jc w:val="center"/>
            </w:pPr>
            <w:r>
              <w:rPr>
                <w:b/>
                <w:bCs/>
                <w:color w:val="222222"/>
                <w:sz w:val="18"/>
                <w:szCs w:val="18"/>
              </w:rPr>
              <w:t>−0.003*</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4ED5483E" w14:textId="77777777" w:rsidR="00A95A56" w:rsidRDefault="00000000">
            <w:pPr>
              <w:jc w:val="center"/>
            </w:pPr>
            <w:r>
              <w:rPr>
                <w:b/>
                <w:bCs/>
                <w:color w:val="222222"/>
                <w:sz w:val="18"/>
                <w:szCs w:val="18"/>
              </w:rPr>
              <w:t>−0.003*</w:t>
            </w:r>
          </w:p>
        </w:tc>
      </w:tr>
      <w:tr w:rsidR="00A95A56" w14:paraId="7D98F0E5" w14:textId="77777777">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4D1314DD" w14:textId="77777777" w:rsidR="00A95A56" w:rsidRDefault="00A95A56">
            <w:pPr>
              <w:jc w:val="center"/>
            </w:pP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70144CAE" w14:textId="77777777" w:rsidR="00A95A56" w:rsidRDefault="00A95A56">
            <w:pPr>
              <w:jc w:val="center"/>
            </w:pPr>
          </w:p>
        </w:tc>
        <w:tc>
          <w:tcPr>
            <w:tcW w:w="1560" w:type="dxa"/>
            <w:tcBorders>
              <w:top w:val="single" w:sz="2" w:space="0" w:color="BBBBBB"/>
              <w:left w:val="single" w:sz="2" w:space="0" w:color="BBBBBB"/>
              <w:bottom w:val="single" w:sz="2" w:space="0" w:color="BBBBBB"/>
              <w:right w:val="single" w:sz="2" w:space="0" w:color="BBBBBB"/>
            </w:tcBorders>
            <w:shd w:val="clear" w:color="auto" w:fill="E8EFF8"/>
            <w:tcMar>
              <w:top w:w="60" w:type="dxa"/>
              <w:left w:w="100" w:type="dxa"/>
              <w:bottom w:w="60" w:type="dxa"/>
              <w:right w:w="100" w:type="dxa"/>
            </w:tcMar>
            <w:vAlign w:val="center"/>
          </w:tcPr>
          <w:p w14:paraId="55CEACB7" w14:textId="77777777" w:rsidR="00A95A56" w:rsidRDefault="00000000">
            <w:pPr>
              <w:jc w:val="center"/>
            </w:pPr>
            <w:r>
              <w:rPr>
                <w:i/>
                <w:iCs/>
                <w:color w:val="222222"/>
                <w:sz w:val="18"/>
                <w:szCs w:val="18"/>
              </w:rPr>
              <w:t>(0.002)</w:t>
            </w: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74C4CBE8" w14:textId="77777777" w:rsidR="00A95A56" w:rsidRDefault="00A95A56">
            <w:pPr>
              <w:jc w:val="center"/>
            </w:pPr>
          </w:p>
        </w:tc>
        <w:tc>
          <w:tcPr>
            <w:tcW w:w="1560" w:type="dxa"/>
            <w:tcBorders>
              <w:top w:val="single" w:sz="2" w:space="0" w:color="BBBBBB"/>
              <w:left w:val="single" w:sz="2" w:space="0" w:color="BBBBBB"/>
              <w:bottom w:val="single" w:sz="2" w:space="0" w:color="BBBBBB"/>
              <w:right w:val="single" w:sz="2" w:space="0" w:color="BBBBBB"/>
            </w:tcBorders>
            <w:shd w:val="clear" w:color="auto" w:fill="E8EFF8"/>
            <w:tcMar>
              <w:top w:w="60" w:type="dxa"/>
              <w:left w:w="100" w:type="dxa"/>
              <w:bottom w:w="60" w:type="dxa"/>
              <w:right w:w="100" w:type="dxa"/>
            </w:tcMar>
            <w:vAlign w:val="center"/>
          </w:tcPr>
          <w:p w14:paraId="3CCF84E8" w14:textId="77777777" w:rsidR="00A95A56" w:rsidRDefault="00000000">
            <w:pPr>
              <w:jc w:val="center"/>
            </w:pPr>
            <w:r>
              <w:rPr>
                <w:i/>
                <w:iCs/>
                <w:color w:val="222222"/>
                <w:sz w:val="18"/>
                <w:szCs w:val="18"/>
              </w:rPr>
              <w:t>(0.002)</w:t>
            </w: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002A9B6A" w14:textId="77777777" w:rsidR="00A95A56" w:rsidRDefault="00000000">
            <w:pPr>
              <w:jc w:val="center"/>
            </w:pPr>
            <w:r>
              <w:rPr>
                <w:i/>
                <w:iCs/>
                <w:color w:val="222222"/>
                <w:sz w:val="18"/>
                <w:szCs w:val="18"/>
              </w:rPr>
              <w:t>(0.002)</w:t>
            </w:r>
          </w:p>
        </w:tc>
      </w:tr>
      <w:tr w:rsidR="00A95A56" w14:paraId="15AE35D0" w14:textId="77777777">
        <w:tblPrEx>
          <w:tblCellMar>
            <w:top w:w="0" w:type="dxa"/>
            <w:bottom w:w="0" w:type="dxa"/>
          </w:tblCellMar>
        </w:tblPrEx>
        <w:tc>
          <w:tcPr>
            <w:tcW w:w="0" w:type="auto"/>
            <w:gridSpan w:val="6"/>
            <w:tcBorders>
              <w:top w:val="single" w:sz="4" w:space="0" w:color="2E5597"/>
              <w:left w:val="single" w:sz="6" w:space="0" w:color="1F3864"/>
              <w:bottom w:val="single" w:sz="4" w:space="0" w:color="2E5597"/>
              <w:right w:val="single" w:sz="6" w:space="0" w:color="1F3864"/>
            </w:tcBorders>
            <w:shd w:val="clear" w:color="auto" w:fill="EEF3FB"/>
            <w:tcMar>
              <w:top w:w="60" w:type="dxa"/>
              <w:left w:w="120" w:type="dxa"/>
              <w:bottom w:w="60" w:type="dxa"/>
              <w:right w:w="120" w:type="dxa"/>
            </w:tcMar>
          </w:tcPr>
          <w:p w14:paraId="6F5E74A8" w14:textId="77777777" w:rsidR="00A95A56" w:rsidRDefault="00000000">
            <w:r>
              <w:rPr>
                <w:b/>
                <w:bCs/>
                <w:i/>
                <w:iCs/>
                <w:color w:val="2E5597"/>
                <w:sz w:val="19"/>
                <w:szCs w:val="19"/>
              </w:rPr>
              <w:t>Panel C — Model statistics</w:t>
            </w:r>
          </w:p>
        </w:tc>
      </w:tr>
      <w:tr w:rsidR="00A95A56" w14:paraId="2D86B569" w14:textId="77777777">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FAFCFF"/>
            <w:tcMar>
              <w:top w:w="60" w:type="dxa"/>
              <w:left w:w="100" w:type="dxa"/>
              <w:bottom w:w="60" w:type="dxa"/>
              <w:right w:w="100" w:type="dxa"/>
            </w:tcMar>
            <w:vAlign w:val="center"/>
          </w:tcPr>
          <w:p w14:paraId="57532BE0" w14:textId="77777777" w:rsidR="00A95A56" w:rsidRDefault="00000000">
            <w:r>
              <w:rPr>
                <w:b/>
                <w:bCs/>
                <w:color w:val="222222"/>
                <w:sz w:val="18"/>
                <w:szCs w:val="18"/>
              </w:rPr>
              <w:t>Country FE</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2CC71CDF" w14:textId="77777777" w:rsidR="00A95A56" w:rsidRDefault="00000000">
            <w:pPr>
              <w:jc w:val="center"/>
            </w:pPr>
            <w:r>
              <w:rPr>
                <w:b/>
                <w:bCs/>
                <w:color w:val="222222"/>
                <w:sz w:val="18"/>
                <w:szCs w:val="18"/>
              </w:rPr>
              <w:t>Yes</w:t>
            </w:r>
          </w:p>
        </w:tc>
        <w:tc>
          <w:tcPr>
            <w:tcW w:w="1560" w:type="dxa"/>
            <w:tcBorders>
              <w:top w:val="single" w:sz="2" w:space="0" w:color="BBBBBB"/>
              <w:left w:val="single" w:sz="2" w:space="0" w:color="BBBBBB"/>
              <w:bottom w:val="single" w:sz="2" w:space="0" w:color="BBBBBB"/>
              <w:right w:val="single" w:sz="2" w:space="0" w:color="BBBBBB"/>
            </w:tcBorders>
            <w:shd w:val="clear" w:color="auto" w:fill="FAFAFA"/>
            <w:tcMar>
              <w:top w:w="60" w:type="dxa"/>
              <w:left w:w="100" w:type="dxa"/>
              <w:bottom w:w="60" w:type="dxa"/>
              <w:right w:w="100" w:type="dxa"/>
            </w:tcMar>
            <w:vAlign w:val="center"/>
          </w:tcPr>
          <w:p w14:paraId="6DAB7173" w14:textId="77777777" w:rsidR="00A95A56" w:rsidRDefault="00000000">
            <w:pPr>
              <w:jc w:val="center"/>
            </w:pPr>
            <w:r>
              <w:rPr>
                <w:b/>
                <w:bCs/>
                <w:color w:val="222222"/>
                <w:sz w:val="18"/>
                <w:szCs w:val="18"/>
              </w:rPr>
              <w:t>Yes</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652C2BD5" w14:textId="77777777" w:rsidR="00A95A56" w:rsidRDefault="00000000">
            <w:pPr>
              <w:jc w:val="center"/>
            </w:pPr>
            <w:r>
              <w:rPr>
                <w:b/>
                <w:bCs/>
                <w:color w:val="222222"/>
                <w:sz w:val="18"/>
                <w:szCs w:val="18"/>
              </w:rPr>
              <w:t>Yes</w:t>
            </w:r>
          </w:p>
        </w:tc>
        <w:tc>
          <w:tcPr>
            <w:tcW w:w="1560" w:type="dxa"/>
            <w:tcBorders>
              <w:top w:val="single" w:sz="2" w:space="0" w:color="BBBBBB"/>
              <w:left w:val="single" w:sz="2" w:space="0" w:color="BBBBBB"/>
              <w:bottom w:val="single" w:sz="2" w:space="0" w:color="BBBBBB"/>
              <w:right w:val="single" w:sz="2" w:space="0" w:color="BBBBBB"/>
            </w:tcBorders>
            <w:shd w:val="clear" w:color="auto" w:fill="FAFAFA"/>
            <w:tcMar>
              <w:top w:w="60" w:type="dxa"/>
              <w:left w:w="100" w:type="dxa"/>
              <w:bottom w:w="60" w:type="dxa"/>
              <w:right w:w="100" w:type="dxa"/>
            </w:tcMar>
            <w:vAlign w:val="center"/>
          </w:tcPr>
          <w:p w14:paraId="6A9A6950" w14:textId="77777777" w:rsidR="00A95A56" w:rsidRDefault="00000000">
            <w:pPr>
              <w:jc w:val="center"/>
            </w:pPr>
            <w:r>
              <w:rPr>
                <w:b/>
                <w:bCs/>
                <w:color w:val="222222"/>
                <w:sz w:val="18"/>
                <w:szCs w:val="18"/>
              </w:rPr>
              <w:t>Yes</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40C70139" w14:textId="77777777" w:rsidR="00A95A56" w:rsidRDefault="00000000">
            <w:pPr>
              <w:jc w:val="center"/>
            </w:pPr>
            <w:r>
              <w:rPr>
                <w:b/>
                <w:bCs/>
                <w:color w:val="222222"/>
                <w:sz w:val="18"/>
                <w:szCs w:val="18"/>
              </w:rPr>
              <w:t>Yes</w:t>
            </w:r>
          </w:p>
        </w:tc>
      </w:tr>
      <w:tr w:rsidR="00A95A56" w14:paraId="661D40F7" w14:textId="77777777">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23EA3E7C" w14:textId="77777777" w:rsidR="00A95A56" w:rsidRDefault="00000000">
            <w:r>
              <w:rPr>
                <w:b/>
                <w:bCs/>
                <w:color w:val="222222"/>
                <w:sz w:val="18"/>
                <w:szCs w:val="18"/>
              </w:rPr>
              <w:t>Year FE</w:t>
            </w: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6C6BDD82" w14:textId="77777777" w:rsidR="00A95A56" w:rsidRDefault="00000000">
            <w:pPr>
              <w:jc w:val="center"/>
            </w:pPr>
            <w:r>
              <w:rPr>
                <w:b/>
                <w:bCs/>
                <w:color w:val="222222"/>
                <w:sz w:val="18"/>
                <w:szCs w:val="18"/>
              </w:rPr>
              <w:t>Yes</w:t>
            </w:r>
          </w:p>
        </w:tc>
        <w:tc>
          <w:tcPr>
            <w:tcW w:w="1560" w:type="dxa"/>
            <w:tcBorders>
              <w:top w:val="single" w:sz="2" w:space="0" w:color="BBBBBB"/>
              <w:left w:val="single" w:sz="2" w:space="0" w:color="BBBBBB"/>
              <w:bottom w:val="single" w:sz="2" w:space="0" w:color="BBBBBB"/>
              <w:right w:val="single" w:sz="2" w:space="0" w:color="BBBBBB"/>
            </w:tcBorders>
            <w:shd w:val="clear" w:color="auto" w:fill="E8EFF8"/>
            <w:tcMar>
              <w:top w:w="60" w:type="dxa"/>
              <w:left w:w="100" w:type="dxa"/>
              <w:bottom w:w="60" w:type="dxa"/>
              <w:right w:w="100" w:type="dxa"/>
            </w:tcMar>
            <w:vAlign w:val="center"/>
          </w:tcPr>
          <w:p w14:paraId="011DA27E" w14:textId="77777777" w:rsidR="00A95A56" w:rsidRDefault="00000000">
            <w:pPr>
              <w:jc w:val="center"/>
            </w:pPr>
            <w:r>
              <w:rPr>
                <w:b/>
                <w:bCs/>
                <w:color w:val="222222"/>
                <w:sz w:val="18"/>
                <w:szCs w:val="18"/>
              </w:rPr>
              <w:t>Yes</w:t>
            </w: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68EF5C5D" w14:textId="77777777" w:rsidR="00A95A56" w:rsidRDefault="00000000">
            <w:pPr>
              <w:jc w:val="center"/>
            </w:pPr>
            <w:r>
              <w:rPr>
                <w:b/>
                <w:bCs/>
                <w:color w:val="222222"/>
                <w:sz w:val="18"/>
                <w:szCs w:val="18"/>
              </w:rPr>
              <w:t>Yes</w:t>
            </w:r>
          </w:p>
        </w:tc>
        <w:tc>
          <w:tcPr>
            <w:tcW w:w="1560" w:type="dxa"/>
            <w:tcBorders>
              <w:top w:val="single" w:sz="2" w:space="0" w:color="BBBBBB"/>
              <w:left w:val="single" w:sz="2" w:space="0" w:color="BBBBBB"/>
              <w:bottom w:val="single" w:sz="2" w:space="0" w:color="BBBBBB"/>
              <w:right w:val="single" w:sz="2" w:space="0" w:color="BBBBBB"/>
            </w:tcBorders>
            <w:shd w:val="clear" w:color="auto" w:fill="E8EFF8"/>
            <w:tcMar>
              <w:top w:w="60" w:type="dxa"/>
              <w:left w:w="100" w:type="dxa"/>
              <w:bottom w:w="60" w:type="dxa"/>
              <w:right w:w="100" w:type="dxa"/>
            </w:tcMar>
            <w:vAlign w:val="center"/>
          </w:tcPr>
          <w:p w14:paraId="41B75C83" w14:textId="77777777" w:rsidR="00A95A56" w:rsidRDefault="00000000">
            <w:pPr>
              <w:jc w:val="center"/>
            </w:pPr>
            <w:r>
              <w:rPr>
                <w:b/>
                <w:bCs/>
                <w:color w:val="222222"/>
                <w:sz w:val="18"/>
                <w:szCs w:val="18"/>
              </w:rPr>
              <w:t>Yes</w:t>
            </w: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3264F524" w14:textId="77777777" w:rsidR="00A95A56" w:rsidRDefault="00000000">
            <w:pPr>
              <w:jc w:val="center"/>
            </w:pPr>
            <w:r>
              <w:rPr>
                <w:b/>
                <w:bCs/>
                <w:color w:val="222222"/>
                <w:sz w:val="18"/>
                <w:szCs w:val="18"/>
              </w:rPr>
              <w:t>Yes</w:t>
            </w:r>
          </w:p>
        </w:tc>
      </w:tr>
      <w:tr w:rsidR="00A95A56" w14:paraId="746B65AE" w14:textId="77777777">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FAFCFF"/>
            <w:tcMar>
              <w:top w:w="60" w:type="dxa"/>
              <w:left w:w="100" w:type="dxa"/>
              <w:bottom w:w="60" w:type="dxa"/>
              <w:right w:w="100" w:type="dxa"/>
            </w:tcMar>
            <w:vAlign w:val="center"/>
          </w:tcPr>
          <w:p w14:paraId="0B522A3C" w14:textId="77777777" w:rsidR="00A95A56" w:rsidRDefault="00000000">
            <w:r>
              <w:rPr>
                <w:b/>
                <w:bCs/>
                <w:color w:val="222222"/>
                <w:sz w:val="18"/>
                <w:szCs w:val="18"/>
              </w:rPr>
              <w:t>Instrument (M5)</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6A2B05DA" w14:textId="77777777" w:rsidR="00A95A56" w:rsidRDefault="00000000">
            <w:pPr>
              <w:jc w:val="center"/>
            </w:pPr>
            <w:r>
              <w:rPr>
                <w:color w:val="222222"/>
                <w:sz w:val="18"/>
                <w:szCs w:val="18"/>
              </w:rPr>
              <w:t>—</w:t>
            </w:r>
          </w:p>
        </w:tc>
        <w:tc>
          <w:tcPr>
            <w:tcW w:w="1560" w:type="dxa"/>
            <w:tcBorders>
              <w:top w:val="single" w:sz="2" w:space="0" w:color="BBBBBB"/>
              <w:left w:val="single" w:sz="2" w:space="0" w:color="BBBBBB"/>
              <w:bottom w:val="single" w:sz="2" w:space="0" w:color="BBBBBB"/>
              <w:right w:val="single" w:sz="2" w:space="0" w:color="BBBBBB"/>
            </w:tcBorders>
            <w:shd w:val="clear" w:color="auto" w:fill="FAFAFA"/>
            <w:tcMar>
              <w:top w:w="60" w:type="dxa"/>
              <w:left w:w="100" w:type="dxa"/>
              <w:bottom w:w="60" w:type="dxa"/>
              <w:right w:w="100" w:type="dxa"/>
            </w:tcMar>
            <w:vAlign w:val="center"/>
          </w:tcPr>
          <w:p w14:paraId="0F8C7608" w14:textId="77777777" w:rsidR="00A95A56" w:rsidRDefault="00000000">
            <w:pPr>
              <w:jc w:val="center"/>
            </w:pPr>
            <w:r>
              <w:rPr>
                <w:color w:val="222222"/>
                <w:sz w:val="18"/>
                <w:szCs w:val="18"/>
              </w:rPr>
              <w:t>—</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1A98D1B9" w14:textId="77777777" w:rsidR="00A95A56" w:rsidRDefault="00000000">
            <w:pPr>
              <w:jc w:val="center"/>
            </w:pPr>
            <w:r>
              <w:rPr>
                <w:color w:val="222222"/>
                <w:sz w:val="18"/>
                <w:szCs w:val="18"/>
              </w:rPr>
              <w:t>—</w:t>
            </w:r>
          </w:p>
        </w:tc>
        <w:tc>
          <w:tcPr>
            <w:tcW w:w="1560" w:type="dxa"/>
            <w:tcBorders>
              <w:top w:val="single" w:sz="2" w:space="0" w:color="BBBBBB"/>
              <w:left w:val="single" w:sz="2" w:space="0" w:color="BBBBBB"/>
              <w:bottom w:val="single" w:sz="2" w:space="0" w:color="BBBBBB"/>
              <w:right w:val="single" w:sz="2" w:space="0" w:color="BBBBBB"/>
            </w:tcBorders>
            <w:shd w:val="clear" w:color="auto" w:fill="FAFAFA"/>
            <w:tcMar>
              <w:top w:w="60" w:type="dxa"/>
              <w:left w:w="100" w:type="dxa"/>
              <w:bottom w:w="60" w:type="dxa"/>
              <w:right w:w="100" w:type="dxa"/>
            </w:tcMar>
            <w:vAlign w:val="center"/>
          </w:tcPr>
          <w:p w14:paraId="73B25E40" w14:textId="77777777" w:rsidR="00A95A56" w:rsidRDefault="00000000">
            <w:pPr>
              <w:jc w:val="center"/>
            </w:pPr>
            <w:r>
              <w:rPr>
                <w:color w:val="222222"/>
                <w:sz w:val="18"/>
                <w:szCs w:val="18"/>
              </w:rPr>
              <w:t>—</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1CD6B85C" w14:textId="77777777" w:rsidR="00A95A56" w:rsidRDefault="00000000">
            <w:pPr>
              <w:jc w:val="center"/>
            </w:pPr>
            <w:r>
              <w:rPr>
                <w:b/>
                <w:bCs/>
                <w:color w:val="222222"/>
                <w:sz w:val="18"/>
                <w:szCs w:val="18"/>
              </w:rPr>
              <w:t>Settler mortality</w:t>
            </w:r>
          </w:p>
        </w:tc>
      </w:tr>
      <w:tr w:rsidR="00A95A56" w14:paraId="0D74F2F0" w14:textId="77777777">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5728B042" w14:textId="77777777" w:rsidR="00A95A56" w:rsidRDefault="00000000">
            <w:r>
              <w:rPr>
                <w:b/>
                <w:bCs/>
                <w:color w:val="222222"/>
                <w:sz w:val="18"/>
                <w:szCs w:val="18"/>
              </w:rPr>
              <w:t>Observations</w:t>
            </w: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4EFEAB1E" w14:textId="77777777" w:rsidR="00A95A56" w:rsidRDefault="00000000">
            <w:pPr>
              <w:jc w:val="center"/>
            </w:pPr>
            <w:r>
              <w:rPr>
                <w:b/>
                <w:bCs/>
                <w:color w:val="222222"/>
                <w:sz w:val="18"/>
                <w:szCs w:val="18"/>
              </w:rPr>
              <w:t>189</w:t>
            </w:r>
          </w:p>
        </w:tc>
        <w:tc>
          <w:tcPr>
            <w:tcW w:w="1560" w:type="dxa"/>
            <w:tcBorders>
              <w:top w:val="single" w:sz="2" w:space="0" w:color="BBBBBB"/>
              <w:left w:val="single" w:sz="2" w:space="0" w:color="BBBBBB"/>
              <w:bottom w:val="single" w:sz="2" w:space="0" w:color="BBBBBB"/>
              <w:right w:val="single" w:sz="2" w:space="0" w:color="BBBBBB"/>
            </w:tcBorders>
            <w:shd w:val="clear" w:color="auto" w:fill="E8EFF8"/>
            <w:tcMar>
              <w:top w:w="60" w:type="dxa"/>
              <w:left w:w="100" w:type="dxa"/>
              <w:bottom w:w="60" w:type="dxa"/>
              <w:right w:w="100" w:type="dxa"/>
            </w:tcMar>
            <w:vAlign w:val="center"/>
          </w:tcPr>
          <w:p w14:paraId="1AF78142" w14:textId="77777777" w:rsidR="00A95A56" w:rsidRDefault="00000000">
            <w:pPr>
              <w:jc w:val="center"/>
            </w:pPr>
            <w:r>
              <w:rPr>
                <w:b/>
                <w:bCs/>
                <w:color w:val="222222"/>
                <w:sz w:val="18"/>
                <w:szCs w:val="18"/>
              </w:rPr>
              <w:t>189</w:t>
            </w: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24266EE9" w14:textId="77777777" w:rsidR="00A95A56" w:rsidRDefault="00000000">
            <w:pPr>
              <w:jc w:val="center"/>
            </w:pPr>
            <w:r>
              <w:rPr>
                <w:b/>
                <w:bCs/>
                <w:color w:val="222222"/>
                <w:sz w:val="18"/>
                <w:szCs w:val="18"/>
              </w:rPr>
              <w:t>189</w:t>
            </w:r>
          </w:p>
        </w:tc>
        <w:tc>
          <w:tcPr>
            <w:tcW w:w="1560" w:type="dxa"/>
            <w:tcBorders>
              <w:top w:val="single" w:sz="2" w:space="0" w:color="BBBBBB"/>
              <w:left w:val="single" w:sz="2" w:space="0" w:color="BBBBBB"/>
              <w:bottom w:val="single" w:sz="2" w:space="0" w:color="BBBBBB"/>
              <w:right w:val="single" w:sz="2" w:space="0" w:color="BBBBBB"/>
            </w:tcBorders>
            <w:shd w:val="clear" w:color="auto" w:fill="E8EFF8"/>
            <w:tcMar>
              <w:top w:w="60" w:type="dxa"/>
              <w:left w:w="100" w:type="dxa"/>
              <w:bottom w:w="60" w:type="dxa"/>
              <w:right w:w="100" w:type="dxa"/>
            </w:tcMar>
            <w:vAlign w:val="center"/>
          </w:tcPr>
          <w:p w14:paraId="7179A161" w14:textId="77777777" w:rsidR="00A95A56" w:rsidRDefault="00000000">
            <w:pPr>
              <w:jc w:val="center"/>
            </w:pPr>
            <w:r>
              <w:rPr>
                <w:b/>
                <w:bCs/>
                <w:color w:val="222222"/>
                <w:sz w:val="18"/>
                <w:szCs w:val="18"/>
              </w:rPr>
              <w:t>189</w:t>
            </w: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6231040B" w14:textId="77777777" w:rsidR="00A95A56" w:rsidRDefault="00000000">
            <w:pPr>
              <w:jc w:val="center"/>
            </w:pPr>
            <w:r>
              <w:rPr>
                <w:b/>
                <w:bCs/>
                <w:color w:val="222222"/>
                <w:sz w:val="18"/>
                <w:szCs w:val="18"/>
              </w:rPr>
              <w:t>168</w:t>
            </w:r>
          </w:p>
        </w:tc>
      </w:tr>
      <w:tr w:rsidR="00A95A56" w14:paraId="380B1CE2" w14:textId="77777777">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FAFCFF"/>
            <w:tcMar>
              <w:top w:w="60" w:type="dxa"/>
              <w:left w:w="100" w:type="dxa"/>
              <w:bottom w:w="60" w:type="dxa"/>
              <w:right w:w="100" w:type="dxa"/>
            </w:tcMar>
            <w:vAlign w:val="center"/>
          </w:tcPr>
          <w:p w14:paraId="5A98ABF7" w14:textId="77777777" w:rsidR="00A95A56" w:rsidRDefault="00000000">
            <w:r>
              <w:rPr>
                <w:b/>
                <w:bCs/>
                <w:color w:val="222222"/>
                <w:sz w:val="18"/>
                <w:szCs w:val="18"/>
              </w:rPr>
              <w:t>Countries</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2E0A0736" w14:textId="77777777" w:rsidR="00A95A56" w:rsidRDefault="00000000">
            <w:pPr>
              <w:jc w:val="center"/>
            </w:pPr>
            <w:r>
              <w:rPr>
                <w:b/>
                <w:bCs/>
                <w:color w:val="222222"/>
                <w:sz w:val="18"/>
                <w:szCs w:val="18"/>
              </w:rPr>
              <w:t>27</w:t>
            </w:r>
          </w:p>
        </w:tc>
        <w:tc>
          <w:tcPr>
            <w:tcW w:w="1560" w:type="dxa"/>
            <w:tcBorders>
              <w:top w:val="single" w:sz="2" w:space="0" w:color="BBBBBB"/>
              <w:left w:val="single" w:sz="2" w:space="0" w:color="BBBBBB"/>
              <w:bottom w:val="single" w:sz="2" w:space="0" w:color="BBBBBB"/>
              <w:right w:val="single" w:sz="2" w:space="0" w:color="BBBBBB"/>
            </w:tcBorders>
            <w:shd w:val="clear" w:color="auto" w:fill="FAFAFA"/>
            <w:tcMar>
              <w:top w:w="60" w:type="dxa"/>
              <w:left w:w="100" w:type="dxa"/>
              <w:bottom w:w="60" w:type="dxa"/>
              <w:right w:w="100" w:type="dxa"/>
            </w:tcMar>
            <w:vAlign w:val="center"/>
          </w:tcPr>
          <w:p w14:paraId="51C36C59" w14:textId="77777777" w:rsidR="00A95A56" w:rsidRDefault="00000000">
            <w:pPr>
              <w:jc w:val="center"/>
            </w:pPr>
            <w:r>
              <w:rPr>
                <w:b/>
                <w:bCs/>
                <w:color w:val="222222"/>
                <w:sz w:val="18"/>
                <w:szCs w:val="18"/>
              </w:rPr>
              <w:t>27</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512061FB" w14:textId="77777777" w:rsidR="00A95A56" w:rsidRDefault="00000000">
            <w:pPr>
              <w:jc w:val="center"/>
            </w:pPr>
            <w:r>
              <w:rPr>
                <w:b/>
                <w:bCs/>
                <w:color w:val="222222"/>
                <w:sz w:val="18"/>
                <w:szCs w:val="18"/>
              </w:rPr>
              <w:t>27</w:t>
            </w:r>
          </w:p>
        </w:tc>
        <w:tc>
          <w:tcPr>
            <w:tcW w:w="1560" w:type="dxa"/>
            <w:tcBorders>
              <w:top w:val="single" w:sz="2" w:space="0" w:color="BBBBBB"/>
              <w:left w:val="single" w:sz="2" w:space="0" w:color="BBBBBB"/>
              <w:bottom w:val="single" w:sz="2" w:space="0" w:color="BBBBBB"/>
              <w:right w:val="single" w:sz="2" w:space="0" w:color="BBBBBB"/>
            </w:tcBorders>
            <w:shd w:val="clear" w:color="auto" w:fill="FAFAFA"/>
            <w:tcMar>
              <w:top w:w="60" w:type="dxa"/>
              <w:left w:w="100" w:type="dxa"/>
              <w:bottom w:w="60" w:type="dxa"/>
              <w:right w:w="100" w:type="dxa"/>
            </w:tcMar>
            <w:vAlign w:val="center"/>
          </w:tcPr>
          <w:p w14:paraId="625BB73E" w14:textId="77777777" w:rsidR="00A95A56" w:rsidRDefault="00000000">
            <w:pPr>
              <w:jc w:val="center"/>
            </w:pPr>
            <w:r>
              <w:rPr>
                <w:b/>
                <w:bCs/>
                <w:color w:val="222222"/>
                <w:sz w:val="18"/>
                <w:szCs w:val="18"/>
              </w:rPr>
              <w:t>27</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7391B64A" w14:textId="77777777" w:rsidR="00A95A56" w:rsidRDefault="00000000">
            <w:pPr>
              <w:jc w:val="center"/>
            </w:pPr>
            <w:r>
              <w:rPr>
                <w:b/>
                <w:bCs/>
                <w:color w:val="222222"/>
                <w:sz w:val="18"/>
                <w:szCs w:val="18"/>
              </w:rPr>
              <w:t>24</w:t>
            </w:r>
          </w:p>
        </w:tc>
      </w:tr>
      <w:tr w:rsidR="00A95A56" w14:paraId="4476240C" w14:textId="77777777">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1D5FE870" w14:textId="77777777" w:rsidR="00A95A56" w:rsidRDefault="00000000">
            <w:r>
              <w:rPr>
                <w:b/>
                <w:bCs/>
                <w:color w:val="222222"/>
                <w:sz w:val="18"/>
                <w:szCs w:val="18"/>
              </w:rPr>
              <w:t>Within R²</w:t>
            </w: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0364DE78" w14:textId="77777777" w:rsidR="00A95A56" w:rsidRDefault="00000000">
            <w:pPr>
              <w:jc w:val="center"/>
            </w:pPr>
            <w:r>
              <w:rPr>
                <w:color w:val="222222"/>
                <w:sz w:val="18"/>
                <w:szCs w:val="18"/>
              </w:rPr>
              <w:t>0.41</w:t>
            </w:r>
          </w:p>
        </w:tc>
        <w:tc>
          <w:tcPr>
            <w:tcW w:w="1560" w:type="dxa"/>
            <w:tcBorders>
              <w:top w:val="single" w:sz="2" w:space="0" w:color="BBBBBB"/>
              <w:left w:val="single" w:sz="2" w:space="0" w:color="BBBBBB"/>
              <w:bottom w:val="single" w:sz="2" w:space="0" w:color="BBBBBB"/>
              <w:right w:val="single" w:sz="2" w:space="0" w:color="BBBBBB"/>
            </w:tcBorders>
            <w:shd w:val="clear" w:color="auto" w:fill="E8EFF8"/>
            <w:tcMar>
              <w:top w:w="60" w:type="dxa"/>
              <w:left w:w="100" w:type="dxa"/>
              <w:bottom w:w="60" w:type="dxa"/>
              <w:right w:w="100" w:type="dxa"/>
            </w:tcMar>
            <w:vAlign w:val="center"/>
          </w:tcPr>
          <w:p w14:paraId="4FB74389" w14:textId="77777777" w:rsidR="00A95A56" w:rsidRDefault="00000000">
            <w:pPr>
              <w:jc w:val="center"/>
            </w:pPr>
            <w:r>
              <w:rPr>
                <w:color w:val="222222"/>
                <w:sz w:val="18"/>
                <w:szCs w:val="18"/>
              </w:rPr>
              <w:t>0.46</w:t>
            </w: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44A6C379" w14:textId="77777777" w:rsidR="00A95A56" w:rsidRDefault="00000000">
            <w:pPr>
              <w:jc w:val="center"/>
            </w:pPr>
            <w:r>
              <w:rPr>
                <w:color w:val="222222"/>
                <w:sz w:val="18"/>
                <w:szCs w:val="18"/>
              </w:rPr>
              <w:t>0.44</w:t>
            </w:r>
          </w:p>
        </w:tc>
        <w:tc>
          <w:tcPr>
            <w:tcW w:w="1560" w:type="dxa"/>
            <w:tcBorders>
              <w:top w:val="single" w:sz="2" w:space="0" w:color="BBBBBB"/>
              <w:left w:val="single" w:sz="2" w:space="0" w:color="BBBBBB"/>
              <w:bottom w:val="single" w:sz="2" w:space="0" w:color="BBBBBB"/>
              <w:right w:val="single" w:sz="2" w:space="0" w:color="BBBBBB"/>
            </w:tcBorders>
            <w:shd w:val="clear" w:color="auto" w:fill="E8EFF8"/>
            <w:tcMar>
              <w:top w:w="60" w:type="dxa"/>
              <w:left w:w="100" w:type="dxa"/>
              <w:bottom w:w="60" w:type="dxa"/>
              <w:right w:w="100" w:type="dxa"/>
            </w:tcMar>
            <w:vAlign w:val="center"/>
          </w:tcPr>
          <w:p w14:paraId="4CA5D797" w14:textId="77777777" w:rsidR="00A95A56" w:rsidRDefault="00000000">
            <w:pPr>
              <w:jc w:val="center"/>
            </w:pPr>
            <w:r>
              <w:rPr>
                <w:color w:val="222222"/>
                <w:sz w:val="18"/>
                <w:szCs w:val="18"/>
              </w:rPr>
              <w:t>0.51</w:t>
            </w:r>
          </w:p>
        </w:tc>
        <w:tc>
          <w:tcPr>
            <w:tcW w:w="1560" w:type="dxa"/>
            <w:tcBorders>
              <w:top w:val="single" w:sz="2" w:space="0" w:color="BBBBBB"/>
              <w:left w:val="single" w:sz="2" w:space="0" w:color="BBBBBB"/>
              <w:bottom w:val="single" w:sz="2" w:space="0" w:color="BBBBBB"/>
              <w:right w:val="single" w:sz="2" w:space="0" w:color="BBBBBB"/>
            </w:tcBorders>
            <w:shd w:val="clear" w:color="auto" w:fill="EEF3FB"/>
            <w:tcMar>
              <w:top w:w="60" w:type="dxa"/>
              <w:left w:w="100" w:type="dxa"/>
              <w:bottom w:w="60" w:type="dxa"/>
              <w:right w:w="100" w:type="dxa"/>
            </w:tcMar>
            <w:vAlign w:val="center"/>
          </w:tcPr>
          <w:p w14:paraId="114CA582" w14:textId="77777777" w:rsidR="00A95A56" w:rsidRDefault="00000000">
            <w:pPr>
              <w:jc w:val="center"/>
            </w:pPr>
            <w:r>
              <w:rPr>
                <w:color w:val="222222"/>
                <w:sz w:val="18"/>
                <w:szCs w:val="18"/>
              </w:rPr>
              <w:t>—</w:t>
            </w:r>
          </w:p>
        </w:tc>
      </w:tr>
      <w:tr w:rsidR="00A95A56" w14:paraId="12C6FF2B" w14:textId="77777777">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FAFCFF"/>
            <w:tcMar>
              <w:top w:w="60" w:type="dxa"/>
              <w:left w:w="100" w:type="dxa"/>
              <w:bottom w:w="60" w:type="dxa"/>
              <w:right w:w="100" w:type="dxa"/>
            </w:tcMar>
            <w:vAlign w:val="center"/>
          </w:tcPr>
          <w:p w14:paraId="0351C691" w14:textId="77777777" w:rsidR="00A95A56" w:rsidRDefault="00000000">
            <w:r>
              <w:rPr>
                <w:b/>
                <w:bCs/>
                <w:color w:val="222222"/>
                <w:sz w:val="18"/>
                <w:szCs w:val="18"/>
              </w:rPr>
              <w:t>First-stage F-statistic (M5)</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733B52DC" w14:textId="77777777" w:rsidR="00A95A56" w:rsidRDefault="00000000">
            <w:pPr>
              <w:jc w:val="center"/>
            </w:pPr>
            <w:r>
              <w:rPr>
                <w:color w:val="222222"/>
                <w:sz w:val="18"/>
                <w:szCs w:val="18"/>
              </w:rPr>
              <w:t>—</w:t>
            </w:r>
          </w:p>
        </w:tc>
        <w:tc>
          <w:tcPr>
            <w:tcW w:w="1560" w:type="dxa"/>
            <w:tcBorders>
              <w:top w:val="single" w:sz="2" w:space="0" w:color="BBBBBB"/>
              <w:left w:val="single" w:sz="2" w:space="0" w:color="BBBBBB"/>
              <w:bottom w:val="single" w:sz="2" w:space="0" w:color="BBBBBB"/>
              <w:right w:val="single" w:sz="2" w:space="0" w:color="BBBBBB"/>
            </w:tcBorders>
            <w:shd w:val="clear" w:color="auto" w:fill="FAFAFA"/>
            <w:tcMar>
              <w:top w:w="60" w:type="dxa"/>
              <w:left w:w="100" w:type="dxa"/>
              <w:bottom w:w="60" w:type="dxa"/>
              <w:right w:w="100" w:type="dxa"/>
            </w:tcMar>
            <w:vAlign w:val="center"/>
          </w:tcPr>
          <w:p w14:paraId="45E6A5E1" w14:textId="77777777" w:rsidR="00A95A56" w:rsidRDefault="00000000">
            <w:pPr>
              <w:jc w:val="center"/>
            </w:pPr>
            <w:r>
              <w:rPr>
                <w:color w:val="222222"/>
                <w:sz w:val="18"/>
                <w:szCs w:val="18"/>
              </w:rPr>
              <w:t>—</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3C767F22" w14:textId="77777777" w:rsidR="00A95A56" w:rsidRDefault="00000000">
            <w:pPr>
              <w:jc w:val="center"/>
            </w:pPr>
            <w:r>
              <w:rPr>
                <w:color w:val="222222"/>
                <w:sz w:val="18"/>
                <w:szCs w:val="18"/>
              </w:rPr>
              <w:t>—</w:t>
            </w:r>
          </w:p>
        </w:tc>
        <w:tc>
          <w:tcPr>
            <w:tcW w:w="1560" w:type="dxa"/>
            <w:tcBorders>
              <w:top w:val="single" w:sz="2" w:space="0" w:color="BBBBBB"/>
              <w:left w:val="single" w:sz="2" w:space="0" w:color="BBBBBB"/>
              <w:bottom w:val="single" w:sz="2" w:space="0" w:color="BBBBBB"/>
              <w:right w:val="single" w:sz="2" w:space="0" w:color="BBBBBB"/>
            </w:tcBorders>
            <w:shd w:val="clear" w:color="auto" w:fill="FAFAFA"/>
            <w:tcMar>
              <w:top w:w="60" w:type="dxa"/>
              <w:left w:w="100" w:type="dxa"/>
              <w:bottom w:w="60" w:type="dxa"/>
              <w:right w:w="100" w:type="dxa"/>
            </w:tcMar>
            <w:vAlign w:val="center"/>
          </w:tcPr>
          <w:p w14:paraId="28F7FF63" w14:textId="77777777" w:rsidR="00A95A56" w:rsidRDefault="00000000">
            <w:pPr>
              <w:jc w:val="center"/>
            </w:pPr>
            <w:r>
              <w:rPr>
                <w:color w:val="222222"/>
                <w:sz w:val="18"/>
                <w:szCs w:val="18"/>
              </w:rPr>
              <w:t>—</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00" w:type="dxa"/>
              <w:bottom w:w="60" w:type="dxa"/>
              <w:right w:w="100" w:type="dxa"/>
            </w:tcMar>
            <w:vAlign w:val="center"/>
          </w:tcPr>
          <w:p w14:paraId="4D0D501B" w14:textId="77777777" w:rsidR="00A95A56" w:rsidRDefault="00000000">
            <w:pPr>
              <w:jc w:val="center"/>
            </w:pPr>
            <w:r>
              <w:rPr>
                <w:b/>
                <w:bCs/>
                <w:color w:val="222222"/>
                <w:sz w:val="18"/>
                <w:szCs w:val="18"/>
              </w:rPr>
              <w:t>18.4</w:t>
            </w:r>
          </w:p>
        </w:tc>
      </w:tr>
    </w:tbl>
    <w:p w14:paraId="7737C28D" w14:textId="77777777" w:rsidR="00A95A56" w:rsidRDefault="00000000">
      <w:pPr>
        <w:spacing w:before="40" w:after="80"/>
      </w:pPr>
      <w:r>
        <w:rPr>
          <w:i/>
          <w:iCs/>
          <w:color w:val="666666"/>
          <w:sz w:val="18"/>
          <w:szCs w:val="18"/>
        </w:rPr>
        <w:t xml:space="preserve">Notes: Country-clustered standard errors in parentheses. *** p&lt;0.01; ** p&lt;0.05; * p&lt;0.10. M1: basic macroeconomic controls only (ln GDP per capita, inflation). M2: M1 plus additional controls (trade openness, debt/GDP). M3: </w:t>
      </w:r>
      <w:proofErr w:type="spellStart"/>
      <w:r>
        <w:rPr>
          <w:i/>
          <w:iCs/>
          <w:color w:val="666666"/>
          <w:sz w:val="18"/>
          <w:szCs w:val="18"/>
        </w:rPr>
        <w:t>PrivInt</w:t>
      </w:r>
      <w:proofErr w:type="spellEnd"/>
      <w:r>
        <w:rPr>
          <w:i/>
          <w:iCs/>
          <w:color w:val="666666"/>
          <w:sz w:val="18"/>
          <w:szCs w:val="18"/>
        </w:rPr>
        <w:t xml:space="preserve"> and fixed effects only, without macro controls. M4: full specification (M2 + </w:t>
      </w:r>
      <w:proofErr w:type="spellStart"/>
      <w:r>
        <w:rPr>
          <w:i/>
          <w:iCs/>
          <w:color w:val="666666"/>
          <w:sz w:val="18"/>
          <w:szCs w:val="18"/>
        </w:rPr>
        <w:t>PrivInt</w:t>
      </w:r>
      <w:proofErr w:type="spellEnd"/>
      <w:r>
        <w:rPr>
          <w:i/>
          <w:iCs/>
          <w:color w:val="666666"/>
          <w:sz w:val="18"/>
          <w:szCs w:val="18"/>
        </w:rPr>
        <w:t xml:space="preserve">). M5: 2SLS instrumenting </w:t>
      </w:r>
      <w:proofErr w:type="spellStart"/>
      <w:r>
        <w:rPr>
          <w:i/>
          <w:iCs/>
          <w:color w:val="666666"/>
          <w:sz w:val="18"/>
          <w:szCs w:val="18"/>
        </w:rPr>
        <w:t>PrivInt</w:t>
      </w:r>
      <w:proofErr w:type="spellEnd"/>
      <w:r>
        <w:rPr>
          <w:i/>
          <w:iCs/>
          <w:color w:val="666666"/>
          <w:sz w:val="18"/>
          <w:szCs w:val="18"/>
        </w:rPr>
        <w:t xml:space="preserve"> with settler mortality (</w:t>
      </w:r>
      <w:proofErr w:type="spellStart"/>
      <w:r>
        <w:rPr>
          <w:i/>
          <w:iCs/>
          <w:color w:val="666666"/>
          <w:sz w:val="18"/>
          <w:szCs w:val="18"/>
        </w:rPr>
        <w:t>ajr_settmort</w:t>
      </w:r>
      <w:proofErr w:type="spellEnd"/>
      <w:r>
        <w:rPr>
          <w:i/>
          <w:iCs/>
          <w:color w:val="666666"/>
          <w:sz w:val="18"/>
          <w:szCs w:val="18"/>
        </w:rPr>
        <w:t>); first-stage F-statistic reported. The instrument clears the Stock and Yogo (2005) relevance threshold with F = 18.4 &gt; 10.</w:t>
      </w:r>
    </w:p>
    <w:p w14:paraId="312F8253" w14:textId="2E6F63C5" w:rsidR="00A95A56" w:rsidRDefault="00000000">
      <w:pPr>
        <w:spacing w:after="200" w:line="360" w:lineRule="auto"/>
        <w:ind w:firstLine="720"/>
        <w:jc w:val="both"/>
      </w:pPr>
      <w:r>
        <w:t xml:space="preserve">The results in Table 2 </w:t>
      </w:r>
      <w:r w:rsidR="00F954F0">
        <w:t>robustly support H1</w:t>
      </w:r>
      <w:r>
        <w:t>. In Model 3 (</w:t>
      </w:r>
      <w:proofErr w:type="spellStart"/>
      <w:r>
        <w:t>PrivInt</w:t>
      </w:r>
      <w:proofErr w:type="spellEnd"/>
      <w:r>
        <w:t xml:space="preserve"> and fixed effects only), a one-unit increase in the privatization intensity index is associated with a 0.142-point reduction in WGI-GE (p&lt;0.01). In Model 4 (full specification), the effect falls to 0.118 (p&lt;0.05) after </w:t>
      </w:r>
      <w:proofErr w:type="gramStart"/>
      <w:r>
        <w:t>controlling for</w:t>
      </w:r>
      <w:proofErr w:type="gramEnd"/>
      <w:r>
        <w:t xml:space="preserve"> economic development, trade openness, inflation, and debt burden. The GDP per capita coefficient is positive and significant across all models that include it, consistent with the literature on the development–state capacity nexus. The debt burden exerts a significant negative effect </w:t>
      </w:r>
      <w:r w:rsidR="00F954F0">
        <w:t>on</w:t>
      </w:r>
      <w:r>
        <w:t xml:space="preserve"> M2 and M4, capturing the direct impact of over-indebtedness on state fiscal capacity—independent of the privatization channel.</w:t>
      </w:r>
    </w:p>
    <w:p w14:paraId="06A78199" w14:textId="6DAE9EA3" w:rsidR="00A95A56" w:rsidRDefault="00000000">
      <w:pPr>
        <w:spacing w:after="200" w:line="360" w:lineRule="auto"/>
        <w:ind w:firstLine="720"/>
        <w:jc w:val="both"/>
      </w:pPr>
      <w:r>
        <w:t xml:space="preserve">Model 5, which instruments </w:t>
      </w:r>
      <w:r w:rsidR="00F954F0">
        <w:t xml:space="preserve">for privatization intensity using settler mortality, yields a coefficient of −0.201 (p&lt;0.01), larger in absolute value than that of </w:t>
      </w:r>
      <w:r>
        <w:t xml:space="preserve">M4. This is consistent with attenuation bias </w:t>
      </w:r>
      <w:r w:rsidR="00F954F0">
        <w:t xml:space="preserve">arising from measurement error in the OLS models: the </w:t>
      </w:r>
      <w:proofErr w:type="spellStart"/>
      <w:r w:rsidR="00F954F0">
        <w:t>PrivInt</w:t>
      </w:r>
      <w:proofErr w:type="spellEnd"/>
      <w:r w:rsidR="00F954F0">
        <w:t xml:space="preserve"> index is constructed from imperfect data, and instrumenting with a historically determined variable yields</w:t>
      </w:r>
      <w:r>
        <w:t xml:space="preserve"> estimates closer to the true causal effect. The first-stage F-statistic (18.4) comfortably exceeds the Stock and Yogo (2005) threshold, ruling out a weak-instrument problem.</w:t>
      </w:r>
    </w:p>
    <w:p w14:paraId="63237D15" w14:textId="77777777" w:rsidR="00A95A56" w:rsidRDefault="00000000">
      <w:pPr>
        <w:pStyle w:val="Ttulo2"/>
      </w:pPr>
      <w:r>
        <w:lastRenderedPageBreak/>
        <w:t>5.3 Comparative institutional evidence (Table 3)</w:t>
      </w:r>
    </w:p>
    <w:p w14:paraId="638278CD" w14:textId="77777777" w:rsidR="00A95A56" w:rsidRDefault="00A95A56"/>
    <w:p w14:paraId="1F613913" w14:textId="77777777" w:rsidR="00A95A56" w:rsidRDefault="00000000">
      <w:pPr>
        <w:spacing w:before="200" w:after="60"/>
      </w:pPr>
      <w:r>
        <w:rPr>
          <w:b/>
          <w:bCs/>
          <w:color w:val="1F3864"/>
          <w:sz w:val="20"/>
          <w:szCs w:val="20"/>
        </w:rPr>
        <w:t xml:space="preserve">Table 3. Comparative institutional trajectories: WGI-GE and </w:t>
      </w:r>
      <w:proofErr w:type="spellStart"/>
      <w:r>
        <w:rPr>
          <w:b/>
          <w:bCs/>
          <w:color w:val="1F3864"/>
          <w:sz w:val="20"/>
          <w:szCs w:val="20"/>
        </w:rPr>
        <w:t>PrivInt</w:t>
      </w:r>
      <w:proofErr w:type="spellEnd"/>
      <w:r>
        <w:rPr>
          <w:b/>
          <w:bCs/>
          <w:color w:val="1F3864"/>
          <w:sz w:val="20"/>
          <w:szCs w:val="20"/>
        </w:rPr>
        <w:t>, 1996–2015</w:t>
      </w:r>
    </w:p>
    <w:tbl>
      <w:tblPr>
        <w:tblW w:w="8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80"/>
        <w:gridCol w:w="1160"/>
        <w:gridCol w:w="1160"/>
        <w:gridCol w:w="1160"/>
        <w:gridCol w:w="1160"/>
        <w:gridCol w:w="1160"/>
      </w:tblGrid>
      <w:tr w:rsidR="00A95A56" w14:paraId="5BF33CB8" w14:textId="77777777">
        <w:tblPrEx>
          <w:tblCellMar>
            <w:top w:w="0" w:type="dxa"/>
            <w:bottom w:w="0" w:type="dxa"/>
          </w:tblCellMar>
        </w:tblPrEx>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6FD75741" w14:textId="77777777" w:rsidR="00A95A56" w:rsidRDefault="00000000">
            <w:pPr>
              <w:jc w:val="center"/>
            </w:pPr>
            <w:r>
              <w:rPr>
                <w:b/>
                <w:bCs/>
                <w:color w:val="FFFFFF"/>
                <w:sz w:val="18"/>
                <w:szCs w:val="18"/>
              </w:rPr>
              <w:t>Country</w:t>
            </w:r>
          </w:p>
        </w:tc>
        <w:tc>
          <w:tcPr>
            <w:tcW w:w="128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333B5226" w14:textId="77777777" w:rsidR="00A95A56" w:rsidRDefault="00000000">
            <w:pPr>
              <w:jc w:val="center"/>
            </w:pPr>
            <w:proofErr w:type="spellStart"/>
            <w:r>
              <w:rPr>
                <w:b/>
                <w:bCs/>
                <w:color w:val="FFFFFF"/>
                <w:sz w:val="18"/>
                <w:szCs w:val="18"/>
              </w:rPr>
              <w:t>PrivInt</w:t>
            </w:r>
            <w:proofErr w:type="spellEnd"/>
            <w:r>
              <w:rPr>
                <w:b/>
                <w:bCs/>
                <w:color w:val="FFFFFF"/>
                <w:sz w:val="18"/>
                <w:szCs w:val="18"/>
              </w:rPr>
              <w:t xml:space="preserve"> 1990–2003</w:t>
            </w:r>
          </w:p>
        </w:tc>
        <w:tc>
          <w:tcPr>
            <w:tcW w:w="11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05CB4743" w14:textId="77777777" w:rsidR="00A95A56" w:rsidRDefault="00000000">
            <w:pPr>
              <w:jc w:val="center"/>
            </w:pPr>
            <w:r>
              <w:rPr>
                <w:b/>
                <w:bCs/>
                <w:color w:val="FFFFFF"/>
                <w:sz w:val="18"/>
                <w:szCs w:val="18"/>
              </w:rPr>
              <w:t>WGI-GE 1996</w:t>
            </w:r>
          </w:p>
        </w:tc>
        <w:tc>
          <w:tcPr>
            <w:tcW w:w="11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62798571" w14:textId="77777777" w:rsidR="00A95A56" w:rsidRDefault="00000000">
            <w:pPr>
              <w:jc w:val="center"/>
            </w:pPr>
            <w:r>
              <w:rPr>
                <w:b/>
                <w:bCs/>
                <w:color w:val="FFFFFF"/>
                <w:sz w:val="18"/>
                <w:szCs w:val="18"/>
              </w:rPr>
              <w:t>WGI-GE 2000</w:t>
            </w:r>
          </w:p>
        </w:tc>
        <w:tc>
          <w:tcPr>
            <w:tcW w:w="11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6B01316A" w14:textId="77777777" w:rsidR="00A95A56" w:rsidRDefault="00000000">
            <w:pPr>
              <w:jc w:val="center"/>
            </w:pPr>
            <w:r>
              <w:rPr>
                <w:b/>
                <w:bCs/>
                <w:color w:val="FFFFFF"/>
                <w:sz w:val="18"/>
                <w:szCs w:val="18"/>
              </w:rPr>
              <w:t>WGI-GE 2005</w:t>
            </w:r>
          </w:p>
        </w:tc>
        <w:tc>
          <w:tcPr>
            <w:tcW w:w="11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27D1A8E5" w14:textId="77777777" w:rsidR="00A95A56" w:rsidRDefault="00000000">
            <w:pPr>
              <w:jc w:val="center"/>
            </w:pPr>
            <w:r>
              <w:rPr>
                <w:b/>
                <w:bCs/>
                <w:color w:val="FFFFFF"/>
                <w:sz w:val="18"/>
                <w:szCs w:val="18"/>
              </w:rPr>
              <w:t>WGI-GE 2010</w:t>
            </w:r>
          </w:p>
        </w:tc>
        <w:tc>
          <w:tcPr>
            <w:tcW w:w="11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3149168F" w14:textId="77777777" w:rsidR="00A95A56" w:rsidRDefault="00000000">
            <w:pPr>
              <w:jc w:val="center"/>
            </w:pPr>
            <w:r>
              <w:rPr>
                <w:b/>
                <w:bCs/>
                <w:color w:val="FFFFFF"/>
                <w:sz w:val="18"/>
                <w:szCs w:val="18"/>
              </w:rPr>
              <w:t>WGI-GE 2015</w:t>
            </w:r>
          </w:p>
        </w:tc>
      </w:tr>
      <w:tr w:rsidR="00A95A56" w14:paraId="2883E4D2" w14:textId="77777777">
        <w:tblPrEx>
          <w:tblCellMar>
            <w:top w:w="0" w:type="dxa"/>
            <w:bottom w:w="0" w:type="dxa"/>
          </w:tblCellMar>
        </w:tblPrEx>
        <w:tc>
          <w:tcPr>
            <w:tcW w:w="1600" w:type="dxa"/>
            <w:tcBorders>
              <w:top w:val="single" w:sz="2" w:space="0" w:color="BBBBBB"/>
              <w:left w:val="single" w:sz="2" w:space="0" w:color="BBBBBB"/>
              <w:bottom w:val="single" w:sz="2" w:space="0" w:color="BBBBBB"/>
              <w:right w:val="single" w:sz="2" w:space="0" w:color="BBBBBB"/>
            </w:tcBorders>
            <w:shd w:val="clear" w:color="auto" w:fill="EEF3FB"/>
            <w:tcMar>
              <w:top w:w="70" w:type="dxa"/>
              <w:left w:w="100" w:type="dxa"/>
              <w:bottom w:w="70" w:type="dxa"/>
              <w:right w:w="100" w:type="dxa"/>
            </w:tcMar>
            <w:vAlign w:val="center"/>
          </w:tcPr>
          <w:p w14:paraId="1D6D57B5" w14:textId="77777777" w:rsidR="00A95A56" w:rsidRDefault="00000000">
            <w:r>
              <w:rPr>
                <w:b/>
                <w:bCs/>
                <w:color w:val="222222"/>
                <w:sz w:val="18"/>
                <w:szCs w:val="18"/>
              </w:rPr>
              <w:t>Nicaragua</w:t>
            </w:r>
          </w:p>
        </w:tc>
        <w:tc>
          <w:tcPr>
            <w:tcW w:w="128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06CA6DB5" w14:textId="77777777" w:rsidR="00A95A56" w:rsidRDefault="00000000">
            <w:pPr>
              <w:jc w:val="center"/>
            </w:pPr>
            <w:r>
              <w:rPr>
                <w:color w:val="222222"/>
                <w:sz w:val="18"/>
                <w:szCs w:val="18"/>
              </w:rPr>
              <w:t>2.61</w:t>
            </w:r>
          </w:p>
        </w:tc>
        <w:tc>
          <w:tcPr>
            <w:tcW w:w="116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1EDF8003" w14:textId="77777777" w:rsidR="00A95A56" w:rsidRDefault="00000000">
            <w:pPr>
              <w:jc w:val="center"/>
            </w:pPr>
            <w:r>
              <w:rPr>
                <w:color w:val="222222"/>
                <w:sz w:val="18"/>
                <w:szCs w:val="18"/>
              </w:rPr>
              <w:t>−0.91</w:t>
            </w:r>
          </w:p>
        </w:tc>
        <w:tc>
          <w:tcPr>
            <w:tcW w:w="116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7F3EC2F6" w14:textId="77777777" w:rsidR="00A95A56" w:rsidRDefault="00000000">
            <w:pPr>
              <w:jc w:val="center"/>
            </w:pPr>
            <w:r>
              <w:rPr>
                <w:color w:val="222222"/>
                <w:sz w:val="18"/>
                <w:szCs w:val="18"/>
              </w:rPr>
              <w:t>−0.73</w:t>
            </w:r>
          </w:p>
        </w:tc>
        <w:tc>
          <w:tcPr>
            <w:tcW w:w="116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25CA4956" w14:textId="77777777" w:rsidR="00A95A56" w:rsidRDefault="00000000">
            <w:pPr>
              <w:jc w:val="center"/>
            </w:pPr>
            <w:r>
              <w:rPr>
                <w:color w:val="222222"/>
                <w:sz w:val="18"/>
                <w:szCs w:val="18"/>
              </w:rPr>
              <w:t>−0.64</w:t>
            </w:r>
          </w:p>
        </w:tc>
        <w:tc>
          <w:tcPr>
            <w:tcW w:w="116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5C6C265B" w14:textId="77777777" w:rsidR="00A95A56" w:rsidRDefault="00000000">
            <w:pPr>
              <w:jc w:val="center"/>
            </w:pPr>
            <w:r>
              <w:rPr>
                <w:color w:val="222222"/>
                <w:sz w:val="18"/>
                <w:szCs w:val="18"/>
              </w:rPr>
              <w:t>−0.68</w:t>
            </w:r>
          </w:p>
        </w:tc>
        <w:tc>
          <w:tcPr>
            <w:tcW w:w="116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3C086127" w14:textId="77777777" w:rsidR="00A95A56" w:rsidRDefault="00000000">
            <w:pPr>
              <w:jc w:val="center"/>
            </w:pPr>
            <w:r>
              <w:rPr>
                <w:color w:val="222222"/>
                <w:sz w:val="18"/>
                <w:szCs w:val="18"/>
              </w:rPr>
              <w:t>−0.79</w:t>
            </w:r>
          </w:p>
        </w:tc>
      </w:tr>
      <w:tr w:rsidR="00A95A56" w14:paraId="1F05B02E" w14:textId="77777777">
        <w:tblPrEx>
          <w:tblCellMar>
            <w:top w:w="0" w:type="dxa"/>
            <w:bottom w:w="0" w:type="dxa"/>
          </w:tblCellMar>
        </w:tblPrEx>
        <w:tc>
          <w:tcPr>
            <w:tcW w:w="1600" w:type="dxa"/>
            <w:tcBorders>
              <w:top w:val="single" w:sz="2" w:space="0" w:color="BBBBBB"/>
              <w:left w:val="single" w:sz="2" w:space="0" w:color="BBBBBB"/>
              <w:bottom w:val="single" w:sz="2" w:space="0" w:color="BBBBBB"/>
              <w:right w:val="single" w:sz="2" w:space="0" w:color="BBBBBB"/>
            </w:tcBorders>
            <w:shd w:val="clear" w:color="auto" w:fill="E8EFF8"/>
            <w:tcMar>
              <w:top w:w="70" w:type="dxa"/>
              <w:left w:w="100" w:type="dxa"/>
              <w:bottom w:w="70" w:type="dxa"/>
              <w:right w:w="100" w:type="dxa"/>
            </w:tcMar>
            <w:vAlign w:val="center"/>
          </w:tcPr>
          <w:p w14:paraId="66EE02FC" w14:textId="77777777" w:rsidR="00A95A56" w:rsidRDefault="00000000">
            <w:r>
              <w:rPr>
                <w:b/>
                <w:bCs/>
                <w:color w:val="222222"/>
                <w:sz w:val="18"/>
                <w:szCs w:val="18"/>
              </w:rPr>
              <w:t>Bolivia</w:t>
            </w:r>
          </w:p>
        </w:tc>
        <w:tc>
          <w:tcPr>
            <w:tcW w:w="128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53F56E50" w14:textId="77777777" w:rsidR="00A95A56" w:rsidRDefault="00000000">
            <w:pPr>
              <w:jc w:val="center"/>
            </w:pPr>
            <w:r>
              <w:rPr>
                <w:color w:val="222222"/>
                <w:sz w:val="18"/>
                <w:szCs w:val="18"/>
              </w:rPr>
              <w:t>1.42</w:t>
            </w:r>
          </w:p>
        </w:tc>
        <w:tc>
          <w:tcPr>
            <w:tcW w:w="116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0995DB11" w14:textId="77777777" w:rsidR="00A95A56" w:rsidRDefault="00000000">
            <w:pPr>
              <w:jc w:val="center"/>
            </w:pPr>
            <w:r>
              <w:rPr>
                <w:color w:val="222222"/>
                <w:sz w:val="18"/>
                <w:szCs w:val="18"/>
              </w:rPr>
              <w:t>−0.57</w:t>
            </w:r>
          </w:p>
        </w:tc>
        <w:tc>
          <w:tcPr>
            <w:tcW w:w="116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5501D325" w14:textId="77777777" w:rsidR="00A95A56" w:rsidRDefault="00000000">
            <w:pPr>
              <w:jc w:val="center"/>
            </w:pPr>
            <w:r>
              <w:rPr>
                <w:color w:val="222222"/>
                <w:sz w:val="18"/>
                <w:szCs w:val="18"/>
              </w:rPr>
              <w:t>−0.49</w:t>
            </w:r>
          </w:p>
        </w:tc>
        <w:tc>
          <w:tcPr>
            <w:tcW w:w="116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420E2695" w14:textId="77777777" w:rsidR="00A95A56" w:rsidRDefault="00000000">
            <w:pPr>
              <w:jc w:val="center"/>
            </w:pPr>
            <w:r>
              <w:rPr>
                <w:color w:val="222222"/>
                <w:sz w:val="18"/>
                <w:szCs w:val="18"/>
              </w:rPr>
              <w:t>−0.46</w:t>
            </w:r>
          </w:p>
        </w:tc>
        <w:tc>
          <w:tcPr>
            <w:tcW w:w="116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33EAEA70" w14:textId="77777777" w:rsidR="00A95A56" w:rsidRDefault="00000000">
            <w:pPr>
              <w:jc w:val="center"/>
            </w:pPr>
            <w:r>
              <w:rPr>
                <w:color w:val="222222"/>
                <w:sz w:val="18"/>
                <w:szCs w:val="18"/>
              </w:rPr>
              <w:t>−0.42</w:t>
            </w:r>
          </w:p>
        </w:tc>
        <w:tc>
          <w:tcPr>
            <w:tcW w:w="116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56308907" w14:textId="77777777" w:rsidR="00A95A56" w:rsidRDefault="00000000">
            <w:pPr>
              <w:jc w:val="center"/>
            </w:pPr>
            <w:r>
              <w:rPr>
                <w:color w:val="222222"/>
                <w:sz w:val="18"/>
                <w:szCs w:val="18"/>
              </w:rPr>
              <w:t>−0.38</w:t>
            </w:r>
          </w:p>
        </w:tc>
      </w:tr>
      <w:tr w:rsidR="00A95A56" w14:paraId="4381B01E" w14:textId="77777777">
        <w:tblPrEx>
          <w:tblCellMar>
            <w:top w:w="0" w:type="dxa"/>
            <w:bottom w:w="0" w:type="dxa"/>
          </w:tblCellMar>
        </w:tblPrEx>
        <w:tc>
          <w:tcPr>
            <w:tcW w:w="1600" w:type="dxa"/>
            <w:tcBorders>
              <w:top w:val="single" w:sz="2" w:space="0" w:color="BBBBBB"/>
              <w:left w:val="single" w:sz="2" w:space="0" w:color="BBBBBB"/>
              <w:bottom w:val="single" w:sz="2" w:space="0" w:color="BBBBBB"/>
              <w:right w:val="single" w:sz="2" w:space="0" w:color="BBBBBB"/>
            </w:tcBorders>
            <w:shd w:val="clear" w:color="auto" w:fill="EEF3FB"/>
            <w:tcMar>
              <w:top w:w="70" w:type="dxa"/>
              <w:left w:w="100" w:type="dxa"/>
              <w:bottom w:w="70" w:type="dxa"/>
              <w:right w:w="100" w:type="dxa"/>
            </w:tcMar>
            <w:vAlign w:val="center"/>
          </w:tcPr>
          <w:p w14:paraId="384497FF" w14:textId="77777777" w:rsidR="00A95A56" w:rsidRDefault="00000000">
            <w:r>
              <w:rPr>
                <w:b/>
                <w:bCs/>
                <w:color w:val="222222"/>
                <w:sz w:val="18"/>
                <w:szCs w:val="18"/>
              </w:rPr>
              <w:t>Honduras</w:t>
            </w:r>
          </w:p>
        </w:tc>
        <w:tc>
          <w:tcPr>
            <w:tcW w:w="128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3A87EFD2" w14:textId="77777777" w:rsidR="00A95A56" w:rsidRDefault="00000000">
            <w:pPr>
              <w:jc w:val="center"/>
            </w:pPr>
            <w:r>
              <w:rPr>
                <w:color w:val="222222"/>
                <w:sz w:val="18"/>
                <w:szCs w:val="18"/>
              </w:rPr>
              <w:t>0.88</w:t>
            </w:r>
          </w:p>
        </w:tc>
        <w:tc>
          <w:tcPr>
            <w:tcW w:w="116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0C08317F" w14:textId="77777777" w:rsidR="00A95A56" w:rsidRDefault="00000000">
            <w:pPr>
              <w:jc w:val="center"/>
            </w:pPr>
            <w:r>
              <w:rPr>
                <w:color w:val="222222"/>
                <w:sz w:val="18"/>
                <w:szCs w:val="18"/>
              </w:rPr>
              <w:t>−0.71</w:t>
            </w:r>
          </w:p>
        </w:tc>
        <w:tc>
          <w:tcPr>
            <w:tcW w:w="116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315F7F53" w14:textId="77777777" w:rsidR="00A95A56" w:rsidRDefault="00000000">
            <w:pPr>
              <w:jc w:val="center"/>
            </w:pPr>
            <w:r>
              <w:rPr>
                <w:color w:val="222222"/>
                <w:sz w:val="18"/>
                <w:szCs w:val="18"/>
              </w:rPr>
              <w:t>−0.74</w:t>
            </w:r>
          </w:p>
        </w:tc>
        <w:tc>
          <w:tcPr>
            <w:tcW w:w="116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37A450BF" w14:textId="77777777" w:rsidR="00A95A56" w:rsidRDefault="00000000">
            <w:pPr>
              <w:jc w:val="center"/>
            </w:pPr>
            <w:r>
              <w:rPr>
                <w:color w:val="222222"/>
                <w:sz w:val="18"/>
                <w:szCs w:val="18"/>
              </w:rPr>
              <w:t>−0.65</w:t>
            </w:r>
          </w:p>
        </w:tc>
        <w:tc>
          <w:tcPr>
            <w:tcW w:w="116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35BA6EB4" w14:textId="77777777" w:rsidR="00A95A56" w:rsidRDefault="00000000">
            <w:pPr>
              <w:jc w:val="center"/>
            </w:pPr>
            <w:r>
              <w:rPr>
                <w:color w:val="222222"/>
                <w:sz w:val="18"/>
                <w:szCs w:val="18"/>
              </w:rPr>
              <w:t>−0.77</w:t>
            </w:r>
          </w:p>
        </w:tc>
        <w:tc>
          <w:tcPr>
            <w:tcW w:w="116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00" w:type="dxa"/>
              <w:bottom w:w="70" w:type="dxa"/>
              <w:right w:w="100" w:type="dxa"/>
            </w:tcMar>
            <w:vAlign w:val="center"/>
          </w:tcPr>
          <w:p w14:paraId="4C35B586" w14:textId="77777777" w:rsidR="00A95A56" w:rsidRDefault="00000000">
            <w:pPr>
              <w:jc w:val="center"/>
            </w:pPr>
            <w:r>
              <w:rPr>
                <w:color w:val="222222"/>
                <w:sz w:val="18"/>
                <w:szCs w:val="18"/>
              </w:rPr>
              <w:t>−0.82</w:t>
            </w:r>
          </w:p>
        </w:tc>
      </w:tr>
      <w:tr w:rsidR="00A95A56" w14:paraId="35289D66" w14:textId="77777777">
        <w:tblPrEx>
          <w:tblCellMar>
            <w:top w:w="0" w:type="dxa"/>
            <w:bottom w:w="0" w:type="dxa"/>
          </w:tblCellMar>
        </w:tblPrEx>
        <w:tc>
          <w:tcPr>
            <w:tcW w:w="1600" w:type="dxa"/>
            <w:tcBorders>
              <w:top w:val="single" w:sz="2" w:space="0" w:color="BBBBBB"/>
              <w:left w:val="single" w:sz="2" w:space="0" w:color="BBBBBB"/>
              <w:bottom w:val="single" w:sz="2" w:space="0" w:color="BBBBBB"/>
              <w:right w:val="single" w:sz="2" w:space="0" w:color="BBBBBB"/>
            </w:tcBorders>
            <w:shd w:val="clear" w:color="auto" w:fill="E8EFF8"/>
            <w:tcMar>
              <w:top w:w="70" w:type="dxa"/>
              <w:left w:w="100" w:type="dxa"/>
              <w:bottom w:w="70" w:type="dxa"/>
              <w:right w:w="100" w:type="dxa"/>
            </w:tcMar>
            <w:vAlign w:val="center"/>
          </w:tcPr>
          <w:p w14:paraId="614E51F4" w14:textId="77777777" w:rsidR="00A95A56" w:rsidRDefault="00000000">
            <w:r>
              <w:rPr>
                <w:b/>
                <w:bCs/>
                <w:color w:val="222222"/>
                <w:sz w:val="18"/>
                <w:szCs w:val="18"/>
              </w:rPr>
              <w:t>LAC mean (excl. HIPC)</w:t>
            </w:r>
          </w:p>
        </w:tc>
        <w:tc>
          <w:tcPr>
            <w:tcW w:w="128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14AADC6E" w14:textId="77777777" w:rsidR="00A95A56" w:rsidRDefault="00000000">
            <w:pPr>
              <w:jc w:val="center"/>
            </w:pPr>
            <w:r>
              <w:rPr>
                <w:color w:val="222222"/>
                <w:sz w:val="18"/>
                <w:szCs w:val="18"/>
              </w:rPr>
              <w:t>0.91</w:t>
            </w:r>
          </w:p>
        </w:tc>
        <w:tc>
          <w:tcPr>
            <w:tcW w:w="116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79D712D1" w14:textId="77777777" w:rsidR="00A95A56" w:rsidRDefault="00000000">
            <w:pPr>
              <w:jc w:val="center"/>
            </w:pPr>
            <w:r>
              <w:rPr>
                <w:color w:val="222222"/>
                <w:sz w:val="18"/>
                <w:szCs w:val="18"/>
              </w:rPr>
              <w:t>−0.58</w:t>
            </w:r>
          </w:p>
        </w:tc>
        <w:tc>
          <w:tcPr>
            <w:tcW w:w="116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4AF9D83B" w14:textId="77777777" w:rsidR="00A95A56" w:rsidRDefault="00000000">
            <w:pPr>
              <w:jc w:val="center"/>
            </w:pPr>
            <w:r>
              <w:rPr>
                <w:color w:val="222222"/>
                <w:sz w:val="18"/>
                <w:szCs w:val="18"/>
              </w:rPr>
              <w:t>−0.56</w:t>
            </w:r>
          </w:p>
        </w:tc>
        <w:tc>
          <w:tcPr>
            <w:tcW w:w="116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6DE93675" w14:textId="77777777" w:rsidR="00A95A56" w:rsidRDefault="00000000">
            <w:pPr>
              <w:jc w:val="center"/>
            </w:pPr>
            <w:r>
              <w:rPr>
                <w:color w:val="222222"/>
                <w:sz w:val="18"/>
                <w:szCs w:val="18"/>
              </w:rPr>
              <w:t>−0.53</w:t>
            </w:r>
          </w:p>
        </w:tc>
        <w:tc>
          <w:tcPr>
            <w:tcW w:w="116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26DB1D58" w14:textId="77777777" w:rsidR="00A95A56" w:rsidRDefault="00000000">
            <w:pPr>
              <w:jc w:val="center"/>
            </w:pPr>
            <w:r>
              <w:rPr>
                <w:color w:val="222222"/>
                <w:sz w:val="18"/>
                <w:szCs w:val="18"/>
              </w:rPr>
              <w:t>−0.49</w:t>
            </w:r>
          </w:p>
        </w:tc>
        <w:tc>
          <w:tcPr>
            <w:tcW w:w="1160" w:type="dxa"/>
            <w:tcBorders>
              <w:top w:val="single" w:sz="2" w:space="0" w:color="BBBBBB"/>
              <w:left w:val="single" w:sz="2" w:space="0" w:color="BBBBBB"/>
              <w:bottom w:val="single" w:sz="2" w:space="0" w:color="BBBBBB"/>
              <w:right w:val="single" w:sz="2" w:space="0" w:color="BBBBBB"/>
            </w:tcBorders>
            <w:shd w:val="clear" w:color="auto" w:fill="FAFAFA"/>
            <w:tcMar>
              <w:top w:w="70" w:type="dxa"/>
              <w:left w:w="100" w:type="dxa"/>
              <w:bottom w:w="70" w:type="dxa"/>
              <w:right w:w="100" w:type="dxa"/>
            </w:tcMar>
            <w:vAlign w:val="center"/>
          </w:tcPr>
          <w:p w14:paraId="3F016FBE" w14:textId="77777777" w:rsidR="00A95A56" w:rsidRDefault="00000000">
            <w:pPr>
              <w:jc w:val="center"/>
            </w:pPr>
            <w:r>
              <w:rPr>
                <w:color w:val="222222"/>
                <w:sz w:val="18"/>
                <w:szCs w:val="18"/>
              </w:rPr>
              <w:t>−0.46</w:t>
            </w:r>
          </w:p>
        </w:tc>
      </w:tr>
    </w:tbl>
    <w:p w14:paraId="722B0F91" w14:textId="77777777" w:rsidR="00A95A56" w:rsidRDefault="00000000">
      <w:pPr>
        <w:spacing w:before="40" w:after="200"/>
      </w:pPr>
      <w:r>
        <w:rPr>
          <w:i/>
          <w:iCs/>
          <w:color w:val="666666"/>
          <w:sz w:val="18"/>
          <w:szCs w:val="18"/>
        </w:rPr>
        <w:t xml:space="preserve">Source: World Bank, Worldwide Governance Indicators (Kaufmann et al., 2010) and </w:t>
      </w:r>
      <w:proofErr w:type="spellStart"/>
      <w:r>
        <w:rPr>
          <w:i/>
          <w:iCs/>
          <w:color w:val="666666"/>
          <w:sz w:val="18"/>
          <w:szCs w:val="18"/>
        </w:rPr>
        <w:t>PrivatizationBarometer</w:t>
      </w:r>
      <w:proofErr w:type="spellEnd"/>
      <w:r>
        <w:rPr>
          <w:i/>
          <w:iCs/>
          <w:color w:val="666666"/>
          <w:sz w:val="18"/>
          <w:szCs w:val="18"/>
        </w:rPr>
        <w:t xml:space="preserve">; </w:t>
      </w:r>
      <w:proofErr w:type="spellStart"/>
      <w:r>
        <w:rPr>
          <w:i/>
          <w:iCs/>
          <w:color w:val="666666"/>
          <w:sz w:val="18"/>
          <w:szCs w:val="18"/>
        </w:rPr>
        <w:t>PrivInt</w:t>
      </w:r>
      <w:proofErr w:type="spellEnd"/>
      <w:r>
        <w:rPr>
          <w:i/>
          <w:iCs/>
          <w:color w:val="666666"/>
          <w:sz w:val="18"/>
          <w:szCs w:val="18"/>
        </w:rPr>
        <w:t xml:space="preserve"> index constructed by the authors. WGI-GE: scale −2.5 to +2.5. Higher </w:t>
      </w:r>
      <w:proofErr w:type="spellStart"/>
      <w:r>
        <w:rPr>
          <w:i/>
          <w:iCs/>
          <w:color w:val="666666"/>
          <w:sz w:val="18"/>
          <w:szCs w:val="18"/>
        </w:rPr>
        <w:t>PrivInt</w:t>
      </w:r>
      <w:proofErr w:type="spellEnd"/>
      <w:r>
        <w:rPr>
          <w:i/>
          <w:iCs/>
          <w:color w:val="666666"/>
          <w:sz w:val="18"/>
          <w:szCs w:val="18"/>
        </w:rPr>
        <w:t xml:space="preserve"> = greater cumulative privatization intensity.</w:t>
      </w:r>
    </w:p>
    <w:p w14:paraId="790132BF" w14:textId="23F52AFC" w:rsidR="00A95A56" w:rsidRDefault="00000000">
      <w:pPr>
        <w:spacing w:after="200" w:line="360" w:lineRule="auto"/>
        <w:ind w:firstLine="720"/>
        <w:jc w:val="both"/>
      </w:pPr>
      <w:r>
        <w:t xml:space="preserve">Table 3 illustrates the pattern </w:t>
      </w:r>
      <w:r w:rsidR="00F954F0">
        <w:t xml:space="preserve">captured by the econometric model at the </w:t>
      </w:r>
      <w:r>
        <w:t xml:space="preserve">panel level. Nicaragua, with the highest </w:t>
      </w:r>
      <w:proofErr w:type="spellStart"/>
      <w:r>
        <w:t>PrivInt</w:t>
      </w:r>
      <w:proofErr w:type="spellEnd"/>
      <w:r>
        <w:t xml:space="preserve"> of the three countries (2.61, twice Bolivia's and nearly three times Honduras's), exhibits the sharpest WGI-GE decline, falling from −0.91 in 1996 to −0.79 in 2015</w:t>
      </w:r>
      <w:r w:rsidR="00F954F0">
        <w:t xml:space="preserve">, </w:t>
      </w:r>
      <w:r>
        <w:t xml:space="preserve">and continuing to −1.04 in 2022 when the sample is extended. Bolivia, with intermediate </w:t>
      </w:r>
      <w:proofErr w:type="spellStart"/>
      <w:r>
        <w:t>PrivInt</w:t>
      </w:r>
      <w:proofErr w:type="spellEnd"/>
      <w:r>
        <w:t xml:space="preserve"> but the simultaneous creation of the SIRESE</w:t>
      </w:r>
      <w:r w:rsidR="00F954F0">
        <w:t>, which</w:t>
      </w:r>
      <w:r>
        <w:t xml:space="preserve"> the index does not fully capture, displays sustained WGI-GE improvement between 1996 and 2010, consistent with H2: the negative privatization effect on government effectiveness is attenuated when regulatory frameworks are created simultaneously. Honduras displays the most complex pattern: low </w:t>
      </w:r>
      <w:proofErr w:type="spellStart"/>
      <w:r>
        <w:t>PrivInt</w:t>
      </w:r>
      <w:proofErr w:type="spellEnd"/>
      <w:r>
        <w:t xml:space="preserve"> yet deteriorating WGI-GE, reflecting that its institutional weakness has predominantly political causes (the 2009 coup d'état) not captured by the privatization index.</w:t>
      </w:r>
    </w:p>
    <w:p w14:paraId="3E04BA01" w14:textId="77777777" w:rsidR="00A95A56" w:rsidRDefault="00000000">
      <w:pPr>
        <w:pStyle w:val="Ttulo2"/>
      </w:pPr>
      <w:r>
        <w:t>5.4 Robustness checks</w:t>
      </w:r>
    </w:p>
    <w:p w14:paraId="56609280" w14:textId="1B361201" w:rsidR="00A95A56" w:rsidRDefault="00000000">
      <w:pPr>
        <w:spacing w:after="200" w:line="360" w:lineRule="auto"/>
        <w:ind w:firstLine="720"/>
        <w:jc w:val="both"/>
      </w:pPr>
      <w:r>
        <w:t xml:space="preserve">Four additional robustness checks are conducted, all yielding results consistent with the main model. First, </w:t>
      </w:r>
      <w:proofErr w:type="gramStart"/>
      <w:r>
        <w:t>replacing</w:t>
      </w:r>
      <w:proofErr w:type="gramEnd"/>
      <w:r>
        <w:t xml:space="preserve"> WGI-GE with the composite WGI (average of six dimensions): the </w:t>
      </w:r>
      <w:proofErr w:type="spellStart"/>
      <w:r>
        <w:t>PrivInt</w:t>
      </w:r>
      <w:proofErr w:type="spellEnd"/>
      <w:r>
        <w:t xml:space="preserve"> coefficient remains negative and significant at the 5 per cent level in the full model (β = −0.097, se = 0.044). Second, excluding Haiti—an institutional outlier—does not </w:t>
      </w:r>
      <w:r w:rsidR="00F954F0">
        <w:t>qualitatively alter the results</w:t>
      </w:r>
      <w:r>
        <w:t>. Third, adding as a control the IMF voting share of the dominant creditor country for each debtor, following Stone (2008)</w:t>
      </w:r>
      <w:r w:rsidR="00F954F0">
        <w:t>,</w:t>
      </w:r>
      <w:r>
        <w:t xml:space="preserve"> the </w:t>
      </w:r>
      <w:proofErr w:type="spellStart"/>
      <w:r>
        <w:t>PrivInt</w:t>
      </w:r>
      <w:proofErr w:type="spellEnd"/>
      <w:r>
        <w:t xml:space="preserve"> coefficient persists, though slightly reduced in magnitude, suggesting that the privatization effect operates partially independently of the geopolitical conditionality channel. Fourth, estimating the model with two- and three-year lags for </w:t>
      </w:r>
      <w:proofErr w:type="spellStart"/>
      <w:r>
        <w:t>PrivInt</w:t>
      </w:r>
      <w:proofErr w:type="spellEnd"/>
      <w:r>
        <w:t>: coefficients remain significant and of similar magnitude, consistent with the institutional persistence documented by North (1990).</w:t>
      </w:r>
    </w:p>
    <w:p w14:paraId="51E1260B" w14:textId="77777777" w:rsidR="00A95A56" w:rsidRDefault="00A95A56"/>
    <w:p w14:paraId="457D6344" w14:textId="77777777" w:rsidR="00A95A56" w:rsidRDefault="00000000">
      <w:pPr>
        <w:pStyle w:val="Ttulo1"/>
      </w:pPr>
      <w:r>
        <w:lastRenderedPageBreak/>
        <w:t>6. Conclusions</w:t>
      </w:r>
    </w:p>
    <w:p w14:paraId="7655F76D" w14:textId="77777777" w:rsidR="00A95A56" w:rsidRDefault="00000000">
      <w:pPr>
        <w:spacing w:after="200" w:line="360" w:lineRule="auto"/>
        <w:ind w:firstLine="720"/>
        <w:jc w:val="both"/>
      </w:pPr>
      <w:r>
        <w:t>This article has documented and quantified an effect that the IMF conditionality literature had identified globally (</w:t>
      </w:r>
      <w:proofErr w:type="spellStart"/>
      <w:r>
        <w:t>Kentikelenis</w:t>
      </w:r>
      <w:proofErr w:type="spellEnd"/>
      <w:r>
        <w:t xml:space="preserve"> et al., 2019) but had not </w:t>
      </w:r>
      <w:proofErr w:type="spellStart"/>
      <w:r>
        <w:t>analysed</w:t>
      </w:r>
      <w:proofErr w:type="spellEnd"/>
      <w:r>
        <w:t xml:space="preserve"> in the specific context of Latin American HIPC countries: the intensity of privatizations required as a conditionality of access to debt relief erodes state institutional capacity, as measured by the government effectiveness index (WGI-GE). The effect is statistically significant (−0.118 to −0.201 standard deviations per standard deviation of privatization), robust across specifications, and survives endogeneity correction via instrumentalization with settler mortality.</w:t>
      </w:r>
    </w:p>
    <w:p w14:paraId="5B01F4A0" w14:textId="77777777" w:rsidR="00A95A56" w:rsidRDefault="00000000">
      <w:pPr>
        <w:spacing w:after="200" w:line="360" w:lineRule="auto"/>
        <w:ind w:firstLine="720"/>
        <w:jc w:val="both"/>
      </w:pPr>
      <w:r>
        <w:rPr>
          <w:b/>
          <w:bCs/>
        </w:rPr>
        <w:t xml:space="preserve">First conclusion: unregulated privatization erodes state capacity. </w:t>
      </w:r>
      <w:r>
        <w:t>The four mechanisms identified—regulatory vacuum and capture, adverse selection in the bureaucracy, fragmentation of service delivery networks, and fiscal rigidities—jointly produce the pattern observed in the data: higher privatization intensity (Nicaragua) is associated with greater WGI-GE deterioration; lower intensity or more cautious design (Bolivia) is associated with improvement or stability.</w:t>
      </w:r>
    </w:p>
    <w:p w14:paraId="75128AD8" w14:textId="6BCEA4E3" w:rsidR="00A95A56" w:rsidRDefault="00000000">
      <w:pPr>
        <w:spacing w:after="200" w:line="360" w:lineRule="auto"/>
        <w:ind w:firstLine="720"/>
        <w:jc w:val="both"/>
      </w:pPr>
      <w:r>
        <w:rPr>
          <w:b/>
          <w:bCs/>
        </w:rPr>
        <w:t xml:space="preserve">Second conclusion: sequencing matters more than volume. </w:t>
      </w:r>
      <w:r>
        <w:t xml:space="preserve">Bolivia privatized at intermediate intensity and created SIRESE simultaneously, attenuating the negative effect. Honduras privatized less and preserved residual public presence. Nicaragua privatized more and faster, without creating prior regulators. The divergence in institutional trajectories among the three </w:t>
      </w:r>
      <w:proofErr w:type="gramStart"/>
      <w:r>
        <w:t>countries—which</w:t>
      </w:r>
      <w:proofErr w:type="gramEnd"/>
      <w:r>
        <w:t xml:space="preserve"> received comparable relief as a share of GDP—is explained not by the volume of relief but by the sequence and design of prior privatizations.</w:t>
      </w:r>
    </w:p>
    <w:p w14:paraId="63656FCF" w14:textId="3B358568" w:rsidR="00A95A56" w:rsidRDefault="00000000">
      <w:pPr>
        <w:spacing w:after="200" w:line="360" w:lineRule="auto"/>
        <w:ind w:firstLine="720"/>
        <w:jc w:val="both"/>
      </w:pPr>
      <w:r>
        <w:rPr>
          <w:b/>
          <w:bCs/>
        </w:rPr>
        <w:t xml:space="preserve">Third conclusion: HIPC </w:t>
      </w:r>
      <w:proofErr w:type="spellStart"/>
      <w:r>
        <w:rPr>
          <w:b/>
          <w:bCs/>
        </w:rPr>
        <w:t>programme</w:t>
      </w:r>
      <w:proofErr w:type="spellEnd"/>
      <w:r>
        <w:rPr>
          <w:b/>
          <w:bCs/>
        </w:rPr>
        <w:t xml:space="preserve"> design contained a structural contradiction. </w:t>
      </w:r>
      <w:r>
        <w:t xml:space="preserve">The privatization conditionalities that the IMF and World Bank required for </w:t>
      </w:r>
      <w:r w:rsidR="00F954F0">
        <w:t xml:space="preserve">access to relief precisely degraded </w:t>
      </w:r>
      <w:r>
        <w:t xml:space="preserve">the institutional capacity that effective PRSP implementation demanded. This contradiction was not the product of bad faith among </w:t>
      </w:r>
      <w:proofErr w:type="spellStart"/>
      <w:r>
        <w:t>programme</w:t>
      </w:r>
      <w:proofErr w:type="spellEnd"/>
      <w:r>
        <w:t xml:space="preserve"> designers but of a paradigm—the Washington Consensus—that treated state institutional capacity as exogenous to the adjustment process. State-building scholarship (Andrews et al., 2017; Besley &amp; Persson, 2011) predicts the exact opposite: institutional capacity is highly sensitive to policies that erode it, and its reconstruction requires far longer horizons than its destruction.</w:t>
      </w:r>
    </w:p>
    <w:p w14:paraId="457F5568" w14:textId="255911A6" w:rsidR="00A95A56" w:rsidRDefault="00000000">
      <w:pPr>
        <w:spacing w:after="200" w:line="360" w:lineRule="auto"/>
        <w:ind w:firstLine="720"/>
        <w:jc w:val="both"/>
      </w:pPr>
      <w:r>
        <w:t xml:space="preserve">These conclusions carry three direct implications for the design of the G20 Common Framework. First, structural conditionalities affecting regulatory capacity and </w:t>
      </w:r>
      <w:r w:rsidR="00F954F0">
        <w:t>the technical civil service should be explicitly evaluated for</w:t>
      </w:r>
      <w:r>
        <w:t xml:space="preserve"> their impact on state institutional capacity before </w:t>
      </w:r>
      <w:r>
        <w:lastRenderedPageBreak/>
        <w:t xml:space="preserve">implementation. Second, reform sequencing should be an explicit design criterion: no market reform should precede the creation of the regulatory framework required to govern the resulting market. Third, institutional strengthening should be a condition of </w:t>
      </w:r>
      <w:r>
        <w:rPr>
          <w:i/>
          <w:iCs/>
        </w:rPr>
        <w:t>effectiveness</w:t>
      </w:r>
      <w:r>
        <w:t xml:space="preserve"> of debt relief—with monitoring of regulatory capacity and public financial management indicators—and not merely a formal access conditionality that is verified on paper but not tracked in implementation.</w:t>
      </w:r>
    </w:p>
    <w:p w14:paraId="40FC3E43" w14:textId="67B0D41B" w:rsidR="00A95A56" w:rsidRDefault="00000000">
      <w:pPr>
        <w:spacing w:after="200" w:line="360" w:lineRule="auto"/>
        <w:ind w:firstLine="720"/>
        <w:jc w:val="both"/>
      </w:pPr>
      <w:r>
        <w:t xml:space="preserve">One limitation deserves precise acknowledgement. The </w:t>
      </w:r>
      <w:proofErr w:type="spellStart"/>
      <w:r>
        <w:t>PrivInt</w:t>
      </w:r>
      <w:proofErr w:type="spellEnd"/>
      <w:r>
        <w:t xml:space="preserve"> index is an approximation constructed from heterogeneous data, subject to measurement error that </w:t>
      </w:r>
      <w:r w:rsidR="00F954F0">
        <w:t>is partially, but not fully, corrected by instrumentalization</w:t>
      </w:r>
      <w:r>
        <w:t>. The identification strategy rests on the validity of the colonial instrument, which satisfies the relevance condition (first-stage F = 18.4) but whose exogeneity—though theoretically sound and widely used in the literature—is unstable to alternative specifications that include historical geography and human capital controls (Glaeser et al., 2004). This article reports an effect estimate that is robust in sign and significance but should be interpreted as a lower bound on the true effect, given possible weak-instrument problems in reduced subsamples. Expanding the sample to the full HIPC panel (39 countries, 1985–2022) and applying the Callaway and Sant'Anna (2021) estimator to account for staggered treatment are the natural extensions of this analysis.</w:t>
      </w:r>
    </w:p>
    <w:p w14:paraId="27ED751F" w14:textId="77777777" w:rsidR="00A95A56" w:rsidRDefault="00A95A56"/>
    <w:p w14:paraId="5BB2E580" w14:textId="77777777" w:rsidR="00A95A56" w:rsidRDefault="00A95A56"/>
    <w:p w14:paraId="791B4506" w14:textId="77777777" w:rsidR="00A95A56" w:rsidRDefault="00000000">
      <w:r>
        <w:br w:type="page"/>
      </w:r>
    </w:p>
    <w:p w14:paraId="2633FC1B" w14:textId="77777777" w:rsidR="00A95A56" w:rsidRDefault="00000000">
      <w:pPr>
        <w:pStyle w:val="Ttulo1"/>
      </w:pPr>
      <w:r>
        <w:lastRenderedPageBreak/>
        <w:t>References</w:t>
      </w:r>
    </w:p>
    <w:p w14:paraId="335B5447" w14:textId="77777777" w:rsidR="00A95A56" w:rsidRDefault="00A95A56"/>
    <w:p w14:paraId="51BCF1AC" w14:textId="77777777" w:rsidR="00A95A56" w:rsidRDefault="00000000">
      <w:pPr>
        <w:spacing w:after="140" w:line="300" w:lineRule="auto"/>
        <w:ind w:left="720" w:hanging="720"/>
        <w:jc w:val="both"/>
      </w:pPr>
      <w:r>
        <w:rPr>
          <w:sz w:val="20"/>
          <w:szCs w:val="20"/>
        </w:rPr>
        <w:t>Acemoglu, D., Johnson, S., &amp; Robinson, J. A. (2001). The colonial origins of comparative development: An empirical investigation. American Economic Review, 91(5), 1369–1401. https://doi.org/10.1257/aer.91.5.1369</w:t>
      </w:r>
    </w:p>
    <w:p w14:paraId="58903112" w14:textId="77777777" w:rsidR="00A95A56" w:rsidRDefault="00000000">
      <w:pPr>
        <w:spacing w:after="140" w:line="300" w:lineRule="auto"/>
        <w:ind w:left="720" w:hanging="720"/>
        <w:jc w:val="both"/>
      </w:pPr>
      <w:r>
        <w:rPr>
          <w:sz w:val="20"/>
          <w:szCs w:val="20"/>
        </w:rPr>
        <w:t>Akerlof, G. A. (1970). The market for 'lemons': Quality uncertainty and the market mechanism. Quarterly Journal of Economics, 84(3), 488–500. https://doi.org/10.2307/1879431</w:t>
      </w:r>
    </w:p>
    <w:p w14:paraId="2EB7545C" w14:textId="77777777" w:rsidR="00A95A56" w:rsidRDefault="00000000">
      <w:pPr>
        <w:spacing w:after="140" w:line="300" w:lineRule="auto"/>
        <w:ind w:left="720" w:hanging="720"/>
        <w:jc w:val="both"/>
      </w:pPr>
      <w:r>
        <w:rPr>
          <w:sz w:val="20"/>
          <w:szCs w:val="20"/>
        </w:rPr>
        <w:t>Andrews, M., Pritchett, L., &amp; Woolcock, M. (2017). Building state capability: Evidence, analysis, action. Oxford University Press.</w:t>
      </w:r>
    </w:p>
    <w:p w14:paraId="4A2C1893" w14:textId="77777777" w:rsidR="00A95A56" w:rsidRDefault="00000000">
      <w:pPr>
        <w:spacing w:after="140" w:line="300" w:lineRule="auto"/>
        <w:ind w:left="720" w:hanging="720"/>
        <w:jc w:val="both"/>
      </w:pPr>
      <w:proofErr w:type="spellStart"/>
      <w:r>
        <w:rPr>
          <w:sz w:val="20"/>
          <w:szCs w:val="20"/>
        </w:rPr>
        <w:t>Apeti</w:t>
      </w:r>
      <w:proofErr w:type="spellEnd"/>
      <w:r>
        <w:rPr>
          <w:sz w:val="20"/>
          <w:szCs w:val="20"/>
        </w:rPr>
        <w:t xml:space="preserve">, A. E., &amp; </w:t>
      </w:r>
      <w:proofErr w:type="spellStart"/>
      <w:r>
        <w:rPr>
          <w:sz w:val="20"/>
          <w:szCs w:val="20"/>
        </w:rPr>
        <w:t>Gomado</w:t>
      </w:r>
      <w:proofErr w:type="spellEnd"/>
      <w:r>
        <w:rPr>
          <w:sz w:val="20"/>
          <w:szCs w:val="20"/>
        </w:rPr>
        <w:t xml:space="preserve">, K. M. (2025). International monetary </w:t>
      </w:r>
      <w:proofErr w:type="gramStart"/>
      <w:r>
        <w:rPr>
          <w:sz w:val="20"/>
          <w:szCs w:val="20"/>
        </w:rPr>
        <w:t>fund</w:t>
      </w:r>
      <w:proofErr w:type="gramEnd"/>
      <w:r>
        <w:rPr>
          <w:sz w:val="20"/>
          <w:szCs w:val="20"/>
        </w:rPr>
        <w:t xml:space="preserve"> conditionality and structural reforms: Evidence from developing countries. Economics of Transition and Institutional Change, 33(2), 439–486. https://doi.org/10.1111/ecot.12436</w:t>
      </w:r>
    </w:p>
    <w:p w14:paraId="18B7A05D" w14:textId="77777777" w:rsidR="00A95A56" w:rsidRDefault="00000000">
      <w:pPr>
        <w:spacing w:after="140" w:line="300" w:lineRule="auto"/>
        <w:ind w:left="720" w:hanging="720"/>
        <w:jc w:val="both"/>
      </w:pPr>
      <w:r>
        <w:rPr>
          <w:sz w:val="20"/>
          <w:szCs w:val="20"/>
        </w:rPr>
        <w:t>Besley, T., &amp; Persson, T. (2009). The origins of state capacity: Property rights, taxation, and politics. American Economic Review, 99(4), 1218–1244. https://doi.org/10.1257/aer.99.4.1218</w:t>
      </w:r>
    </w:p>
    <w:p w14:paraId="578FC4E9" w14:textId="77777777" w:rsidR="00A95A56" w:rsidRDefault="00000000">
      <w:pPr>
        <w:spacing w:after="140" w:line="300" w:lineRule="auto"/>
        <w:ind w:left="720" w:hanging="720"/>
        <w:jc w:val="both"/>
      </w:pPr>
      <w:r>
        <w:rPr>
          <w:sz w:val="20"/>
          <w:szCs w:val="20"/>
        </w:rPr>
        <w:t>Besley, T., &amp; Persson, T. (2011). Pillars of prosperity: The political economics of development clusters. Princeton University Press.</w:t>
      </w:r>
    </w:p>
    <w:p w14:paraId="4181F02B" w14:textId="77777777" w:rsidR="00A95A56" w:rsidRPr="00F954F0" w:rsidRDefault="00000000">
      <w:pPr>
        <w:spacing w:after="140" w:line="300" w:lineRule="auto"/>
        <w:ind w:left="720" w:hanging="720"/>
        <w:jc w:val="both"/>
        <w:rPr>
          <w:lang w:val="nl-BE"/>
        </w:rPr>
      </w:pPr>
      <w:r>
        <w:rPr>
          <w:sz w:val="20"/>
          <w:szCs w:val="20"/>
        </w:rPr>
        <w:t xml:space="preserve">Callaway, B., &amp; Sant'Anna, P. H. C. (2021). Difference-in-differences with multiple time periods. </w:t>
      </w:r>
      <w:r w:rsidRPr="00F954F0">
        <w:rPr>
          <w:sz w:val="20"/>
          <w:szCs w:val="20"/>
          <w:lang w:val="nl-BE"/>
        </w:rPr>
        <w:t>Journal of Econometrics, 225(2), 200–230. https://doi.org/10.1016/j.jeconom.2020.12.001</w:t>
      </w:r>
    </w:p>
    <w:p w14:paraId="30E76D13" w14:textId="77777777" w:rsidR="00A95A56" w:rsidRDefault="00000000">
      <w:pPr>
        <w:spacing w:after="140" w:line="300" w:lineRule="auto"/>
        <w:ind w:left="720" w:hanging="720"/>
        <w:jc w:val="both"/>
      </w:pPr>
      <w:r w:rsidRPr="00F954F0">
        <w:rPr>
          <w:sz w:val="20"/>
          <w:szCs w:val="20"/>
          <w:lang w:val="nl-BE"/>
        </w:rPr>
        <w:t xml:space="preserve">Coppedge, M., Gerring, J., Knutsen, C. H., Lindberg, S. I., Teorell, J., et al. </w:t>
      </w:r>
      <w:r>
        <w:rPr>
          <w:sz w:val="20"/>
          <w:szCs w:val="20"/>
        </w:rPr>
        <w:t>(2023). V-Dem dataset version 13. Varieties of Democracy (V-Dem) Project. https://doi.org/10.23696/vdemds23</w:t>
      </w:r>
    </w:p>
    <w:p w14:paraId="3950485F" w14:textId="22184E28" w:rsidR="00A95A56" w:rsidRDefault="00000000">
      <w:pPr>
        <w:spacing w:after="140" w:line="300" w:lineRule="auto"/>
        <w:ind w:left="720" w:hanging="720"/>
        <w:jc w:val="both"/>
      </w:pPr>
      <w:r>
        <w:rPr>
          <w:sz w:val="20"/>
          <w:szCs w:val="20"/>
        </w:rPr>
        <w:t>Dijkstra, G. (2008). The PRSP approach and the illusion of improved aid effectiveness: Lessons from Bolivia, Honduras</w:t>
      </w:r>
      <w:r w:rsidR="00F954F0">
        <w:rPr>
          <w:sz w:val="20"/>
          <w:szCs w:val="20"/>
        </w:rPr>
        <w:t>,</w:t>
      </w:r>
      <w:r>
        <w:rPr>
          <w:sz w:val="20"/>
          <w:szCs w:val="20"/>
        </w:rPr>
        <w:t xml:space="preserve"> and Nicaragua. Development Policy Review, 26(2), 195–211. https://doi.org/10.1111/j.1467-7679.2008.00404.x</w:t>
      </w:r>
    </w:p>
    <w:p w14:paraId="57F52F84" w14:textId="77777777" w:rsidR="00A95A56" w:rsidRDefault="00000000">
      <w:pPr>
        <w:spacing w:after="140" w:line="300" w:lineRule="auto"/>
        <w:ind w:left="720" w:hanging="720"/>
        <w:jc w:val="both"/>
      </w:pPr>
      <w:r>
        <w:rPr>
          <w:sz w:val="20"/>
          <w:szCs w:val="20"/>
        </w:rPr>
        <w:t>ECLAC. (2006). Foreign investment in Latin America and the Caribbean. United Nations.</w:t>
      </w:r>
    </w:p>
    <w:p w14:paraId="742CADF9" w14:textId="77777777" w:rsidR="00A95A56" w:rsidRDefault="00000000">
      <w:pPr>
        <w:spacing w:after="140" w:line="300" w:lineRule="auto"/>
        <w:ind w:left="720" w:hanging="720"/>
        <w:jc w:val="both"/>
      </w:pPr>
      <w:r>
        <w:rPr>
          <w:sz w:val="20"/>
          <w:szCs w:val="20"/>
        </w:rPr>
        <w:t>Evans, P. (1995). Embedded autonomy: States and industrial transformation. Princeton University Press.</w:t>
      </w:r>
    </w:p>
    <w:p w14:paraId="711B0D2F" w14:textId="77777777" w:rsidR="00A95A56" w:rsidRDefault="00000000">
      <w:pPr>
        <w:spacing w:after="140" w:line="300" w:lineRule="auto"/>
        <w:ind w:left="720" w:hanging="720"/>
        <w:jc w:val="both"/>
      </w:pPr>
      <w:r>
        <w:rPr>
          <w:sz w:val="20"/>
          <w:szCs w:val="20"/>
        </w:rPr>
        <w:t xml:space="preserve">G20. (2020). Common framework for debt treatments beyond </w:t>
      </w:r>
      <w:proofErr w:type="gramStart"/>
      <w:r>
        <w:rPr>
          <w:sz w:val="20"/>
          <w:szCs w:val="20"/>
        </w:rPr>
        <w:t>the DSSI</w:t>
      </w:r>
      <w:proofErr w:type="gramEnd"/>
      <w:r>
        <w:rPr>
          <w:sz w:val="20"/>
          <w:szCs w:val="20"/>
        </w:rPr>
        <w:t>. G20 Finance Ministers and Central Bank Governors.</w:t>
      </w:r>
    </w:p>
    <w:p w14:paraId="35D5BB49" w14:textId="77777777" w:rsidR="00A95A56" w:rsidRDefault="00000000">
      <w:pPr>
        <w:spacing w:after="140" w:line="300" w:lineRule="auto"/>
        <w:ind w:left="720" w:hanging="720"/>
        <w:jc w:val="both"/>
      </w:pPr>
      <w:r>
        <w:rPr>
          <w:sz w:val="20"/>
          <w:szCs w:val="20"/>
        </w:rPr>
        <w:t>Glaeser, E. L., La Porta, R., Lopez-de-Silanes, F., &amp; Shleifer, A. (2004). Do institutions cause growth? Journal of Economic Growth, 9(3), 271–303. https://doi.org/10.1023/B:JOEG.0000038933.16398.ed</w:t>
      </w:r>
    </w:p>
    <w:p w14:paraId="637EB90F" w14:textId="77777777" w:rsidR="00A95A56" w:rsidRDefault="00000000">
      <w:pPr>
        <w:spacing w:after="140" w:line="300" w:lineRule="auto"/>
        <w:ind w:left="720" w:hanging="720"/>
        <w:jc w:val="both"/>
      </w:pPr>
      <w:r>
        <w:rPr>
          <w:sz w:val="20"/>
          <w:szCs w:val="20"/>
        </w:rPr>
        <w:t>IMF. (2022). Debt sustainability analysis — Low-income countries. DSA Database. https://www.imf.org/en/Publications/DSA</w:t>
      </w:r>
    </w:p>
    <w:p w14:paraId="0F8E509D" w14:textId="77777777" w:rsidR="00A95A56" w:rsidRDefault="00000000">
      <w:pPr>
        <w:spacing w:after="140" w:line="300" w:lineRule="auto"/>
        <w:ind w:left="720" w:hanging="720"/>
        <w:jc w:val="both"/>
      </w:pPr>
      <w:r>
        <w:rPr>
          <w:sz w:val="20"/>
          <w:szCs w:val="20"/>
        </w:rPr>
        <w:t xml:space="preserve">Kaufmann, D., Kraay, A., &amp; </w:t>
      </w:r>
      <w:proofErr w:type="spellStart"/>
      <w:r>
        <w:rPr>
          <w:sz w:val="20"/>
          <w:szCs w:val="20"/>
        </w:rPr>
        <w:t>Mastruzzi</w:t>
      </w:r>
      <w:proofErr w:type="spellEnd"/>
      <w:r>
        <w:rPr>
          <w:sz w:val="20"/>
          <w:szCs w:val="20"/>
        </w:rPr>
        <w:t>, M. (2010). The Worldwide Governance Indicators: Methodology and analytical issues. World Bank Policy Research Working Paper No. 5430.</w:t>
      </w:r>
    </w:p>
    <w:p w14:paraId="61B75A8B" w14:textId="77777777" w:rsidR="00A95A56" w:rsidRDefault="00000000">
      <w:pPr>
        <w:spacing w:after="140" w:line="300" w:lineRule="auto"/>
        <w:ind w:left="720" w:hanging="720"/>
        <w:jc w:val="both"/>
      </w:pPr>
      <w:proofErr w:type="spellStart"/>
      <w:r>
        <w:rPr>
          <w:sz w:val="20"/>
          <w:szCs w:val="20"/>
        </w:rPr>
        <w:t>Kentikelenis</w:t>
      </w:r>
      <w:proofErr w:type="spellEnd"/>
      <w:r>
        <w:rPr>
          <w:sz w:val="20"/>
          <w:szCs w:val="20"/>
        </w:rPr>
        <w:t>, A. E., Stubbs, T. H., &amp; King, L. P. (2019). The world system and the hollowing out of state capacity: How structural adjustment programs affect bureaucratic quality in developing countries. American Journal of Sociology, 124(4), 1222–1257. https://doi.org/10.1086/701703</w:t>
      </w:r>
    </w:p>
    <w:p w14:paraId="52197996" w14:textId="77777777" w:rsidR="00A95A56" w:rsidRDefault="00000000">
      <w:pPr>
        <w:spacing w:after="140" w:line="300" w:lineRule="auto"/>
        <w:ind w:left="720" w:hanging="720"/>
        <w:jc w:val="both"/>
      </w:pPr>
      <w:r>
        <w:rPr>
          <w:sz w:val="20"/>
          <w:szCs w:val="20"/>
        </w:rPr>
        <w:t>Krugman, P. (1988). Financing versus forgiving a debt overhang. Journal of Development Economics, 29(3), 253–268. https://doi.org/10.1016/0304-3878(88)90044-2</w:t>
      </w:r>
    </w:p>
    <w:p w14:paraId="365A4955" w14:textId="77777777" w:rsidR="00A95A56" w:rsidRPr="00F954F0" w:rsidRDefault="00000000">
      <w:pPr>
        <w:spacing w:after="140" w:line="300" w:lineRule="auto"/>
        <w:ind w:left="720" w:hanging="720"/>
        <w:jc w:val="both"/>
        <w:rPr>
          <w:lang w:val="es-ES"/>
        </w:rPr>
      </w:pPr>
      <w:r>
        <w:rPr>
          <w:sz w:val="20"/>
          <w:szCs w:val="20"/>
        </w:rPr>
        <w:lastRenderedPageBreak/>
        <w:t xml:space="preserve">Laffont, J. J., &amp; </w:t>
      </w:r>
      <w:proofErr w:type="spellStart"/>
      <w:r>
        <w:rPr>
          <w:sz w:val="20"/>
          <w:szCs w:val="20"/>
        </w:rPr>
        <w:t>Tirole</w:t>
      </w:r>
      <w:proofErr w:type="spellEnd"/>
      <w:r>
        <w:rPr>
          <w:sz w:val="20"/>
          <w:szCs w:val="20"/>
        </w:rPr>
        <w:t xml:space="preserve">, J. (1991). The politics of government decision-making: A theory of regulatory capture. </w:t>
      </w:r>
      <w:proofErr w:type="spellStart"/>
      <w:r w:rsidRPr="00F954F0">
        <w:rPr>
          <w:sz w:val="20"/>
          <w:szCs w:val="20"/>
          <w:lang w:val="es-ES"/>
        </w:rPr>
        <w:t>Quarterly</w:t>
      </w:r>
      <w:proofErr w:type="spellEnd"/>
      <w:r w:rsidRPr="00F954F0">
        <w:rPr>
          <w:sz w:val="20"/>
          <w:szCs w:val="20"/>
          <w:lang w:val="es-ES"/>
        </w:rPr>
        <w:t xml:space="preserve"> </w:t>
      </w:r>
      <w:proofErr w:type="spellStart"/>
      <w:r w:rsidRPr="00F954F0">
        <w:rPr>
          <w:sz w:val="20"/>
          <w:szCs w:val="20"/>
          <w:lang w:val="es-ES"/>
        </w:rPr>
        <w:t>Journal</w:t>
      </w:r>
      <w:proofErr w:type="spellEnd"/>
      <w:r w:rsidRPr="00F954F0">
        <w:rPr>
          <w:sz w:val="20"/>
          <w:szCs w:val="20"/>
          <w:lang w:val="es-ES"/>
        </w:rPr>
        <w:t xml:space="preserve"> </w:t>
      </w:r>
      <w:proofErr w:type="spellStart"/>
      <w:r w:rsidRPr="00F954F0">
        <w:rPr>
          <w:sz w:val="20"/>
          <w:szCs w:val="20"/>
          <w:lang w:val="es-ES"/>
        </w:rPr>
        <w:t>of</w:t>
      </w:r>
      <w:proofErr w:type="spellEnd"/>
      <w:r w:rsidRPr="00F954F0">
        <w:rPr>
          <w:sz w:val="20"/>
          <w:szCs w:val="20"/>
          <w:lang w:val="es-ES"/>
        </w:rPr>
        <w:t xml:space="preserve"> </w:t>
      </w:r>
      <w:proofErr w:type="spellStart"/>
      <w:r w:rsidRPr="00F954F0">
        <w:rPr>
          <w:sz w:val="20"/>
          <w:szCs w:val="20"/>
          <w:lang w:val="es-ES"/>
        </w:rPr>
        <w:t>Economics</w:t>
      </w:r>
      <w:proofErr w:type="spellEnd"/>
      <w:r w:rsidRPr="00F954F0">
        <w:rPr>
          <w:sz w:val="20"/>
          <w:szCs w:val="20"/>
          <w:lang w:val="es-ES"/>
        </w:rPr>
        <w:t>, 106(4), 1089–1127. https://doi.org/10.2307/2937958</w:t>
      </w:r>
    </w:p>
    <w:p w14:paraId="40BC138D" w14:textId="77777777" w:rsidR="00A95A56" w:rsidRPr="00F954F0" w:rsidRDefault="00000000">
      <w:pPr>
        <w:spacing w:after="140" w:line="300" w:lineRule="auto"/>
        <w:ind w:left="720" w:hanging="720"/>
        <w:jc w:val="both"/>
        <w:rPr>
          <w:lang w:val="es-ES"/>
        </w:rPr>
      </w:pPr>
      <w:r w:rsidRPr="00F954F0">
        <w:rPr>
          <w:sz w:val="20"/>
          <w:szCs w:val="20"/>
          <w:lang w:val="es-ES"/>
        </w:rPr>
        <w:t>MHCP (Ministerio de Hacienda y Crédito Público de Nicaragua). (2006). Informe de ejecución presupuestaria 2004–2006. Gobierno de Nicaragua.</w:t>
      </w:r>
    </w:p>
    <w:p w14:paraId="0A46E19E" w14:textId="5C37D82B" w:rsidR="00A95A56" w:rsidRDefault="00000000">
      <w:pPr>
        <w:spacing w:after="140" w:line="300" w:lineRule="auto"/>
        <w:ind w:left="720" w:hanging="720"/>
        <w:jc w:val="both"/>
      </w:pPr>
      <w:r>
        <w:rPr>
          <w:sz w:val="20"/>
          <w:szCs w:val="20"/>
        </w:rPr>
        <w:t>North, D. C. (1990). Institutions, institutional change</w:t>
      </w:r>
      <w:r w:rsidR="00F954F0">
        <w:rPr>
          <w:sz w:val="20"/>
          <w:szCs w:val="20"/>
        </w:rPr>
        <w:t>,</w:t>
      </w:r>
      <w:r>
        <w:rPr>
          <w:sz w:val="20"/>
          <w:szCs w:val="20"/>
        </w:rPr>
        <w:t xml:space="preserve"> and economic performance. Cambridge University Press.</w:t>
      </w:r>
    </w:p>
    <w:p w14:paraId="5C4A1242" w14:textId="77777777" w:rsidR="00A95A56" w:rsidRDefault="00000000">
      <w:pPr>
        <w:spacing w:after="140" w:line="300" w:lineRule="auto"/>
        <w:ind w:left="720" w:hanging="720"/>
        <w:jc w:val="both"/>
      </w:pPr>
      <w:r>
        <w:rPr>
          <w:sz w:val="20"/>
          <w:szCs w:val="20"/>
        </w:rPr>
        <w:t>Presbitero, A. F. (2009). Debt relief effectiveness and institution-building. Development Policy Review, 27(5), 529–559. https://doi.org/10.1111/j.1467-7679.2009.00460.x</w:t>
      </w:r>
    </w:p>
    <w:p w14:paraId="20AB6018" w14:textId="77777777" w:rsidR="00A95A56" w:rsidRDefault="00000000">
      <w:pPr>
        <w:spacing w:after="140" w:line="300" w:lineRule="auto"/>
        <w:ind w:left="720" w:hanging="720"/>
        <w:jc w:val="both"/>
      </w:pPr>
      <w:r>
        <w:rPr>
          <w:sz w:val="20"/>
          <w:szCs w:val="20"/>
        </w:rPr>
        <w:t>Reinhart, C. M., &amp; Rogoff, K. S. (2009). This time is different: Eight centuries of financial folly. Princeton University Press.</w:t>
      </w:r>
    </w:p>
    <w:p w14:paraId="699244B2" w14:textId="77777777" w:rsidR="00A95A56" w:rsidRDefault="00000000">
      <w:pPr>
        <w:spacing w:after="140" w:line="300" w:lineRule="auto"/>
        <w:ind w:left="720" w:hanging="720"/>
        <w:jc w:val="both"/>
      </w:pPr>
      <w:r>
        <w:rPr>
          <w:sz w:val="20"/>
          <w:szCs w:val="20"/>
        </w:rPr>
        <w:t>Rodrik, D. (2006). Goodbye Washington Consensus, hello Washington confusion? A review of the World Bank's economic growth in the 1990s. Journal of Economic Literature, 44(4), 973–987. https://doi.org/10.1257/jel.44.4.973</w:t>
      </w:r>
    </w:p>
    <w:p w14:paraId="2B62418C" w14:textId="77777777" w:rsidR="00A95A56" w:rsidRDefault="00000000">
      <w:pPr>
        <w:spacing w:after="140" w:line="300" w:lineRule="auto"/>
        <w:ind w:left="720" w:hanging="720"/>
        <w:jc w:val="both"/>
      </w:pPr>
      <w:r>
        <w:rPr>
          <w:sz w:val="20"/>
          <w:szCs w:val="20"/>
        </w:rPr>
        <w:t>Sachs, J. D. (1989). The debt overhang of developing countries. In G. A. Calvo, R. Findlay, P. Kouri, &amp; J. B. de Macedo (Eds.), Debt, stabilization and development (pp. 80–102). Blackwell.</w:t>
      </w:r>
    </w:p>
    <w:p w14:paraId="73796C60" w14:textId="77777777" w:rsidR="00A95A56" w:rsidRDefault="00000000">
      <w:pPr>
        <w:spacing w:after="140" w:line="300" w:lineRule="auto"/>
        <w:ind w:left="720" w:hanging="720"/>
        <w:jc w:val="both"/>
      </w:pPr>
      <w:r>
        <w:rPr>
          <w:sz w:val="20"/>
          <w:szCs w:val="20"/>
        </w:rPr>
        <w:t>Stigler, G. J. (1971). The theory of economic regulation. Bell Journal of Economics and Management Science, 2(1), 3–21. https://doi.org/10.2307/3003160</w:t>
      </w:r>
    </w:p>
    <w:p w14:paraId="143F9AE2" w14:textId="77777777" w:rsidR="00A95A56" w:rsidRDefault="00000000">
      <w:pPr>
        <w:spacing w:after="140" w:line="300" w:lineRule="auto"/>
        <w:ind w:left="720" w:hanging="720"/>
        <w:jc w:val="both"/>
      </w:pPr>
      <w:r>
        <w:rPr>
          <w:sz w:val="20"/>
          <w:szCs w:val="20"/>
        </w:rPr>
        <w:t xml:space="preserve">Stiglitz, J. E. (2002). Globalization and its </w:t>
      </w:r>
      <w:proofErr w:type="gramStart"/>
      <w:r>
        <w:rPr>
          <w:sz w:val="20"/>
          <w:szCs w:val="20"/>
        </w:rPr>
        <w:t>discontents</w:t>
      </w:r>
      <w:proofErr w:type="gramEnd"/>
      <w:r>
        <w:rPr>
          <w:sz w:val="20"/>
          <w:szCs w:val="20"/>
        </w:rPr>
        <w:t>. W. W. Norton.</w:t>
      </w:r>
    </w:p>
    <w:p w14:paraId="67259B41" w14:textId="77777777" w:rsidR="00A95A56" w:rsidRDefault="00000000">
      <w:pPr>
        <w:spacing w:after="140" w:line="300" w:lineRule="auto"/>
        <w:ind w:left="720" w:hanging="720"/>
        <w:jc w:val="both"/>
      </w:pPr>
      <w:r>
        <w:rPr>
          <w:sz w:val="20"/>
          <w:szCs w:val="20"/>
        </w:rPr>
        <w:t>Stock, J. H., &amp; Yogo, M. (2005). Testing for weak instruments in linear IV regression. In D. W. K. Andrews &amp; J. H. Stock (Eds.), Identification and inference for econometric models (pp. 80–108). Cambridge University Press.</w:t>
      </w:r>
    </w:p>
    <w:p w14:paraId="28C1ED92" w14:textId="77777777" w:rsidR="00A95A56" w:rsidRDefault="00000000">
      <w:pPr>
        <w:spacing w:after="140" w:line="300" w:lineRule="auto"/>
        <w:ind w:left="720" w:hanging="720"/>
        <w:jc w:val="both"/>
      </w:pPr>
      <w:r>
        <w:rPr>
          <w:sz w:val="20"/>
          <w:szCs w:val="20"/>
        </w:rPr>
        <w:t>Stone, R. W. (2008). The scope of IMF conditionality. International Organization, 62(4), 589–620. https://doi.org/10.1017/S0020818308080211</w:t>
      </w:r>
    </w:p>
    <w:p w14:paraId="32C3D587" w14:textId="77777777" w:rsidR="00A95A56" w:rsidRDefault="00000000">
      <w:pPr>
        <w:spacing w:after="140" w:line="300" w:lineRule="auto"/>
        <w:ind w:left="720" w:hanging="720"/>
        <w:jc w:val="both"/>
      </w:pPr>
      <w:proofErr w:type="spellStart"/>
      <w:r>
        <w:rPr>
          <w:sz w:val="20"/>
          <w:szCs w:val="20"/>
        </w:rPr>
        <w:t>Teorell</w:t>
      </w:r>
      <w:proofErr w:type="spellEnd"/>
      <w:r>
        <w:rPr>
          <w:sz w:val="20"/>
          <w:szCs w:val="20"/>
        </w:rPr>
        <w:t>, J., Sundström, A., Holmberg, S., Rothstein, B., Alvarado Pacheco, N., &amp; Dahl, M. (2021). The Quality of Government Standard Dataset, version Jan21. University of Gothenburg: The Quality of Government Institute. https://doi.org/10.18157/qogstdjan21</w:t>
      </w:r>
    </w:p>
    <w:p w14:paraId="1DE36D91" w14:textId="77777777" w:rsidR="00A95A56" w:rsidRDefault="00000000">
      <w:pPr>
        <w:spacing w:after="140" w:line="300" w:lineRule="auto"/>
        <w:ind w:left="720" w:hanging="720"/>
        <w:jc w:val="both"/>
      </w:pPr>
      <w:r>
        <w:rPr>
          <w:sz w:val="20"/>
          <w:szCs w:val="20"/>
        </w:rPr>
        <w:t>Williamson, J. (1990). What Washington means by policy reform. In J. Williamson (Ed.), Latin American adjustment: How much has happened? (pp. 7–20). Institute for International Economics.</w:t>
      </w:r>
    </w:p>
    <w:p w14:paraId="38EF1F21" w14:textId="77777777" w:rsidR="00A95A56" w:rsidRDefault="00000000">
      <w:pPr>
        <w:spacing w:after="140" w:line="300" w:lineRule="auto"/>
        <w:ind w:left="720" w:hanging="720"/>
        <w:jc w:val="both"/>
      </w:pPr>
      <w:r>
        <w:rPr>
          <w:sz w:val="20"/>
          <w:szCs w:val="20"/>
        </w:rPr>
        <w:t>Williamson, J. (2004). A short history of the Washington Consensus. Paper commissioned by Fundación CIDOB, Barcelona, September 24–25, 2004.</w:t>
      </w:r>
    </w:p>
    <w:p w14:paraId="488A0B75" w14:textId="77777777" w:rsidR="00A95A56" w:rsidRDefault="00000000">
      <w:pPr>
        <w:spacing w:after="140" w:line="300" w:lineRule="auto"/>
        <w:ind w:left="720" w:hanging="720"/>
        <w:jc w:val="both"/>
      </w:pPr>
      <w:r>
        <w:rPr>
          <w:sz w:val="20"/>
          <w:szCs w:val="20"/>
        </w:rPr>
        <w:t>World Bank. (2004). Privatization in Latin America: The rapid rise and quiet fall. World Bank Policy Research Working Paper No. 3210.</w:t>
      </w:r>
    </w:p>
    <w:p w14:paraId="72E65281" w14:textId="77777777" w:rsidR="00A95A56" w:rsidRDefault="00000000">
      <w:pPr>
        <w:spacing w:after="140" w:line="300" w:lineRule="auto"/>
        <w:ind w:left="720" w:hanging="720"/>
        <w:jc w:val="both"/>
      </w:pPr>
      <w:r>
        <w:rPr>
          <w:sz w:val="20"/>
          <w:szCs w:val="20"/>
        </w:rPr>
        <w:t xml:space="preserve">World Bank. (2023). World development indicators &amp; </w:t>
      </w:r>
      <w:proofErr w:type="spellStart"/>
      <w:r>
        <w:rPr>
          <w:sz w:val="20"/>
          <w:szCs w:val="20"/>
        </w:rPr>
        <w:t>PrivatizationBarometer</w:t>
      </w:r>
      <w:proofErr w:type="spellEnd"/>
      <w:r>
        <w:rPr>
          <w:sz w:val="20"/>
          <w:szCs w:val="20"/>
        </w:rPr>
        <w:t>. https://databank.worldbank.org</w:t>
      </w:r>
    </w:p>
    <w:p w14:paraId="08F81840" w14:textId="77777777" w:rsidR="00A95A56" w:rsidRDefault="00A95A56"/>
    <w:p w14:paraId="30C70C9E" w14:textId="77777777" w:rsidR="00A95A56" w:rsidRDefault="00000000">
      <w:r>
        <w:br w:type="page"/>
      </w:r>
    </w:p>
    <w:p w14:paraId="5F3BDA2B" w14:textId="77777777" w:rsidR="00A95A56" w:rsidRDefault="00000000">
      <w:pPr>
        <w:pStyle w:val="Ttulo1"/>
      </w:pPr>
      <w:r>
        <w:lastRenderedPageBreak/>
        <w:t xml:space="preserve">Appendix A. Construction of the </w:t>
      </w:r>
      <w:proofErr w:type="spellStart"/>
      <w:r>
        <w:t>PrivInt</w:t>
      </w:r>
      <w:proofErr w:type="spellEnd"/>
      <w:r>
        <w:t xml:space="preserve"> index</w:t>
      </w:r>
    </w:p>
    <w:p w14:paraId="162D9C7C" w14:textId="77777777" w:rsidR="00A95A56" w:rsidRDefault="00000000">
      <w:pPr>
        <w:spacing w:after="200" w:line="360" w:lineRule="auto"/>
        <w:ind w:firstLine="720"/>
        <w:jc w:val="both"/>
      </w:pPr>
      <w:r>
        <w:t>The privatization intensity index (</w:t>
      </w:r>
      <w:proofErr w:type="spellStart"/>
      <w:r>
        <w:t>PrivInt</w:t>
      </w:r>
      <w:proofErr w:type="spellEnd"/>
      <w:r>
        <w:t>) is the equal-weighted average of three standardized sub-indices, each on a 0–1 scale:</w:t>
      </w:r>
    </w:p>
    <w:p w14:paraId="6ED8F3FF" w14:textId="77777777" w:rsidR="00A95A56" w:rsidRDefault="00000000">
      <w:pPr>
        <w:spacing w:after="200" w:line="360" w:lineRule="auto"/>
        <w:ind w:firstLine="720"/>
        <w:jc w:val="both"/>
      </w:pPr>
      <w:r>
        <w:rPr>
          <w:b/>
          <w:bCs/>
        </w:rPr>
        <w:t>Sub-index 1 — Privatization volume (</w:t>
      </w:r>
      <w:proofErr w:type="spellStart"/>
      <w:r>
        <w:rPr>
          <w:b/>
          <w:bCs/>
        </w:rPr>
        <w:t>PrivVol</w:t>
      </w:r>
      <w:proofErr w:type="spellEnd"/>
      <w:r>
        <w:rPr>
          <w:b/>
          <w:bCs/>
        </w:rPr>
        <w:t xml:space="preserve">). </w:t>
      </w:r>
      <w:r>
        <w:t>Cumulative number of state-owned enterprises privatized in 1990–2003 divided by the number of state enterprises existing in 1990. Sources: World Bank (2004), ECLAC (2006), and Fraser Institute. For Nicaragua: 350/420 = 0.833. For Bolivia: 60/140 = 0.429. For Honduras: 30/95 = 0.316.</w:t>
      </w:r>
    </w:p>
    <w:p w14:paraId="14156B43" w14:textId="5B868D98" w:rsidR="00A95A56" w:rsidRDefault="00000000">
      <w:pPr>
        <w:spacing w:after="200" w:line="360" w:lineRule="auto"/>
        <w:ind w:firstLine="720"/>
        <w:jc w:val="both"/>
      </w:pPr>
      <w:r>
        <w:rPr>
          <w:b/>
          <w:bCs/>
        </w:rPr>
        <w:t>Sub-index 2 — Privatization proceeds (</w:t>
      </w:r>
      <w:proofErr w:type="spellStart"/>
      <w:r>
        <w:rPr>
          <w:b/>
          <w:bCs/>
        </w:rPr>
        <w:t>PrivRev</w:t>
      </w:r>
      <w:proofErr w:type="spellEnd"/>
      <w:r>
        <w:rPr>
          <w:b/>
          <w:bCs/>
        </w:rPr>
        <w:t xml:space="preserve">). </w:t>
      </w:r>
      <w:r>
        <w:t xml:space="preserve">Cumulative privatization proceeds as a share of </w:t>
      </w:r>
      <w:r w:rsidR="00F954F0">
        <w:t xml:space="preserve">the </w:t>
      </w:r>
      <w:r>
        <w:t xml:space="preserve">average 1990–2003 GDP. Source: </w:t>
      </w:r>
      <w:proofErr w:type="spellStart"/>
      <w:r>
        <w:t>PrivatizationBarometer</w:t>
      </w:r>
      <w:proofErr w:type="spellEnd"/>
      <w:r>
        <w:t xml:space="preserve"> (World Bank/FEEM). Nicaragua: 12.8%. Bolivia: 8.4%. Honduras: 3.2%.</w:t>
      </w:r>
    </w:p>
    <w:p w14:paraId="14C092EE" w14:textId="5B1EB484" w:rsidR="00A95A56" w:rsidRDefault="00000000">
      <w:pPr>
        <w:spacing w:after="200" w:line="360" w:lineRule="auto"/>
        <w:ind w:firstLine="720"/>
        <w:jc w:val="both"/>
      </w:pPr>
      <w:r>
        <w:rPr>
          <w:b/>
          <w:bCs/>
        </w:rPr>
        <w:t>Sub-index 3 — Sectoral extension (</w:t>
      </w:r>
      <w:proofErr w:type="spellStart"/>
      <w:r>
        <w:rPr>
          <w:b/>
          <w:bCs/>
        </w:rPr>
        <w:t>PrivSec</w:t>
      </w:r>
      <w:proofErr w:type="spellEnd"/>
      <w:r>
        <w:rPr>
          <w:b/>
          <w:bCs/>
        </w:rPr>
        <w:t xml:space="preserve">). </w:t>
      </w:r>
      <w:r>
        <w:t>Private ownership index for telecommunications, energy</w:t>
      </w:r>
      <w:r w:rsidR="00F954F0">
        <w:t>,</w:t>
      </w:r>
      <w:r>
        <w:t xml:space="preserve"> and transport, taken from the Fraser Institute Economic Freedom Index, averaged over 1990–2003. Original scale 0–10, standardized to 0–1.</w:t>
      </w:r>
    </w:p>
    <w:p w14:paraId="3AD160AB" w14:textId="77777777" w:rsidR="00A95A56" w:rsidRDefault="00000000">
      <w:pPr>
        <w:spacing w:after="200" w:line="360" w:lineRule="auto"/>
        <w:ind w:firstLine="720"/>
        <w:jc w:val="both"/>
      </w:pPr>
      <w:proofErr w:type="spellStart"/>
      <w:r>
        <w:t>PrivInt</w:t>
      </w:r>
      <w:proofErr w:type="spellEnd"/>
      <w:r>
        <w:t xml:space="preserve"> = (</w:t>
      </w:r>
      <w:proofErr w:type="spellStart"/>
      <w:r>
        <w:t>PrivVol_std</w:t>
      </w:r>
      <w:proofErr w:type="spellEnd"/>
      <w:r>
        <w:t xml:space="preserve"> + </w:t>
      </w:r>
      <w:proofErr w:type="spellStart"/>
      <w:r>
        <w:t>PrivRev_std</w:t>
      </w:r>
      <w:proofErr w:type="spellEnd"/>
      <w:r>
        <w:t xml:space="preserve"> + </w:t>
      </w:r>
      <w:proofErr w:type="spellStart"/>
      <w:r>
        <w:t>PrivSec_std</w:t>
      </w:r>
      <w:proofErr w:type="spellEnd"/>
      <w:r>
        <w:t>) / 3, where each component is standardized by dividing by the sample maximum. The resulting range is 0 (Venezuela, negligible privatization) to 2.98 (Nicaragua). Cross-sub-index correlations are high (ρ &gt; 0.72 for all pairs), validating their aggregation into a composite index.</w:t>
      </w:r>
    </w:p>
    <w:p w14:paraId="0D766068" w14:textId="77777777" w:rsidR="00A95A56" w:rsidRDefault="00A95A56"/>
    <w:p w14:paraId="115D38EC" w14:textId="77777777" w:rsidR="00A95A56" w:rsidRDefault="00000000">
      <w:pPr>
        <w:pStyle w:val="Ttulo1"/>
      </w:pPr>
      <w:r>
        <w:t>Appendix B. First stage of the 2SLS estimation</w:t>
      </w:r>
    </w:p>
    <w:p w14:paraId="405D5F9F" w14:textId="77777777" w:rsidR="00A95A56" w:rsidRDefault="00000000">
      <w:pPr>
        <w:spacing w:after="200" w:line="360" w:lineRule="auto"/>
        <w:ind w:firstLine="720"/>
        <w:jc w:val="both"/>
      </w:pPr>
      <w:r>
        <w:t xml:space="preserve">The first stage of Model M5 regresses </w:t>
      </w:r>
      <w:proofErr w:type="spellStart"/>
      <w:r>
        <w:t>PrivInt</w:t>
      </w:r>
      <w:proofErr w:type="spellEnd"/>
      <w:r>
        <w:t xml:space="preserve"> on </w:t>
      </w:r>
      <w:proofErr w:type="spellStart"/>
      <w:r>
        <w:t>ajr_settmort</w:t>
      </w:r>
      <w:proofErr w:type="spellEnd"/>
      <w:r>
        <w:t xml:space="preserve"> and the full vector of controls, with country and year fixed effects. The </w:t>
      </w:r>
      <w:proofErr w:type="spellStart"/>
      <w:r>
        <w:t>ajr_settmort</w:t>
      </w:r>
      <w:proofErr w:type="spellEnd"/>
      <w:r>
        <w:t xml:space="preserve"> coefficient is positive and significant (β = 0.148, se = 0.034, p&lt;0.01), indicating that countries with higher historical settler mortality—which built more extractive institutions and weaker social resistance to privatization—exhibit higher privatization intensity over 1990–2003. The instrument exclusion F-</w:t>
      </w:r>
      <w:proofErr w:type="gramStart"/>
      <w:r>
        <w:t>statistic</w:t>
      </w:r>
      <w:proofErr w:type="gramEnd"/>
      <w:r>
        <w:t xml:space="preserve"> is 18.4, exceeding the Stock and Yogo (2005) threshold of 10 for ruling out weak-instrument bias above 10 per cent of the OLS bias.</w:t>
      </w:r>
    </w:p>
    <w:p w14:paraId="592A1ED7" w14:textId="4901ACAF" w:rsidR="00A95A56" w:rsidRDefault="00000000">
      <w:pPr>
        <w:spacing w:after="200" w:line="360" w:lineRule="auto"/>
        <w:ind w:firstLine="720"/>
        <w:jc w:val="both"/>
      </w:pPr>
      <w:r>
        <w:t xml:space="preserve">The exogeneity condition is assessed </w:t>
      </w:r>
      <w:r w:rsidR="00F954F0">
        <w:t xml:space="preserve">using the </w:t>
      </w:r>
      <w:proofErr w:type="spellStart"/>
      <w:r w:rsidR="00F954F0">
        <w:t>Sargan</w:t>
      </w:r>
      <w:proofErr w:type="spellEnd"/>
      <w:r w:rsidR="00F954F0">
        <w:t>-Hansen overidentification test, even though the model is exactly identified (one endogenous variable and</w:t>
      </w:r>
      <w:r>
        <w:t xml:space="preserve"> one instrument). The plausibility of exclusion rests on the standard AJR (2001) theoretical argument: settler mortality in the nineteenth century cannot have been caused by government effectiveness </w:t>
      </w:r>
      <w:r>
        <w:lastRenderedPageBreak/>
        <w:t xml:space="preserve">indicators in 1990–2015, and its only channel of influence on WGI-GE is through </w:t>
      </w:r>
      <w:r w:rsidR="00F954F0">
        <w:t xml:space="preserve">historical institutions that facilitate privatization in contexts of lower levels of </w:t>
      </w:r>
      <w:r>
        <w:t>organized social resistance.</w:t>
      </w:r>
    </w:p>
    <w:p w14:paraId="3FEE1445" w14:textId="77777777" w:rsidR="00A95A56" w:rsidRDefault="00A95A56"/>
    <w:sectPr w:rsidR="00A95A5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2B9F9" w14:textId="77777777" w:rsidR="00BA5D7E" w:rsidRDefault="00BA5D7E">
      <w:r>
        <w:separator/>
      </w:r>
    </w:p>
  </w:endnote>
  <w:endnote w:type="continuationSeparator" w:id="0">
    <w:p w14:paraId="1C4152B9" w14:textId="77777777" w:rsidR="00BA5D7E" w:rsidRDefault="00BA5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4B54A" w14:textId="77777777" w:rsidR="00A95A56" w:rsidRDefault="00000000">
    <w:pPr>
      <w:pBdr>
        <w:top w:val="single" w:sz="4" w:space="1" w:color="2E5597"/>
      </w:pBdr>
      <w:jc w:val="center"/>
    </w:pPr>
    <w:r>
      <w:rPr>
        <w:sz w:val="17"/>
        <w:szCs w:val="17"/>
      </w:rPr>
      <w:fldChar w:fldCharType="begin"/>
    </w:r>
    <w:r>
      <w:rPr>
        <w:sz w:val="17"/>
        <w:szCs w:val="17"/>
      </w:rPr>
      <w:instrText>PAGE</w:instrText>
    </w:r>
    <w:r>
      <w:rPr>
        <w:sz w:val="17"/>
        <w:szCs w:val="17"/>
      </w:rPr>
      <w:fldChar w:fldCharType="separate"/>
    </w:r>
    <w:r w:rsidR="00F954F0">
      <w:rPr>
        <w:noProof/>
        <w:sz w:val="17"/>
        <w:szCs w:val="17"/>
      </w:rPr>
      <w:t>1</w:t>
    </w:r>
    <w:r>
      <w:rPr>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9288F" w14:textId="77777777" w:rsidR="00BA5D7E" w:rsidRDefault="00BA5D7E">
      <w:r>
        <w:separator/>
      </w:r>
    </w:p>
  </w:footnote>
  <w:footnote w:type="continuationSeparator" w:id="0">
    <w:p w14:paraId="4B6FC643" w14:textId="77777777" w:rsidR="00BA5D7E" w:rsidRDefault="00BA5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3681" w14:textId="77777777" w:rsidR="00A95A56" w:rsidRDefault="00000000">
    <w:pPr>
      <w:pBdr>
        <w:bottom w:val="single" w:sz="4" w:space="1" w:color="2E5597"/>
      </w:pBdr>
      <w:spacing w:after="80"/>
      <w:jc w:val="right"/>
    </w:pPr>
    <w:r>
      <w:rPr>
        <w:color w:val="666666"/>
        <w:sz w:val="17"/>
        <w:szCs w:val="17"/>
      </w:rPr>
      <w:t>Privatize to adjust, weaken to govern · Economics of Transition and Institutional Change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26853"/>
    <w:multiLevelType w:val="hybridMultilevel"/>
    <w:tmpl w:val="0FC43AC4"/>
    <w:lvl w:ilvl="0" w:tplc="FA24BD64">
      <w:start w:val="1"/>
      <w:numFmt w:val="bullet"/>
      <w:lvlText w:val="●"/>
      <w:lvlJc w:val="left"/>
      <w:pPr>
        <w:ind w:left="720" w:hanging="360"/>
      </w:pPr>
    </w:lvl>
    <w:lvl w:ilvl="1" w:tplc="37E00E64">
      <w:start w:val="1"/>
      <w:numFmt w:val="bullet"/>
      <w:lvlText w:val="○"/>
      <w:lvlJc w:val="left"/>
      <w:pPr>
        <w:ind w:left="1440" w:hanging="360"/>
      </w:pPr>
    </w:lvl>
    <w:lvl w:ilvl="2" w:tplc="918052A0">
      <w:start w:val="1"/>
      <w:numFmt w:val="bullet"/>
      <w:lvlText w:val="■"/>
      <w:lvlJc w:val="left"/>
      <w:pPr>
        <w:ind w:left="2160" w:hanging="360"/>
      </w:pPr>
    </w:lvl>
    <w:lvl w:ilvl="3" w:tplc="1A22EB7E">
      <w:start w:val="1"/>
      <w:numFmt w:val="bullet"/>
      <w:lvlText w:val="●"/>
      <w:lvlJc w:val="left"/>
      <w:pPr>
        <w:ind w:left="2880" w:hanging="360"/>
      </w:pPr>
    </w:lvl>
    <w:lvl w:ilvl="4" w:tplc="BE3223C4">
      <w:start w:val="1"/>
      <w:numFmt w:val="bullet"/>
      <w:lvlText w:val="○"/>
      <w:lvlJc w:val="left"/>
      <w:pPr>
        <w:ind w:left="3600" w:hanging="360"/>
      </w:pPr>
    </w:lvl>
    <w:lvl w:ilvl="5" w:tplc="7C86B1DE">
      <w:start w:val="1"/>
      <w:numFmt w:val="bullet"/>
      <w:lvlText w:val="■"/>
      <w:lvlJc w:val="left"/>
      <w:pPr>
        <w:ind w:left="4320" w:hanging="360"/>
      </w:pPr>
    </w:lvl>
    <w:lvl w:ilvl="6" w:tplc="08A066C8">
      <w:start w:val="1"/>
      <w:numFmt w:val="bullet"/>
      <w:lvlText w:val="●"/>
      <w:lvlJc w:val="left"/>
      <w:pPr>
        <w:ind w:left="5040" w:hanging="360"/>
      </w:pPr>
    </w:lvl>
    <w:lvl w:ilvl="7" w:tplc="8DBCE112">
      <w:start w:val="1"/>
      <w:numFmt w:val="bullet"/>
      <w:lvlText w:val="●"/>
      <w:lvlJc w:val="left"/>
      <w:pPr>
        <w:ind w:left="5760" w:hanging="360"/>
      </w:pPr>
    </w:lvl>
    <w:lvl w:ilvl="8" w:tplc="2A488B58">
      <w:start w:val="1"/>
      <w:numFmt w:val="bullet"/>
      <w:lvlText w:val="●"/>
      <w:lvlJc w:val="left"/>
      <w:pPr>
        <w:ind w:left="6480" w:hanging="360"/>
      </w:pPr>
    </w:lvl>
  </w:abstractNum>
  <w:num w:numId="1" w16cid:durableId="1492671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A56"/>
    <w:rsid w:val="00052300"/>
    <w:rsid w:val="00732DC6"/>
    <w:rsid w:val="00A95A56"/>
    <w:rsid w:val="00BA5D7E"/>
    <w:rsid w:val="00F95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BE7F1"/>
  <w15:docId w15:val="{C0C8BF4E-A38C-4DFC-B6BB-C19D979D1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F3864"/>
      <w:sz w:val="26"/>
      <w:szCs w:val="26"/>
    </w:rPr>
  </w:style>
  <w:style w:type="paragraph" w:styleId="Ttulo2">
    <w:name w:val="heading 2"/>
    <w:uiPriority w:val="9"/>
    <w:unhideWhenUsed/>
    <w:qFormat/>
    <w:pPr>
      <w:spacing w:before="280" w:after="120"/>
      <w:outlineLvl w:val="1"/>
    </w:pPr>
    <w:rPr>
      <w:b/>
      <w:bCs/>
      <w:color w:val="2E5597"/>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18</Pages>
  <Words>6227</Words>
  <Characters>35498</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TOMAS RODRIGUEZ</cp:lastModifiedBy>
  <cp:revision>2</cp:revision>
  <dcterms:created xsi:type="dcterms:W3CDTF">2026-03-28T14:14:00Z</dcterms:created>
  <dcterms:modified xsi:type="dcterms:W3CDTF">2026-03-28T16:05:00Z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e3ef9a44-2d5b-4ccc-bf7d-ede3ceed7cf3</vt:lpwstr>
  </property>
</Properties>
</file>