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40"/>
      </w:pPr>
      <w:r>
        <w:t xml:space="preserve"/>
      </w:r>
    </w:p>
    <w:p>
      <w:pPr>
        <w:spacing w:before="0" w:after="0" w:line="240"/>
      </w:pPr>
      <w:r>
        <w:t xml:space="preserve"/>
      </w:r>
    </w:p>
    <w:p>
      <w:pPr>
        <w:spacing w:before="0" w:after="80"/>
        <w:jc w:val="center"/>
      </w:pPr>
      <w:r>
        <w:rPr>
          <w:rFonts w:ascii="Times New Roman" w:cs="Times New Roman" w:eastAsia="Times New Roman" w:hAnsi="Times New Roman"/>
          <w:b/>
          <w:bCs/>
          <w:caps/>
          <w:color w:val="1F3864"/>
          <w:sz w:val="22"/>
          <w:szCs w:val="22"/>
        </w:rPr>
        <w:t xml:space="preserve">PREFACIO</w:t>
      </w:r>
    </w:p>
    <w:p>
      <w:pPr>
        <w:spacing w:before="0" w:after="400"/>
        <w:jc w:val="center"/>
      </w:pPr>
      <w:r>
        <w:rPr>
          <w:rFonts w:ascii="Times New Roman" w:cs="Times New Roman" w:eastAsia="Times New Roman" w:hAnsi="Times New Roman"/>
          <w:i/>
          <w:iCs/>
          <w:color w:val="555555"/>
          <w:sz w:val="20"/>
          <w:szCs w:val="20"/>
        </w:rPr>
        <w:t xml:space="preserve">Nota del autor</w:t>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Borders>
              <w:top w:val="none"/>
              <w:left w:val="none"/>
              <w:bottom w:val="none"/>
              <w:right w:val="none"/>
            </w:tcBorders>
            <w:shd w:fill="1F3864" w:val="clear"/>
            <w:tcMar>
              <w:top w:type="dxa" w:w="4"/>
              <w:left w:type="dxa" w:w="0"/>
              <w:bottom w:type="dxa" w:w="4"/>
              <w:right w:type="dxa" w:w="0"/>
            </w:tcMar>
          </w:tcPr>
          <w:p>
            <w:r>
              <w:rPr>
                <w:rFonts w:ascii="Times New Roman" w:cs="Times New Roman" w:eastAsia="Times New Roman" w:hAnsi="Times New Roman"/>
                <w:sz w:val="2"/>
                <w:szCs w:val="2"/>
              </w:rPr>
              <w:t xml:space="preserve"/>
            </w:r>
          </w:p>
        </w:tc>
      </w:tr>
    </w:tbl>
    <w:p>
      <w:pPr>
        <w:spacing w:before="0" w:after="0" w:line="240"/>
      </w:pPr>
      <w:r>
        <w:t xml:space="preserve"/>
      </w:r>
    </w:p>
    <w:p>
      <w:pPr>
        <w:spacing w:before="0" w:after="200" w:line="360" w:lineRule="auto"/>
        <w:ind w:firstLine="720"/>
        <w:jc w:val="both"/>
      </w:pPr>
      <w:r>
        <w:rPr>
          <w:rFonts w:ascii="Times New Roman" w:cs="Times New Roman" w:eastAsia="Times New Roman" w:hAnsi="Times New Roman"/>
          <w:sz w:val="24"/>
          <w:szCs w:val="24"/>
        </w:rPr>
        <w:t xml:space="preserve">Escribo esta tesis desde el exilio.</w:t>
      </w:r>
    </w:p>
    <w:p>
      <w:pPr>
        <w:spacing w:before="0" w:after="200" w:line="360" w:lineRule="auto"/>
        <w:ind w:firstLine="720"/>
        <w:jc w:val="both"/>
      </w:pPr>
      <w:r>
        <w:rPr>
          <w:rFonts w:ascii="Times New Roman" w:cs="Times New Roman" w:eastAsia="Times New Roman" w:hAnsi="Times New Roman"/>
          <w:sz w:val="24"/>
          <w:szCs w:val="24"/>
        </w:rPr>
        <w:t xml:space="preserve">Nicaragua no es el país donde nací, pero sí el país que elegí. Después de más de veinte años viviendo allí, de construir una vida, una familia y una identidad ligada a esa tierra, me convertí en ciudadano nicaragüense por naturalización. Conozco ese país desde adentro, con la profundidad que solo dan los años y el arraigo. Por eso el deterioro institucional que se aceleró a partir de abril de 2018 no lo observo únicamente como investigador: lo viví, y sus consecuencias me alcanzaron de forma directa.</w:t>
      </w:r>
    </w:p>
    <w:p>
      <w:pPr>
        <w:spacing w:before="0" w:after="200" w:line="360" w:lineRule="auto"/>
        <w:ind w:firstLine="720"/>
        <w:jc w:val="both"/>
      </w:pPr>
      <w:r>
        <w:rPr>
          <w:rFonts w:ascii="Times New Roman" w:cs="Times New Roman" w:eastAsia="Times New Roman" w:hAnsi="Times New Roman"/>
          <w:sz w:val="24"/>
          <w:szCs w:val="24"/>
        </w:rPr>
        <w:t xml:space="preserve">Nicaragua, el país que adopté, ha atravesado una de las transformaciones institucionales más aceleradas y devastadoras de su historia reciente. Lo que comenzó como una crisis política derivó en la sistemática desarticulación del Estado de derecho: la persecución de opositores, el cierre del espacio cívico, la cooptación del poder judicial y la concentración absoluta del poder en manos del ejecutivo.</w:t>
      </w:r>
    </w:p>
    <w:p>
      <w:pPr>
        <w:spacing w:before="0" w:after="200" w:line="360" w:lineRule="auto"/>
        <w:ind w:firstLine="720"/>
        <w:jc w:val="both"/>
      </w:pPr>
      <w:r>
        <w:rPr>
          <w:rFonts w:ascii="Times New Roman" w:cs="Times New Roman" w:eastAsia="Times New Roman" w:hAnsi="Times New Roman"/>
          <w:sz w:val="24"/>
          <w:szCs w:val="24"/>
        </w:rPr>
        <w:t xml:space="preserve">Y sin embargo, Nicaragua sigue accediendo a financiamiento externo. El Banco Centroamericano de Integración Económica (BCIE) ha continuado desembolsando préstamos al gobierno nicaragüense mientras el deterioro institucional se profundizaba. Los indicadores macroeconómicos —inflación, tipo de cambio, reservas— se han mantenido relativamente estables, lo suficiente como para sostener una narrativa de solvencia que abre puertas en los mercados de deuda. Pero esa estabilidad no se ha traducido en mejoras sustantivas en el bienestar de la población. La deuda se contrae; el desarrollo no llega.</w:t>
      </w:r>
    </w:p>
    <w:p>
      <w:pPr>
        <w:spacing w:before="0" w:after="200" w:line="360" w:lineRule="auto"/>
        <w:ind w:firstLine="720"/>
        <w:jc w:val="both"/>
      </w:pPr>
      <w:r>
        <w:rPr>
          <w:rFonts w:ascii="Times New Roman" w:cs="Times New Roman" w:eastAsia="Times New Roman" w:hAnsi="Times New Roman"/>
          <w:sz w:val="24"/>
          <w:szCs w:val="24"/>
        </w:rPr>
        <w:t xml:space="preserve">Este caso no es una anomalía. Es, más bien, un espejo que amplifica una tensión que esta tesis se propone examinar de manera sistemática: ¿bajo qué condiciones institucionales el endeudamiento externo contribuye al desarrollo humano, y cuándo se convierte en un instrumento que lo posterga o lo sustituye? Nicaragua me enseñó que esa pregunta tiene consecuencias reales para personas reales. Esta investigación es, en parte, un intento de entenderlas.</w:t>
      </w:r>
    </w:p>
    <w:p>
      <w:pPr>
        <w:spacing w:before="0" w:after="0" w:line="240"/>
      </w:pPr>
      <w:r>
        <w:t xml:space="preserve"/>
      </w:r>
    </w:p>
    <w:p>
      <w:pPr>
        <w:spacing w:before="0" w:after="0" w:line="240"/>
      </w:pPr>
      <w:r>
        <w:t xml:space="preserve"/>
      </w:r>
    </w:p>
    <w:p>
      <w:r>
        <w:r>
          <w:br w:type="page"/>
        </w:r>
      </w:r>
    </w:p>
    <w:p>
      <w:pPr>
        <w:spacing w:before="0" w:after="0" w:line="240"/>
      </w:pPr>
      <w:r>
        <w:t xml:space="preserve"/>
      </w:r>
    </w:p>
    <w:p>
      <w:pPr>
        <w:spacing w:before="0" w:after="0" w:line="240"/>
      </w:pPr>
      <w:r>
        <w:t xml:space="preserve"/>
      </w:r>
    </w:p>
    <w:p>
      <w:pPr>
        <w:spacing w:before="400" w:after="100"/>
        <w:jc w:val="center"/>
      </w:pPr>
      <w:r>
        <w:rPr>
          <w:rFonts w:ascii="Times New Roman" w:cs="Times New Roman" w:eastAsia="Times New Roman" w:hAnsi="Times New Roman"/>
          <w:caps/>
          <w:color w:val="888888"/>
          <w:sz w:val="18"/>
          <w:szCs w:val="18"/>
        </w:rPr>
        <w:t xml:space="preserve">CAPÍTULO 1</w:t>
      </w:r>
    </w:p>
    <w:p>
      <w:pPr>
        <w:spacing w:before="0" w:after="80"/>
        <w:jc w:val="center"/>
      </w:pPr>
      <w:r>
        <w:rPr>
          <w:rFonts w:ascii="Times New Roman" w:cs="Times New Roman" w:eastAsia="Times New Roman" w:hAnsi="Times New Roman"/>
          <w:b/>
          <w:bCs/>
          <w:color w:val="1F3864"/>
          <w:sz w:val="36"/>
          <w:szCs w:val="36"/>
        </w:rPr>
        <w:t xml:space="preserve">Introducción general</w:t>
      </w:r>
    </w:p>
    <w:p>
      <w:pPr>
        <w:spacing w:before="0" w:after="0" w:line="240"/>
      </w:pPr>
      <w:r>
        <w:t xml:space="preserve"/>
      </w:r>
    </w:p>
    <w:p>
      <w:pPr>
        <w:spacing w:before="0" w:after="0" w:line="240"/>
      </w:pPr>
      <w:r>
        <w:t xml:space="preserve"/>
      </w:r>
    </w:p>
    <w:p>
      <w:pPr>
        <w:spacing w:before="0" w:after="0" w:line="240"/>
      </w:pPr>
      <w:r>
        <w:t xml:space="preserve"/>
      </w:r>
    </w:p>
    <w:p>
      <w:pPr>
        <w:spacing w:before="0" w:after="0" w:line="240"/>
      </w:pPr>
      <w:r>
        <w:t xml:space="preserve"/>
      </w:r>
    </w:p>
    <w:p>
      <w:r>
        <w:r>
          <w:br w:type="page"/>
        </w:r>
      </w:r>
    </w:p>
    <w:p>
      <w:pPr>
        <w:spacing w:before="200" w:after="80"/>
        <w:jc w:val="center"/>
      </w:pPr>
      <w:r>
        <w:rPr>
          <w:rFonts w:ascii="Times New Roman" w:cs="Times New Roman" w:eastAsia="Times New Roman" w:hAnsi="Times New Roman"/>
          <w:i/>
          <w:iCs/>
          <w:color w:val="2E5597"/>
          <w:sz w:val="22"/>
          <w:szCs w:val="22"/>
        </w:rPr>
        <w:t xml:space="preserve">Sección 1.1</w:t>
      </w:r>
    </w:p>
    <w:p>
      <w:pPr>
        <w:spacing w:before="0" w:after="400"/>
        <w:jc w:val="center"/>
      </w:pPr>
      <w:r>
        <w:rPr>
          <w:rFonts w:ascii="Times New Roman" w:cs="Times New Roman" w:eastAsia="Times New Roman" w:hAnsi="Times New Roman"/>
          <w:b/>
          <w:bCs/>
          <w:color w:val="1F3864"/>
          <w:sz w:val="28"/>
          <w:szCs w:val="28"/>
        </w:rPr>
        <w:t xml:space="preserve">Planteamiento del problema y relevancia académica</w:t>
      </w:r>
    </w:p>
    <w:p>
      <w:pPr>
        <w:spacing w:before="0" w:after="60" w:line="320"/>
        <w:ind w:left="3200"/>
        <w:jc w:val="right"/>
      </w:pPr>
      <w:r>
        <w:rPr>
          <w:rFonts w:ascii="Times New Roman" w:cs="Times New Roman" w:eastAsia="Times New Roman" w:hAnsi="Times New Roman"/>
          <w:i/>
          <w:iCs/>
          <w:color w:val="444444"/>
          <w:sz w:val="20"/>
          <w:szCs w:val="20"/>
        </w:rPr>
        <w:t xml:space="preserve">«Los países pobres muy endeudados no han logrado escapar de la trampa de la deuda, sino que simplemente han encontrado nuevos acreedores dispuestos a financiar el mismo ciclo.»</w:t>
      </w:r>
    </w:p>
    <w:p>
      <w:pPr>
        <w:spacing w:before="0" w:after="500"/>
        <w:ind w:left="3200"/>
        <w:jc w:val="right"/>
      </w:pPr>
      <w:r>
        <w:rPr>
          <w:rFonts w:ascii="Times New Roman" w:cs="Times New Roman" w:eastAsia="Times New Roman" w:hAnsi="Times New Roman"/>
          <w:color w:val="666666"/>
          <w:sz w:val="20"/>
          <w:szCs w:val="20"/>
        </w:rPr>
        <w:t xml:space="preserve">Reinhart y Rogoff (2009, p. 61)</w:t>
      </w:r>
    </w:p>
    <w:p>
      <w:pPr>
        <w:pStyle w:val="Heading1"/>
        <w:spacing w:before="480" w:after="200"/>
      </w:pPr>
      <w:r>
        <w:rPr>
          <w:rFonts w:ascii="Times New Roman" w:cs="Times New Roman" w:eastAsia="Times New Roman" w:hAnsi="Times New Roman"/>
          <w:b/>
          <w:bCs/>
          <w:color w:val="1F3864"/>
          <w:sz w:val="28"/>
          <w:szCs w:val="28"/>
        </w:rPr>
        <w:t xml:space="preserve">1.1 Planteamiento del problema y relevancia académica</w:t>
      </w:r>
    </w:p>
    <w:p>
      <w:pPr>
        <w:pStyle w:val="Heading2"/>
        <w:spacing w:before="320" w:after="160"/>
      </w:pPr>
      <w:r>
        <w:rPr>
          <w:rFonts w:ascii="Times New Roman" w:cs="Times New Roman" w:eastAsia="Times New Roman" w:hAnsi="Times New Roman"/>
          <w:b/>
          <w:bCs/>
          <w:color w:val="2E5597"/>
          <w:sz w:val="24"/>
          <w:szCs w:val="24"/>
        </w:rPr>
        <w:t xml:space="preserve">1.1.1 El problema en su dimensión histórica: la persistencia del ciclo de la deuda</w:t>
      </w:r>
    </w:p>
    <w:p>
      <w:pPr>
        <w:spacing w:before="0" w:after="200" w:line="360" w:lineRule="auto"/>
        <w:ind w:firstLine="720"/>
        <w:jc w:val="both"/>
      </w:pPr>
      <w:r>
        <w:rPr>
          <w:rFonts w:ascii="Times New Roman" w:cs="Times New Roman" w:eastAsia="Times New Roman" w:hAnsi="Times New Roman"/>
          <w:sz w:val="24"/>
          <w:szCs w:val="24"/>
        </w:rPr>
        <w:t xml:space="preserve">En agosto de 1996, el Fondo Monetario Internacional (FMI) y el Banco Mundial pusieron en marcha la Iniciativa para los Países Pobres Muy Endeudados —conocida por sus siglas en inglés como HIPC, </w:t>
      </w:r>
      <w:r>
        <w:rPr>
          <w:rFonts w:ascii="Times New Roman" w:cs="Times New Roman" w:eastAsia="Times New Roman" w:hAnsi="Times New Roman"/>
          <w:i/>
          <w:iCs/>
          <w:sz w:val="24"/>
          <w:szCs w:val="24"/>
        </w:rPr>
        <w:t xml:space="preserve">Heavily Indebted Poor Countries</w:t>
      </w:r>
      <w:r>
        <w:rPr>
          <w:rFonts w:ascii="Times New Roman" w:cs="Times New Roman" w:eastAsia="Times New Roman" w:hAnsi="Times New Roman"/>
          <w:sz w:val="24"/>
          <w:szCs w:val="24"/>
        </w:rPr>
        <w:t xml:space="preserve">— con una promesa explícita: ofrecer a los países más pobres del mundo una salida duradera del sobreendeudamiento externo que había estrangulado su desarrollo desde la crisis de los años ochenta. En palabras textuales del propio Banco Mundial, la iniciativa fue diseñada para garantizar que</w:t>
      </w:r>
    </w:p>
    <w:p>
      <w:pPr>
        <w:spacing w:before="200" w:after="200" w:line="320" w:lineRule="auto"/>
        <w:ind w:left="1440" w:right="720"/>
        <w:jc w:val="both"/>
      </w:pPr>
      <w:r>
        <w:rPr>
          <w:rFonts w:ascii="Times New Roman" w:cs="Times New Roman" w:eastAsia="Times New Roman" w:hAnsi="Times New Roman"/>
          <w:color w:val="222222"/>
          <w:sz w:val="22"/>
          <w:szCs w:val="22"/>
        </w:rPr>
        <w:t xml:space="preserve">ningún país pobre enfrente una carga de deuda que no pueda gestionar. La Iniciativa HIPC representa un esfuerzo sin precedentes de la comunidad internacional para reducir la deuda externa de los países más pobres y más endeudados del mundo a niveles sostenibles.</w:t>
      </w:r>
      <w:r>
        <w:rPr>
          <w:rFonts w:ascii="Times New Roman" w:cs="Times New Roman" w:eastAsia="Times New Roman" w:hAnsi="Times New Roman"/>
          <w:color w:val="555555"/>
          <w:sz w:val="22"/>
          <w:szCs w:val="22"/>
        </w:rPr>
        <w:t xml:space="preserve"> (World Bank, 1996, p. 1)</w:t>
      </w:r>
    </w:p>
    <w:p>
      <w:pPr>
        <w:spacing w:before="0" w:after="200" w:line="360" w:lineRule="auto"/>
        <w:ind w:firstLine="720"/>
        <w:jc w:val="both"/>
      </w:pPr>
      <w:r>
        <w:rPr>
          <w:rFonts w:ascii="Times New Roman" w:cs="Times New Roman" w:eastAsia="Times New Roman" w:hAnsi="Times New Roman"/>
          <w:sz w:val="24"/>
          <w:szCs w:val="24"/>
        </w:rPr>
        <w:t xml:space="preserve">Veintiséis años después, al cierre del período de análisis de esta tesis (2022), la promesa permanece incumplida en una proporción que ni la literatura académica ni los propios organismos multilaterales han podido ignorar (FMI, 2022; Reinhart et al., 2016).</w:t>
      </w:r>
    </w:p>
    <w:p>
      <w:pPr>
        <w:spacing w:before="0" w:after="200" w:line="360" w:lineRule="auto"/>
        <w:ind w:firstLine="720"/>
        <w:jc w:val="both"/>
      </w:pPr>
      <w:r>
        <w:rPr>
          <w:rFonts w:ascii="Times New Roman" w:cs="Times New Roman" w:eastAsia="Times New Roman" w:hAnsi="Times New Roman"/>
          <w:sz w:val="24"/>
          <w:szCs w:val="24"/>
        </w:rPr>
        <w:t xml:space="preserve">El FMI clasificaba en 2022 a </w:t>
      </w:r>
      <w:r>
        <w:rPr>
          <w:rFonts w:ascii="Times New Roman" w:cs="Times New Roman" w:eastAsia="Times New Roman" w:hAnsi="Times New Roman"/>
          <w:b/>
          <w:bCs/>
          <w:sz w:val="24"/>
          <w:szCs w:val="24"/>
        </w:rPr>
        <w:t xml:space="preserve">37 de los 39 países que completaron el proceso HIPC</w:t>
      </w:r>
      <w:r>
        <w:rPr>
          <w:rFonts w:ascii="Times New Roman" w:cs="Times New Roman" w:eastAsia="Times New Roman" w:hAnsi="Times New Roman"/>
          <w:sz w:val="24"/>
          <w:szCs w:val="24"/>
        </w:rPr>
        <w:t xml:space="preserve"> como países con riesgo de sobreendeudamiento elevado o en situación de dificultades de deuda (FMI, 2022). Ghana, uno de los primeros países africanos en alcanzar el punto de culminación en 2004 y presentado durante años como caso paradigmático del éxito de la iniciativa, suspendió pagos en diciembre de 2022. Zambia, cuyo proceso de culminación concluyó en 2005, entró en </w:t>
      </w:r>
      <w:r>
        <w:rPr>
          <w:rFonts w:ascii="Times New Roman" w:cs="Times New Roman" w:eastAsia="Times New Roman" w:hAnsi="Times New Roman"/>
          <w:i/>
          <w:iCs/>
          <w:sz w:val="24"/>
          <w:szCs w:val="24"/>
        </w:rPr>
        <w:t xml:space="preserve">default</w:t>
      </w:r>
      <w:r>
        <w:rPr>
          <w:rFonts w:ascii="Times New Roman" w:cs="Times New Roman" w:eastAsia="Times New Roman" w:hAnsi="Times New Roman"/>
          <w:sz w:val="24"/>
          <w:szCs w:val="24"/>
        </w:rPr>
        <w:t xml:space="preserve"> en 2020. Mozambique, beneficiaria de un alivio de más de 4.000 millones de dólares en valor actual neto, acumuló una deuda equivalente al 120% de su PIB en 2016 (Banco Mundial, 2023). Estos casos no son anomalías estadísticas: son la expresión más visible de un patrón sistemático que esta tesis se propone analizar con rigor cuantitativo.</w:t>
      </w:r>
    </w:p>
    <w:p>
      <w:pPr>
        <w:spacing w:before="0" w:after="200" w:line="360" w:lineRule="auto"/>
        <w:ind w:firstLine="720"/>
        <w:jc w:val="both"/>
      </w:pPr>
      <w:r>
        <w:rPr>
          <w:rFonts w:ascii="Times New Roman" w:cs="Times New Roman" w:eastAsia="Times New Roman" w:hAnsi="Times New Roman"/>
          <w:sz w:val="24"/>
          <w:szCs w:val="24"/>
        </w:rPr>
        <w:t xml:space="preserve">La magnitud del fenómeno puede sintetizarse en cuatro cifras que definen el contorno empírico del problema:</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5597" w:sz="6"/>
              <w:left w:val="single" w:color="2E5597" w:sz="6"/>
              <w:bottom w:val="single" w:color="2E5597" w:sz="6"/>
              <w:right w:val="single" w:color="2E5597" w:sz="6"/>
            </w:tcBorders>
            <w:shd w:fill="1F3864" w:val="clear"/>
            <w:tcMar>
              <w:top w:type="dxa" w:w="100"/>
              <w:left w:type="dxa" w:w="140"/>
              <w:bottom w:type="dxa" w:w="100"/>
              <w:right w:type="dxa" w:w="140"/>
            </w:tcMar>
            <w:vAlign w:val="center"/>
          </w:tcPr>
          <w:p>
            <w:r>
              <w:rPr>
                <w:rFonts w:ascii="Times New Roman" w:cs="Times New Roman" w:eastAsia="Times New Roman" w:hAnsi="Times New Roman"/>
                <w:b/>
                <w:bCs/>
                <w:color w:val="FFFFFF"/>
                <w:sz w:val="20"/>
                <w:szCs w:val="20"/>
              </w:rPr>
              <w:t xml:space="preserve">Alivio total concedido</w:t>
            </w:r>
          </w:p>
        </w:tc>
        <w:tc>
          <w:tcPr>
            <w:tcW w:type="dxa" w:w="2400"/>
            <w:tcBorders>
              <w:top w:val="single" w:color="2E5597" w:sz="6"/>
              <w:left w:val="single" w:color="2E5597" w:sz="6"/>
              <w:bottom w:val="single" w:color="2E5597" w:sz="6"/>
              <w:right w:val="single" w:color="2E5597" w:sz="6"/>
            </w:tcBorders>
            <w:shd w:fill="D6E4F7"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1F3864"/>
                <w:sz w:val="26"/>
                <w:szCs w:val="26"/>
              </w:rPr>
              <w:t xml:space="preserve">~76.000 M USD</w:t>
            </w:r>
          </w:p>
        </w:tc>
        <w:tc>
          <w:tcPr>
            <w:tcW w:type="dxa" w:w="4560"/>
            <w:tcBorders>
              <w:top w:val="single" w:color="2E5597" w:sz="6"/>
              <w:left w:val="single" w:color="2E5597" w:sz="6"/>
              <w:bottom w:val="single" w:color="2E5597" w:sz="6"/>
              <w:right w:val="single" w:color="2E5597" w:sz="6"/>
            </w:tcBorders>
            <w:shd w:fill="F7FAFF" w:val="clear"/>
            <w:tcMar>
              <w:top w:type="dxa" w:w="100"/>
              <w:left w:type="dxa" w:w="140"/>
              <w:bottom w:type="dxa" w:w="100"/>
              <w:right w:type="dxa" w:w="140"/>
            </w:tcMar>
            <w:vAlign w:val="center"/>
          </w:tcPr>
          <w:p>
            <w:pPr>
              <w:jc w:val="both"/>
            </w:pPr>
            <w:r>
              <w:rPr>
                <w:rFonts w:ascii="Times New Roman" w:cs="Times New Roman" w:eastAsia="Times New Roman" w:hAnsi="Times New Roman"/>
                <w:color w:val="444444"/>
                <w:sz w:val="19"/>
                <w:szCs w:val="19"/>
              </w:rPr>
              <w:t xml:space="preserve">Valor actual neto del alivio comprometido a los 39 países HIPC entre 1996 y 2015 (Banco Mundial, 2022, HIPC CBP Database).</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5597" w:sz="6"/>
              <w:left w:val="single" w:color="2E5597" w:sz="6"/>
              <w:bottom w:val="single" w:color="2E5597" w:sz="6"/>
              <w:right w:val="single" w:color="2E5597" w:sz="6"/>
            </w:tcBorders>
            <w:shd w:fill="1F3864" w:val="clear"/>
            <w:tcMar>
              <w:top w:type="dxa" w:w="100"/>
              <w:left w:type="dxa" w:w="140"/>
              <w:bottom w:type="dxa" w:w="100"/>
              <w:right w:type="dxa" w:w="140"/>
            </w:tcMar>
            <w:vAlign w:val="center"/>
          </w:tcPr>
          <w:p>
            <w:r>
              <w:rPr>
                <w:rFonts w:ascii="Times New Roman" w:cs="Times New Roman" w:eastAsia="Times New Roman" w:hAnsi="Times New Roman"/>
                <w:b/>
                <w:bCs/>
                <w:color w:val="FFFFFF"/>
                <w:sz w:val="20"/>
                <w:szCs w:val="20"/>
              </w:rPr>
              <w:t xml:space="preserve">Stock de deuda (2022)</w:t>
            </w:r>
          </w:p>
        </w:tc>
        <w:tc>
          <w:tcPr>
            <w:tcW w:type="dxa" w:w="2400"/>
            <w:tcBorders>
              <w:top w:val="single" w:color="2E5597" w:sz="6"/>
              <w:left w:val="single" w:color="2E5597" w:sz="6"/>
              <w:bottom w:val="single" w:color="2E5597" w:sz="6"/>
              <w:right w:val="single" w:color="2E5597" w:sz="6"/>
            </w:tcBorders>
            <w:shd w:fill="D6E4F7"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1F3864"/>
                <w:sz w:val="26"/>
                <w:szCs w:val="26"/>
              </w:rPr>
              <w:t xml:space="preserve">~680.000 M USD</w:t>
            </w:r>
          </w:p>
        </w:tc>
        <w:tc>
          <w:tcPr>
            <w:tcW w:type="dxa" w:w="4560"/>
            <w:tcBorders>
              <w:top w:val="single" w:color="2E5597" w:sz="6"/>
              <w:left w:val="single" w:color="2E5597" w:sz="6"/>
              <w:bottom w:val="single" w:color="2E5597" w:sz="6"/>
              <w:right w:val="single" w:color="2E5597" w:sz="6"/>
            </w:tcBorders>
            <w:shd w:fill="F7FAFF" w:val="clear"/>
            <w:tcMar>
              <w:top w:type="dxa" w:w="100"/>
              <w:left w:type="dxa" w:w="140"/>
              <w:bottom w:type="dxa" w:w="100"/>
              <w:right w:type="dxa" w:w="140"/>
            </w:tcMar>
            <w:vAlign w:val="center"/>
          </w:tcPr>
          <w:p>
            <w:pPr>
              <w:jc w:val="both"/>
            </w:pPr>
            <w:r>
              <w:rPr>
                <w:rFonts w:ascii="Times New Roman" w:cs="Times New Roman" w:eastAsia="Times New Roman" w:hAnsi="Times New Roman"/>
                <w:color w:val="444444"/>
                <w:sz w:val="19"/>
                <w:szCs w:val="19"/>
              </w:rPr>
              <w:t xml:space="preserve">Deuda externa total de los 39 países post-HIPC en 2022, equivalente a casi nueve veces el alivio recibido (Banco Mundial, 2023, International Debt Statistics).</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5597" w:sz="6"/>
              <w:left w:val="single" w:color="2E5597" w:sz="6"/>
              <w:bottom w:val="single" w:color="2E5597" w:sz="6"/>
              <w:right w:val="single" w:color="2E5597" w:sz="6"/>
            </w:tcBorders>
            <w:shd w:fill="1F3864" w:val="clear"/>
            <w:tcMar>
              <w:top w:type="dxa" w:w="100"/>
              <w:left w:type="dxa" w:w="140"/>
              <w:bottom w:type="dxa" w:w="100"/>
              <w:right w:type="dxa" w:w="140"/>
            </w:tcMar>
            <w:vAlign w:val="center"/>
          </w:tcPr>
          <w:p>
            <w:r>
              <w:rPr>
                <w:rFonts w:ascii="Times New Roman" w:cs="Times New Roman" w:eastAsia="Times New Roman" w:hAnsi="Times New Roman"/>
                <w:b/>
                <w:bCs/>
                <w:color w:val="FFFFFF"/>
                <w:sz w:val="20"/>
                <w:szCs w:val="20"/>
              </w:rPr>
              <w:t xml:space="preserve">En riesgo alto o default</w:t>
            </w:r>
          </w:p>
        </w:tc>
        <w:tc>
          <w:tcPr>
            <w:tcW w:type="dxa" w:w="2400"/>
            <w:tcBorders>
              <w:top w:val="single" w:color="2E5597" w:sz="6"/>
              <w:left w:val="single" w:color="2E5597" w:sz="6"/>
              <w:bottom w:val="single" w:color="2E5597" w:sz="6"/>
              <w:right w:val="single" w:color="2E5597" w:sz="6"/>
            </w:tcBorders>
            <w:shd w:fill="D6E4F7"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1F3864"/>
                <w:sz w:val="26"/>
                <w:szCs w:val="26"/>
              </w:rPr>
              <w:t xml:space="preserve">37 de 39 países</w:t>
            </w:r>
          </w:p>
        </w:tc>
        <w:tc>
          <w:tcPr>
            <w:tcW w:type="dxa" w:w="4560"/>
            <w:tcBorders>
              <w:top w:val="single" w:color="2E5597" w:sz="6"/>
              <w:left w:val="single" w:color="2E5597" w:sz="6"/>
              <w:bottom w:val="single" w:color="2E5597" w:sz="6"/>
              <w:right w:val="single" w:color="2E5597" w:sz="6"/>
            </w:tcBorders>
            <w:shd w:fill="F7FAFF" w:val="clear"/>
            <w:tcMar>
              <w:top w:type="dxa" w:w="100"/>
              <w:left w:type="dxa" w:w="140"/>
              <w:bottom w:type="dxa" w:w="100"/>
              <w:right w:type="dxa" w:w="140"/>
            </w:tcMar>
            <w:vAlign w:val="center"/>
          </w:tcPr>
          <w:p>
            <w:pPr>
              <w:jc w:val="both"/>
            </w:pPr>
            <w:r>
              <w:rPr>
                <w:rFonts w:ascii="Times New Roman" w:cs="Times New Roman" w:eastAsia="Times New Roman" w:hAnsi="Times New Roman"/>
                <w:color w:val="444444"/>
                <w:sz w:val="19"/>
                <w:szCs w:val="19"/>
              </w:rPr>
              <w:t xml:space="preserve">Proporción de países post-HIPC clasificados con riesgo elevado o en dificultades de deuda al cierre de 2022 (FMI, 2022, DSA Database).</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5597" w:sz="6"/>
              <w:left w:val="single" w:color="2E5597" w:sz="6"/>
              <w:bottom w:val="single" w:color="2E5597" w:sz="6"/>
              <w:right w:val="single" w:color="2E5597" w:sz="6"/>
            </w:tcBorders>
            <w:shd w:fill="1F3864" w:val="clear"/>
            <w:tcMar>
              <w:top w:type="dxa" w:w="100"/>
              <w:left w:type="dxa" w:w="140"/>
              <w:bottom w:type="dxa" w:w="100"/>
              <w:right w:type="dxa" w:w="140"/>
            </w:tcMar>
            <w:vAlign w:val="center"/>
          </w:tcPr>
          <w:p>
            <w:r>
              <w:rPr>
                <w:rFonts w:ascii="Times New Roman" w:cs="Times New Roman" w:eastAsia="Times New Roman" w:hAnsi="Times New Roman"/>
                <w:b/>
                <w:bCs/>
                <w:color w:val="FFFFFF"/>
                <w:sz w:val="20"/>
                <w:szCs w:val="20"/>
              </w:rPr>
              <w:t xml:space="preserve">Deuda bilateral con China</w:t>
            </w:r>
          </w:p>
        </w:tc>
        <w:tc>
          <w:tcPr>
            <w:tcW w:type="dxa" w:w="2400"/>
            <w:tcBorders>
              <w:top w:val="single" w:color="2E5597" w:sz="6"/>
              <w:left w:val="single" w:color="2E5597" w:sz="6"/>
              <w:bottom w:val="single" w:color="2E5597" w:sz="6"/>
              <w:right w:val="single" w:color="2E5597" w:sz="6"/>
            </w:tcBorders>
            <w:shd w:fill="D6E4F7"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1F3864"/>
                <w:sz w:val="26"/>
                <w:szCs w:val="26"/>
              </w:rPr>
              <w:t xml:space="preserve">~170.000 M USD</w:t>
            </w:r>
          </w:p>
        </w:tc>
        <w:tc>
          <w:tcPr>
            <w:tcW w:type="dxa" w:w="4560"/>
            <w:tcBorders>
              <w:top w:val="single" w:color="2E5597" w:sz="6"/>
              <w:left w:val="single" w:color="2E5597" w:sz="6"/>
              <w:bottom w:val="single" w:color="2E5597" w:sz="6"/>
              <w:right w:val="single" w:color="2E5597" w:sz="6"/>
            </w:tcBorders>
            <w:shd w:fill="F7FAFF" w:val="clear"/>
            <w:tcMar>
              <w:top w:type="dxa" w:w="100"/>
              <w:left w:type="dxa" w:w="140"/>
              <w:bottom w:type="dxa" w:w="100"/>
              <w:right w:type="dxa" w:w="140"/>
            </w:tcMar>
            <w:vAlign w:val="center"/>
          </w:tcPr>
          <w:p>
            <w:pPr>
              <w:jc w:val="both"/>
            </w:pPr>
            <w:r>
              <w:rPr>
                <w:rFonts w:ascii="Times New Roman" w:cs="Times New Roman" w:eastAsia="Times New Roman" w:hAnsi="Times New Roman"/>
                <w:color w:val="444444"/>
                <w:sz w:val="19"/>
                <w:szCs w:val="19"/>
              </w:rPr>
              <w:t xml:space="preserve">Estimación del stock de deuda bilateral con China en países post-HIPC en 2021 (AidData, 2023, versión 2.0).</w:t>
            </w:r>
          </w:p>
        </w:tc>
      </w:tr>
    </w:tbl>
    <w:p>
      <w:pPr>
        <w:spacing w:before="0" w:after="0" w:line="240"/>
      </w:pPr>
      <w:r>
        <w:t xml:space="preserve"/>
      </w:r>
    </w:p>
    <w:p>
      <w:pPr>
        <w:spacing w:before="0" w:after="200" w:line="360" w:lineRule="auto"/>
        <w:ind w:firstLine="720"/>
        <w:jc w:val="both"/>
      </w:pPr>
      <w:r>
        <w:rPr>
          <w:rFonts w:ascii="Times New Roman" w:cs="Times New Roman" w:eastAsia="Times New Roman" w:hAnsi="Times New Roman"/>
          <w:sz w:val="24"/>
          <w:szCs w:val="24"/>
        </w:rPr>
        <w:t xml:space="preserve">Estas cifras plantean una paradoja que constituye el núcleo del problema de investigación: el mayor programa multilateral de alivio de deuda soberana de la historia contemporánea no logró interrumpir el ciclo de endeudamiento que pretendía romper. Antes bien, la restauración de la solvencia formal que el proceso HIPC certificó mediante su </w:t>
      </w:r>
      <w:r>
        <w:rPr>
          <w:rFonts w:ascii="Times New Roman" w:cs="Times New Roman" w:eastAsia="Times New Roman" w:hAnsi="Times New Roman"/>
          <w:i/>
          <w:iCs/>
          <w:sz w:val="24"/>
          <w:szCs w:val="24"/>
        </w:rPr>
        <w:t xml:space="preserve">Debt Sustainability Framework</w:t>
      </w:r>
      <w:r>
        <w:rPr>
          <w:rFonts w:ascii="Times New Roman" w:cs="Times New Roman" w:eastAsia="Times New Roman" w:hAnsi="Times New Roman"/>
          <w:sz w:val="24"/>
          <w:szCs w:val="24"/>
        </w:rPr>
        <w:t xml:space="preserve"> (DSF) habilitó un nuevo ciclo de endeudamiento con acreedores que no participaron en el proceso de alivio —especialmente China y los mercados internacionales de bonos— y que no comparten los criterios de sostenibilidad definidos por los organismos de Bretton Woods. Esta dinámica ha sido documentada recientemente por Horn et al. (2021) y Gelpern et al. (2021), y constituye una manifestación contemporánea de la trampa de la deuda que Reinhart y Rogoff (2009) identificaron como patrón recurrente en ocho siglos de historia financiera internacional.</w:t>
      </w:r>
    </w:p>
    <w:p>
      <w:pPr>
        <w:pStyle w:val="Heading2"/>
        <w:spacing w:before="320" w:after="160"/>
      </w:pPr>
      <w:r>
        <w:rPr>
          <w:rFonts w:ascii="Times New Roman" w:cs="Times New Roman" w:eastAsia="Times New Roman" w:hAnsi="Times New Roman"/>
          <w:b/>
          <w:bCs/>
          <w:color w:val="2E5597"/>
          <w:sz w:val="24"/>
          <w:szCs w:val="24"/>
        </w:rPr>
        <w:t xml:space="preserve">1.1.2 El problema en su dimensión institucional: por qué el alivio no fue suficiente</w:t>
      </w:r>
    </w:p>
    <w:p>
      <w:pPr>
        <w:spacing w:before="0" w:after="200" w:line="360" w:lineRule="auto"/>
        <w:ind w:firstLine="720"/>
        <w:jc w:val="both"/>
      </w:pPr>
      <w:r>
        <w:rPr>
          <w:rFonts w:ascii="Times New Roman" w:cs="Times New Roman" w:eastAsia="Times New Roman" w:hAnsi="Times New Roman"/>
          <w:sz w:val="24"/>
          <w:szCs w:val="24"/>
        </w:rPr>
        <w:t xml:space="preserve">La economía institucional ofrece el marco analítico más adecuado para comprender por qué el alivio de deuda no quebró el ciclo de sobreendeudamiento. Desde la perspectiva de North (1990), las instituciones —entendidas como las reglas del juego formales e informales que estructuran la interacción humana— determinan los incentivos de los agentes económicos y, por tanto, los resultados de largo plazo de las economías. Una intervención financiera externa, por cuantiosa que sea, no puede sustituir la transformación institucional si los incentivos subyacentes que generan el endeudamiento excesivo permanecen inalterados.</w:t>
      </w:r>
    </w:p>
    <w:p>
      <w:pPr>
        <w:spacing w:before="0" w:after="200" w:line="360" w:lineRule="auto"/>
        <w:ind w:firstLine="720"/>
        <w:jc w:val="both"/>
      </w:pPr>
      <w:r>
        <w:rPr>
          <w:rFonts w:ascii="Times New Roman" w:cs="Times New Roman" w:eastAsia="Times New Roman" w:hAnsi="Times New Roman"/>
          <w:sz w:val="24"/>
          <w:szCs w:val="24"/>
        </w:rPr>
        <w:t xml:space="preserve">Esta perspectiva sugiere que la Iniciativa HIPC padece un problema de diseño estructural: trató un síntoma —el sobreendeudamiento— sin intervenir sobre sus causas institucionales. Los programas de ajuste estructural vinculados a los </w:t>
      </w:r>
      <w:r>
        <w:rPr>
          <w:rFonts w:ascii="Times New Roman" w:cs="Times New Roman" w:eastAsia="Times New Roman" w:hAnsi="Times New Roman"/>
          <w:i/>
          <w:iCs/>
          <w:sz w:val="24"/>
          <w:szCs w:val="24"/>
        </w:rPr>
        <w:t xml:space="preserve">Poverty Reduction Strategy Papers</w:t>
      </w:r>
      <w:r>
        <w:rPr>
          <w:rFonts w:ascii="Times New Roman" w:cs="Times New Roman" w:eastAsia="Times New Roman" w:hAnsi="Times New Roman"/>
          <w:sz w:val="24"/>
          <w:szCs w:val="24"/>
        </w:rPr>
        <w:t xml:space="preserve"> (PRSP) introdujeron condicionalidades de reforma que, en teoría, debían transformar el entorno institucional de los países beneficiarios. Sin embargo, las condicionalidades fueron aplicadas de manera selectiva, su cumplimiento real resultó sistemáticamente inferior al exigido formalmente, y su diseño respondió con frecuencia a criterios ideológicos del </w:t>
      </w:r>
      <w:r>
        <w:rPr>
          <w:rFonts w:ascii="Times New Roman" w:cs="Times New Roman" w:eastAsia="Times New Roman" w:hAnsi="Times New Roman"/>
          <w:i/>
          <w:iCs/>
          <w:sz w:val="24"/>
          <w:szCs w:val="24"/>
        </w:rPr>
        <w:t xml:space="preserve">Consenso de Washington</w:t>
      </w:r>
      <w:r>
        <w:rPr>
          <w:rFonts w:ascii="Times New Roman" w:cs="Times New Roman" w:eastAsia="Times New Roman" w:hAnsi="Times New Roman"/>
          <w:sz w:val="24"/>
          <w:szCs w:val="24"/>
        </w:rPr>
        <w:t xml:space="preserve"> antes que a las necesidades institucionales específicas de cada país (Killick, 2002; Dreher, 2009; Stiglitz, 2002, p. 43).</w:t>
      </w:r>
    </w:p>
    <w:p>
      <w:pPr>
        <w:spacing w:before="0" w:after="200" w:line="360" w:lineRule="auto"/>
        <w:ind w:firstLine="720"/>
        <w:jc w:val="both"/>
      </w:pPr>
      <w:r>
        <w:rPr>
          <w:rFonts w:ascii="Times New Roman" w:cs="Times New Roman" w:eastAsia="Times New Roman" w:hAnsi="Times New Roman"/>
          <w:sz w:val="24"/>
          <w:szCs w:val="24"/>
        </w:rPr>
        <w:t xml:space="preserve">Acemoglu et al. (2001) demostraron que las instituciones tienen efectos causales de largo plazo sobre el desarrollo económico que dominan sobre otros factores, incluyendo la geografía y la integración comercial. Rodrik et al. (2004) extendieron este resultado mostrando que la calidad institucional explica las diferencias en el ingreso per cápita entre países con mayor poder explicativo que la apertura comercial o la estabilidad macroeconómica. Si estas conclusiones son válidas para el desarrollo en general, lo son con mayor razón para el caso específico de los países HIPC, cuyo problema de sobreendeudamiento es fundamentalmente un problema de capacidad institucional para generar, administrar y rendir cuentas sobre los recursos públicos.</w:t>
      </w:r>
    </w:p>
    <w:p>
      <w:pPr>
        <w:spacing w:before="0" w:after="200" w:line="360" w:lineRule="auto"/>
        <w:ind w:firstLine="720"/>
        <w:jc w:val="both"/>
      </w:pPr>
      <w:r>
        <w:rPr>
          <w:rFonts w:ascii="Times New Roman" w:cs="Times New Roman" w:eastAsia="Times New Roman" w:hAnsi="Times New Roman"/>
          <w:sz w:val="24"/>
          <w:szCs w:val="24"/>
        </w:rPr>
        <w:t xml:space="preserve">El argumento central de esta tesis, formalizado en la Hipótesis 6, es que la calidad institucional previa al ingreso en la Iniciativa HIPC es el determinante estadísticamente más relevante de los resultados económicos y sociales post-culminación, con mayor poder explicativo que el monto del alivio recibido. Si este argumento se confirma empíricamente, ello implica que la arquitectura de la HIPC invirtió el orden causal: en lugar de exigir reformas institucionales como </w:t>
      </w:r>
      <w:r>
        <w:rPr>
          <w:rFonts w:ascii="Times New Roman" w:cs="Times New Roman" w:eastAsia="Times New Roman" w:hAnsi="Times New Roman"/>
          <w:i/>
          <w:iCs/>
          <w:sz w:val="24"/>
          <w:szCs w:val="24"/>
        </w:rPr>
        <w:t xml:space="preserve">condicionalidad de acceso</w:t>
      </w:r>
      <w:r>
        <w:rPr>
          <w:rFonts w:ascii="Times New Roman" w:cs="Times New Roman" w:eastAsia="Times New Roman" w:hAnsi="Times New Roman"/>
          <w:sz w:val="24"/>
          <w:szCs w:val="24"/>
        </w:rPr>
        <w:t xml:space="preserve"> al alivio, debería haber priorizado el fortalecimiento institucional como </w:t>
      </w:r>
      <w:r>
        <w:rPr>
          <w:rFonts w:ascii="Times New Roman" w:cs="Times New Roman" w:eastAsia="Times New Roman" w:hAnsi="Times New Roman"/>
          <w:i/>
          <w:iCs/>
          <w:sz w:val="24"/>
          <w:szCs w:val="24"/>
        </w:rPr>
        <w:t xml:space="preserve">condición de efectividad</w:t>
      </w:r>
      <w:r>
        <w:rPr>
          <w:rFonts w:ascii="Times New Roman" w:cs="Times New Roman" w:eastAsia="Times New Roman" w:hAnsi="Times New Roman"/>
          <w:sz w:val="24"/>
          <w:szCs w:val="24"/>
        </w:rPr>
        <w:t xml:space="preserve"> del alivio (Presbitero, 2009; North, 1990, pp. 3–10). Esta distinción tiene consecuencias directas para el diseño del G20 Common Framework, el mecanismo multilateral de resolución de deuda soberana que aspira a suceder a la HIPC en el contexto post-COVID (G20, 2020).</w:t>
      </w:r>
    </w:p>
    <w:p>
      <w:pPr>
        <w:pStyle w:val="Heading2"/>
        <w:spacing w:before="320" w:after="160"/>
      </w:pPr>
      <w:r>
        <w:rPr>
          <w:rFonts w:ascii="Times New Roman" w:cs="Times New Roman" w:eastAsia="Times New Roman" w:hAnsi="Times New Roman"/>
          <w:b/>
          <w:bCs/>
          <w:color w:val="2E5597"/>
          <w:sz w:val="24"/>
          <w:szCs w:val="24"/>
        </w:rPr>
        <w:t xml:space="preserve">1.1.3 El problema en su dimensión empírica: brechas en la literatura existente</w:t>
      </w:r>
    </w:p>
    <w:p>
      <w:pPr>
        <w:spacing w:before="0" w:after="200" w:line="360" w:lineRule="auto"/>
        <w:ind w:firstLine="720"/>
        <w:jc w:val="both"/>
      </w:pPr>
      <w:r>
        <w:rPr>
          <w:rFonts w:ascii="Times New Roman" w:cs="Times New Roman" w:eastAsia="Times New Roman" w:hAnsi="Times New Roman"/>
          <w:sz w:val="24"/>
          <w:szCs w:val="24"/>
        </w:rPr>
        <w:t xml:space="preserve">A pesar de la relevancia del fenómeno, la literatura empírica sobre la efectividad de la Iniciativa HIPC presenta tres lagunas significativas que justifican una investigación doctoral de alcance cuantitativo comparado:</w:t>
      </w:r>
    </w:p>
    <w:p>
      <w:pPr>
        <w:spacing w:before="0" w:after="200" w:line="360" w:lineRule="auto"/>
        <w:ind w:firstLine="720"/>
        <w:jc w:val="both"/>
      </w:pPr>
      <w:r>
        <w:rPr>
          <w:rFonts w:ascii="Times New Roman" w:cs="Times New Roman" w:eastAsia="Times New Roman" w:hAnsi="Times New Roman"/>
          <w:b/>
          <w:bCs/>
          <w:sz w:val="24"/>
          <w:szCs w:val="24"/>
        </w:rPr>
        <w:t xml:space="preserve">Brecha temporal. </w:t>
      </w:r>
      <w:r>
        <w:rPr>
          <w:rFonts w:ascii="Times New Roman" w:cs="Times New Roman" w:eastAsia="Times New Roman" w:hAnsi="Times New Roman"/>
          <w:sz w:val="24"/>
          <w:szCs w:val="24"/>
        </w:rPr>
        <w:t xml:space="preserve">La mayoría de los estudios cuantitativos existentes sobre la efectividad de la HIPC cubren el período 1996–2010 o, en el mejor de los casos, 1996–2015 (Hepp, 2005; Presbitero, 2009; Freytag &amp; Pehnelt, 2009), lo que excluye la fase más relevante del reendeudamiento post-HIPC, caracterizada por la expansión del financiamiento chino y la emisión de eurobonos por parte de países post-culminación. El período 1996–2022 adoptado en esta tesis incorpora por primera vez este ciclo completo en un análisis de panel comparado.</w:t>
      </w:r>
    </w:p>
    <w:p>
      <w:pPr>
        <w:spacing w:before="0" w:after="200" w:line="360" w:lineRule="auto"/>
        <w:ind w:firstLine="720"/>
        <w:jc w:val="both"/>
      </w:pPr>
      <w:r>
        <w:rPr>
          <w:rFonts w:ascii="Times New Roman" w:cs="Times New Roman" w:eastAsia="Times New Roman" w:hAnsi="Times New Roman"/>
          <w:b/>
          <w:bCs/>
          <w:sz w:val="24"/>
          <w:szCs w:val="24"/>
        </w:rPr>
        <w:t xml:space="preserve">Brecha metodológica. </w:t>
      </w:r>
      <w:r>
        <w:rPr>
          <w:rFonts w:ascii="Times New Roman" w:cs="Times New Roman" w:eastAsia="Times New Roman" w:hAnsi="Times New Roman"/>
          <w:sz w:val="24"/>
          <w:szCs w:val="24"/>
        </w:rPr>
        <w:t xml:space="preserve">Los trabajos más citados utilizan metodologías de panel estándar que no controlan adecuadamente la endogeneidad de la calidad institucional ni identifican el efecto causal del alivio mediante diseños cuasiexperimentales (Hepp, 2005; Presbitero, 2009). Esta tesis aplica el método de control sintético (Abadie et al., 2010), el estimador de Callaway &amp; Sant'Anna (2021) y el análisis de dominancia (Budescu, 1993) para superar estas limitaciones.</w:t>
      </w:r>
    </w:p>
    <w:p>
      <w:pPr>
        <w:spacing w:before="0" w:after="200" w:line="360" w:lineRule="auto"/>
        <w:ind w:firstLine="720"/>
        <w:jc w:val="both"/>
      </w:pPr>
      <w:r>
        <w:rPr>
          <w:rFonts w:ascii="Times New Roman" w:cs="Times New Roman" w:eastAsia="Times New Roman" w:hAnsi="Times New Roman"/>
          <w:b/>
          <w:bCs/>
          <w:sz w:val="24"/>
          <w:szCs w:val="24"/>
        </w:rPr>
        <w:t xml:space="preserve">Brecha sistémica. </w:t>
      </w:r>
      <w:r>
        <w:rPr>
          <w:rFonts w:ascii="Times New Roman" w:cs="Times New Roman" w:eastAsia="Times New Roman" w:hAnsi="Times New Roman"/>
          <w:sz w:val="24"/>
          <w:szCs w:val="24"/>
        </w:rPr>
        <w:t xml:space="preserve">Ningún estudio previo ha integrado en un marco analítico unificado las cuatro dimensiones que esta tesis aborda: sostenibilidad de la deuda, condicionalidades, impacto social y gobernanza institucional. La combinación del análisis estructural MICMAC (Godet, 1993) con la econometría de panel permite identificar no solo los efectos del alivio sino los mecanismos institucionales que los determinan.</w:t>
      </w:r>
    </w:p>
    <w:p>
      <w:pPr>
        <w:pStyle w:val="Heading2"/>
        <w:spacing w:before="320" w:after="160"/>
      </w:pPr>
      <w:r>
        <w:rPr>
          <w:rFonts w:ascii="Times New Roman" w:cs="Times New Roman" w:eastAsia="Times New Roman" w:hAnsi="Times New Roman"/>
          <w:b/>
          <w:bCs/>
          <w:color w:val="2E5597"/>
          <w:sz w:val="24"/>
          <w:szCs w:val="24"/>
        </w:rPr>
        <w:t xml:space="preserve">1.1.4 Relevancia académica y contribución esperada</w:t>
      </w:r>
    </w:p>
    <w:p>
      <w:pPr>
        <w:spacing w:before="0" w:after="200" w:line="360" w:lineRule="auto"/>
        <w:ind w:firstLine="720"/>
        <w:jc w:val="both"/>
      </w:pPr>
      <w:r>
        <w:rPr>
          <w:rFonts w:ascii="Times New Roman" w:cs="Times New Roman" w:eastAsia="Times New Roman" w:hAnsi="Times New Roman"/>
          <w:b/>
          <w:bCs/>
          <w:sz w:val="24"/>
          <w:szCs w:val="24"/>
        </w:rPr>
        <w:t xml:space="preserve">En el plano teórico, </w:t>
      </w:r>
      <w:r>
        <w:rPr>
          <w:rFonts w:ascii="Times New Roman" w:cs="Times New Roman" w:eastAsia="Times New Roman" w:hAnsi="Times New Roman"/>
          <w:sz w:val="24"/>
          <w:szCs w:val="24"/>
        </w:rPr>
        <w:t xml:space="preserve">la tesis contribuye al debate entre las perspectivas institucionalistas y las perspectivas financieras sobre el desarrollo económico, utilizando el caso de los países HIPC como experimento natural para arrojar luz empírica sobre este debate (Acemoglu &amp; Robinson, 2012; Easterly, 2006; Burnside &amp; Dollar, 2000).</w:t>
      </w:r>
    </w:p>
    <w:p>
      <w:pPr>
        <w:spacing w:before="0" w:after="200" w:line="360" w:lineRule="auto"/>
        <w:ind w:firstLine="720"/>
        <w:jc w:val="both"/>
      </w:pPr>
      <w:r>
        <w:rPr>
          <w:rFonts w:ascii="Times New Roman" w:cs="Times New Roman" w:eastAsia="Times New Roman" w:hAnsi="Times New Roman"/>
          <w:b/>
          <w:bCs/>
          <w:sz w:val="24"/>
          <w:szCs w:val="24"/>
        </w:rPr>
        <w:t xml:space="preserve">En el plano metodológico, </w:t>
      </w:r>
      <w:r>
        <w:rPr>
          <w:rFonts w:ascii="Times New Roman" w:cs="Times New Roman" w:eastAsia="Times New Roman" w:hAnsi="Times New Roman"/>
          <w:sz w:val="24"/>
          <w:szCs w:val="24"/>
        </w:rPr>
        <w:t xml:space="preserve">la tesis realiza tres aportaciones originales: el uso del análisis estructural MICMAC como herramienta de especificación previa al modelado econométrico; la aplicación del control sintético al panel de países HIPC; y la integración del análisis de dominancia para identificar la importancia relativa de los determinantes institucionales respecto a los financieros.</w:t>
      </w:r>
    </w:p>
    <w:p>
      <w:pPr>
        <w:spacing w:before="0" w:after="200" w:line="360" w:lineRule="auto"/>
        <w:ind w:firstLine="720"/>
        <w:jc w:val="both"/>
      </w:pPr>
      <w:r>
        <w:rPr>
          <w:rFonts w:ascii="Times New Roman" w:cs="Times New Roman" w:eastAsia="Times New Roman" w:hAnsi="Times New Roman"/>
          <w:b/>
          <w:bCs/>
          <w:sz w:val="24"/>
          <w:szCs w:val="24"/>
        </w:rPr>
        <w:t xml:space="preserve">En el plano de política económica, </w:t>
      </w:r>
      <w:r>
        <w:rPr>
          <w:rFonts w:ascii="Times New Roman" w:cs="Times New Roman" w:eastAsia="Times New Roman" w:hAnsi="Times New Roman"/>
          <w:sz w:val="24"/>
          <w:szCs w:val="24"/>
        </w:rPr>
        <w:t xml:space="preserve">la investigación tiene pertinencia directa e inmediata. El G20 Common Framework (G20, 2020) enfrenta exactamente los mismos dilemas de diseño que la HIPC: cómo distribuir las pérdidas entre acreedores heterogéneos, cómo definir condicionalidades que promuevan la sostenibilidad sin comprometer el crecimiento, y cómo garantizar que el alivio se traduzca en mejoras sociales duraderas.</w:t>
      </w:r>
    </w:p>
    <w:p>
      <w:pPr>
        <w:spacing w:before="0" w:after="200" w:line="360" w:lineRule="auto"/>
        <w:ind w:firstLine="720"/>
        <w:jc w:val="both"/>
      </w:pPr>
      <w:r>
        <w:rPr>
          <w:rFonts w:ascii="Times New Roman" w:cs="Times New Roman" w:eastAsia="Times New Roman" w:hAnsi="Times New Roman"/>
          <w:sz w:val="24"/>
          <w:szCs w:val="24"/>
        </w:rPr>
        <w:t xml:space="preserve">La relevancia del tema se amplifica por el contexto post-pandémico. La crisis del COVID-19 produjo un deterioro generalizado de los ratios de deuda en los países de bajos ingresos, elevando el stock de deuda de los países HIPC post-culminación en un promedio de 12 puntos porcentuales del PIB entre 2019 y 2021 (FMI, 2022; Kose et al., 2021). En este contexto, la pregunta de qué hace que el alivio de deuda sea efectivo y duradero no es un ejercicio de historia económica: es una pregunta de política económica urgente.</w:t>
      </w:r>
    </w:p>
    <w:p>
      <w:pPr>
        <w:pStyle w:val="Heading2"/>
        <w:spacing w:before="320" w:after="160"/>
      </w:pPr>
      <w:r>
        <w:rPr>
          <w:rFonts w:ascii="Times New Roman" w:cs="Times New Roman" w:eastAsia="Times New Roman" w:hAnsi="Times New Roman"/>
          <w:b/>
          <w:bCs/>
          <w:color w:val="2E5597"/>
          <w:sz w:val="24"/>
          <w:szCs w:val="24"/>
        </w:rPr>
        <w:t xml:space="preserve">1.1.5 Delimitación del objeto de estudio</w:t>
      </w:r>
    </w:p>
    <w:p>
      <w:pPr>
        <w:spacing w:before="0" w:after="200" w:line="360" w:lineRule="auto"/>
        <w:ind w:firstLine="720"/>
        <w:jc w:val="both"/>
      </w:pPr>
      <w:r>
        <w:rPr>
          <w:rFonts w:ascii="Times New Roman" w:cs="Times New Roman" w:eastAsia="Times New Roman" w:hAnsi="Times New Roman"/>
          <w:sz w:val="24"/>
          <w:szCs w:val="24"/>
        </w:rPr>
        <w:t xml:space="preserve">Esta investigación se circunscribe al análisis de los </w:t>
      </w:r>
      <w:r>
        <w:rPr>
          <w:rFonts w:ascii="Times New Roman" w:cs="Times New Roman" w:eastAsia="Times New Roman" w:hAnsi="Times New Roman"/>
          <w:b/>
          <w:bCs/>
          <w:sz w:val="24"/>
          <w:szCs w:val="24"/>
        </w:rPr>
        <w:t xml:space="preserve">39 países que completaron tanto el punto de decisión como el punto de culminación</w:t>
      </w:r>
      <w:r>
        <w:rPr>
          <w:rFonts w:ascii="Times New Roman" w:cs="Times New Roman" w:eastAsia="Times New Roman" w:hAnsi="Times New Roman"/>
          <w:sz w:val="24"/>
          <w:szCs w:val="24"/>
        </w:rPr>
        <w:t xml:space="preserve"> de la Iniciativa HIPC en el período 1996–2015, seguidos durante el período post-culminación hasta 2022. Geográficamente, la muestra incluye </w:t>
      </w:r>
      <w:r>
        <w:rPr>
          <w:rFonts w:ascii="Times New Roman" w:cs="Times New Roman" w:eastAsia="Times New Roman" w:hAnsi="Times New Roman"/>
          <w:b/>
          <w:bCs/>
          <w:sz w:val="24"/>
          <w:szCs w:val="24"/>
        </w:rPr>
        <w:t xml:space="preserve">30 países de África subsahariana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5 países de América Latina y el Caribe</w:t>
      </w:r>
      <w:r>
        <w:rPr>
          <w:rFonts w:ascii="Times New Roman" w:cs="Times New Roman" w:eastAsia="Times New Roman" w:hAnsi="Times New Roman"/>
          <w:sz w:val="24"/>
          <w:szCs w:val="24"/>
        </w:rPr>
        <w:t xml:space="preserve"> (Bolivia, Guyana, Honduras, Nicaragua y Haití) y </w:t>
      </w:r>
      <w:r>
        <w:rPr>
          <w:rFonts w:ascii="Times New Roman" w:cs="Times New Roman" w:eastAsia="Times New Roman" w:hAnsi="Times New Roman"/>
          <w:b/>
          <w:bCs/>
          <w:sz w:val="24"/>
          <w:szCs w:val="24"/>
        </w:rPr>
        <w:t xml:space="preserve">4 países de Asia y Oceanía</w:t>
      </w:r>
      <w:r>
        <w:rPr>
          <w:rFonts w:ascii="Times New Roman" w:cs="Times New Roman" w:eastAsia="Times New Roman" w:hAnsi="Times New Roman"/>
          <w:sz w:val="24"/>
          <w:szCs w:val="24"/>
        </w:rPr>
        <w:t xml:space="preserve"> (Afganistán, Myanmar, Nepal y las Islas Salomón). El período de análisis 1996–2022 se estructura en tres fases analíticamente diferenciadas: la </w:t>
      </w:r>
      <w:r>
        <w:rPr>
          <w:rFonts w:ascii="Times New Roman" w:cs="Times New Roman" w:eastAsia="Times New Roman" w:hAnsi="Times New Roman"/>
          <w:b/>
          <w:bCs/>
          <w:i/>
          <w:iCs/>
          <w:sz w:val="24"/>
          <w:szCs w:val="24"/>
        </w:rPr>
        <w:t xml:space="preserve">fase de implementación</w:t>
      </w:r>
      <w:r>
        <w:rPr>
          <w:rFonts w:ascii="Times New Roman" w:cs="Times New Roman" w:eastAsia="Times New Roman" w:hAnsi="Times New Roman"/>
          <w:sz w:val="24"/>
          <w:szCs w:val="24"/>
        </w:rPr>
        <w:t xml:space="preserve"> (1996–2005), la </w:t>
      </w:r>
      <w:r>
        <w:rPr>
          <w:rFonts w:ascii="Times New Roman" w:cs="Times New Roman" w:eastAsia="Times New Roman" w:hAnsi="Times New Roman"/>
          <w:b/>
          <w:bCs/>
          <w:i/>
          <w:iCs/>
          <w:sz w:val="24"/>
          <w:szCs w:val="24"/>
        </w:rPr>
        <w:t xml:space="preserve">fase post-culminación temprana</w:t>
      </w:r>
      <w:r>
        <w:rPr>
          <w:rFonts w:ascii="Times New Roman" w:cs="Times New Roman" w:eastAsia="Times New Roman" w:hAnsi="Times New Roman"/>
          <w:sz w:val="24"/>
          <w:szCs w:val="24"/>
        </w:rPr>
        <w:t xml:space="preserve"> (2006–2014), y la </w:t>
      </w:r>
      <w:r>
        <w:rPr>
          <w:rFonts w:ascii="Times New Roman" w:cs="Times New Roman" w:eastAsia="Times New Roman" w:hAnsi="Times New Roman"/>
          <w:b/>
          <w:bCs/>
          <w:i/>
          <w:iCs/>
          <w:sz w:val="24"/>
          <w:szCs w:val="24"/>
        </w:rPr>
        <w:t xml:space="preserve">fase de reendeudamiento y nueva arquitectura</w:t>
      </w:r>
      <w:r>
        <w:rPr>
          <w:rFonts w:ascii="Times New Roman" w:cs="Times New Roman" w:eastAsia="Times New Roman" w:hAnsi="Times New Roman"/>
          <w:sz w:val="24"/>
          <w:szCs w:val="24"/>
        </w:rPr>
        <w:t xml:space="preserve"> (2015–2022) (Horn et al., 2021; Gelpern et al., 2021).</w:t>
      </w:r>
    </w:p>
    <w:p>
      <w:pPr>
        <w:spacing w:before="0" w:after="0" w:line="240"/>
      </w:pPr>
      <w:r>
        <w:t xml:space="preserve"/>
      </w:r>
    </w:p>
    <w:p>
      <w:pPr>
        <w:spacing w:before="0" w:after="0" w:line="240"/>
      </w:pPr>
      <w:r>
        <w:t xml:space="preserve"/>
      </w:r>
    </w:p>
    <w:p>
      <w:r>
        <w:r>
          <w:br w:type="page"/>
        </w:r>
      </w:r>
    </w:p>
    <w:p>
      <w:pPr>
        <w:spacing w:before="200" w:after="80"/>
        <w:jc w:val="center"/>
      </w:pPr>
      <w:r>
        <w:rPr>
          <w:rFonts w:ascii="Times New Roman" w:cs="Times New Roman" w:eastAsia="Times New Roman" w:hAnsi="Times New Roman"/>
          <w:i/>
          <w:iCs/>
          <w:color w:val="2E5597"/>
          <w:sz w:val="22"/>
          <w:szCs w:val="22"/>
        </w:rPr>
        <w:t xml:space="preserve">Sección 1.2</w:t>
      </w:r>
    </w:p>
    <w:p>
      <w:pPr>
        <w:spacing w:before="0" w:after="400"/>
        <w:jc w:val="center"/>
      </w:pPr>
      <w:r>
        <w:rPr>
          <w:rFonts w:ascii="Times New Roman" w:cs="Times New Roman" w:eastAsia="Times New Roman" w:hAnsi="Times New Roman"/>
          <w:b/>
          <w:bCs/>
          <w:color w:val="1F3864"/>
          <w:sz w:val="28"/>
          <w:szCs w:val="28"/>
        </w:rPr>
        <w:t xml:space="preserve">Pregunta de investigación central e hipótesis</w:t>
      </w:r>
    </w:p>
    <w:p>
      <w:pPr>
        <w:spacing w:before="0" w:after="60" w:line="320"/>
        <w:ind w:left="3200"/>
        <w:jc w:val="right"/>
      </w:pPr>
      <w:r>
        <w:rPr>
          <w:rFonts w:ascii="Times New Roman" w:cs="Times New Roman" w:eastAsia="Times New Roman" w:hAnsi="Times New Roman"/>
          <w:i/>
          <w:iCs/>
          <w:color w:val="444444"/>
          <w:sz w:val="20"/>
          <w:szCs w:val="20"/>
        </w:rPr>
        <w:t xml:space="preserve">«Una pregunta de investigación bien formulada es ya la mitad de la respuesta: delimita el fenómeno, acota el método y anticipa la contribución.»</w:t>
      </w:r>
    </w:p>
    <w:p>
      <w:pPr>
        <w:spacing w:before="0" w:after="500"/>
        <w:ind w:left="3200"/>
        <w:jc w:val="right"/>
      </w:pPr>
      <w:r>
        <w:rPr>
          <w:rFonts w:ascii="Times New Roman" w:cs="Times New Roman" w:eastAsia="Times New Roman" w:hAnsi="Times New Roman"/>
          <w:color w:val="666666"/>
          <w:sz w:val="20"/>
          <w:szCs w:val="20"/>
        </w:rPr>
        <w:t xml:space="preserve">King et al. (1994, p. 15)</w:t>
      </w:r>
    </w:p>
    <w:p>
      <w:pPr>
        <w:pStyle w:val="Heading1"/>
        <w:spacing w:before="480" w:after="200"/>
      </w:pPr>
      <w:r>
        <w:rPr>
          <w:rFonts w:ascii="Times New Roman" w:cs="Times New Roman" w:eastAsia="Times New Roman" w:hAnsi="Times New Roman"/>
          <w:b/>
          <w:bCs/>
          <w:color w:val="1F3864"/>
          <w:sz w:val="28"/>
          <w:szCs w:val="28"/>
        </w:rPr>
        <w:t xml:space="preserve">1.2 Pregunta de investigación central e hipótesis</w:t>
      </w:r>
    </w:p>
    <w:p>
      <w:pPr>
        <w:spacing w:before="0" w:after="200" w:line="360" w:lineRule="auto"/>
        <w:ind w:firstLine="720"/>
        <w:jc w:val="both"/>
      </w:pPr>
      <w:r>
        <w:rPr>
          <w:rFonts w:ascii="Times New Roman" w:cs="Times New Roman" w:eastAsia="Times New Roman" w:hAnsi="Times New Roman"/>
          <w:sz w:val="24"/>
          <w:szCs w:val="24"/>
        </w:rPr>
        <w:t xml:space="preserve">La formulación de la pregunta de investigación y de las hipótesis que de ella se derivan constituye el momento epistemológicamente más exigente de cualquier tesis doctoral. King et al. (1994, p. 14) señalan que una pregunta de investigación debe satisfacer simultáneamente dos criterios: ser relevante para el mundo real y ser susceptible de respuesta mediante evidencia empírica. El planteamiento desarrollado en la sección anterior establece la relevancia; esta sección establece la falsabilidad.</w:t>
      </w:r>
    </w:p>
    <w:p>
      <w:pPr>
        <w:pStyle w:val="Heading2"/>
        <w:spacing w:before="320" w:after="160"/>
      </w:pPr>
      <w:r>
        <w:rPr>
          <w:rFonts w:ascii="Times New Roman" w:cs="Times New Roman" w:eastAsia="Times New Roman" w:hAnsi="Times New Roman"/>
          <w:b/>
          <w:bCs/>
          <w:color w:val="2E5597"/>
          <w:sz w:val="24"/>
          <w:szCs w:val="24"/>
        </w:rPr>
        <w:t xml:space="preserve">1.2.1 La pregunta de investigación central</w:t>
      </w:r>
    </w:p>
    <w:p>
      <w:pPr>
        <w:spacing w:before="0" w:after="200" w:line="360" w:lineRule="auto"/>
        <w:ind w:firstLine="720"/>
        <w:jc w:val="both"/>
      </w:pPr>
      <w:r>
        <w:rPr>
          <w:rFonts w:ascii="Times New Roman" w:cs="Times New Roman" w:eastAsia="Times New Roman" w:hAnsi="Times New Roman"/>
          <w:sz w:val="24"/>
          <w:szCs w:val="24"/>
        </w:rPr>
        <w:t xml:space="preserve">El problema identificado en la sección 1.1 puede condensarse en una tensión analítica precisa: la Iniciativa HIPC produjo un alivio financiero cuantificable, pero ese alivio no se tradujo en una ruptura duradera del ciclo de sobreendeudamiento. Tras la revisión sistemática de la literatura realizada en el Capítulo 2, la pregunta central de la investigación queda formulada en los siguientes términos:</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0"/>
              <w:left w:val="single" w:color="1F3864" w:sz="10"/>
              <w:bottom w:val="single" w:color="1F3864" w:sz="10"/>
              <w:right w:val="single" w:color="1F3864" w:sz="10"/>
            </w:tcBorders>
            <w:shd w:fill="1F3864" w:val="clear"/>
            <w:tcMar>
              <w:top w:type="dxa" w:w="120"/>
              <w:left w:type="dxa" w:w="200"/>
              <w:bottom w:type="dxa" w:w="80"/>
              <w:right w:type="dxa" w:w="200"/>
            </w:tcMar>
          </w:tcPr>
          <w:p>
            <w:r>
              <w:rPr>
                <w:rFonts w:ascii="Times New Roman" w:cs="Times New Roman" w:eastAsia="Times New Roman" w:hAnsi="Times New Roman"/>
                <w:b/>
                <w:bCs/>
                <w:caps/>
                <w:color w:val="FFFFFF"/>
                <w:sz w:val="18"/>
                <w:szCs w:val="18"/>
              </w:rPr>
              <w:t xml:space="preserve">PREGUNTA DE INVESTIGACIÓN CENTRAL</w:t>
            </w:r>
          </w:p>
        </w:tc>
      </w:tr>
      <w:tr>
        <w:tc>
          <w:tcPr>
            <w:tcBorders>
              <w:top w:val="single" w:color="1F3864" w:sz="10"/>
              <w:left w:val="single" w:color="1F3864" w:sz="10"/>
              <w:bottom w:val="single" w:color="1F3864" w:sz="10"/>
              <w:right w:val="single" w:color="1F3864" w:sz="10"/>
            </w:tcBorders>
            <w:shd w:fill="EEF3FB" w:val="clear"/>
            <w:tcMar>
              <w:top w:type="dxa" w:w="200"/>
              <w:left w:type="dxa" w:w="280"/>
              <w:bottom w:type="dxa" w:w="200"/>
              <w:right w:type="dxa" w:w="280"/>
            </w:tcMar>
          </w:tcPr>
          <w:p>
            <w:pPr>
              <w:jc w:val="both"/>
            </w:pPr>
            <w:r>
              <w:rPr>
                <w:rFonts w:ascii="Times New Roman" w:cs="Times New Roman" w:eastAsia="Times New Roman" w:hAnsi="Times New Roman"/>
                <w:b/>
                <w:bCs/>
                <w:color w:val="1F3864"/>
                <w:sz w:val="24"/>
                <w:szCs w:val="24"/>
              </w:rPr>
              <w:t xml:space="preserve">¿En qué medida la calidad institucional de los países beneficiarios —operacionalizada mediante el Índice de Gobernanza Anticorrupción (IGC) y el Índice de Gobernanza Accountability (IGA), construidos a partir del QoG Institute con series desde 1900— constituye el determinante de mayor poder explicativo de la sostenibilidad de la deuda externa y de los resultados económicos y sociales post-HIPC observados en el período 1996–2022, por encima del monto del alivio concedido, el nivel de desarrollo inicial, la apertura comercial y la estabilidad macroeconómica?</w:t>
            </w:r>
          </w:p>
        </w:tc>
      </w:tr>
    </w:tbl>
    <w:p>
      <w:pPr>
        <w:spacing w:before="0" w:after="0" w:line="240"/>
      </w:pPr>
      <w:r>
        <w:t xml:space="preserve"/>
      </w:r>
    </w:p>
    <w:p>
      <w:pPr>
        <w:spacing w:before="0" w:after="200" w:line="360" w:lineRule="auto"/>
        <w:ind w:firstLine="720"/>
        <w:jc w:val="both"/>
      </w:pPr>
      <w:r>
        <w:rPr>
          <w:rFonts w:ascii="Times New Roman" w:cs="Times New Roman" w:eastAsia="Times New Roman" w:hAnsi="Times New Roman"/>
          <w:sz w:val="24"/>
          <w:szCs w:val="24"/>
        </w:rPr>
        <w:t xml:space="preserve">Esta formulación incorpora tres decisiones analíticas. En primer lugar, establece una </w:t>
      </w:r>
      <w:r>
        <w:rPr>
          <w:rFonts w:ascii="Times New Roman" w:cs="Times New Roman" w:eastAsia="Times New Roman" w:hAnsi="Times New Roman"/>
          <w:i/>
          <w:iCs/>
          <w:sz w:val="24"/>
          <w:szCs w:val="24"/>
        </w:rPr>
        <w:t xml:space="preserve">comparación causal</w:t>
      </w:r>
      <w:r>
        <w:rPr>
          <w:rFonts w:ascii="Times New Roman" w:cs="Times New Roman" w:eastAsia="Times New Roman" w:hAnsi="Times New Roman"/>
          <w:sz w:val="24"/>
          <w:szCs w:val="24"/>
        </w:rPr>
        <w:t xml:space="preserve"> entre determinantes institucionales y financieros, respondiendo a la crítica de Rodrik et al. (2004) sobre la necesidad de identificar la importancia relativa de los distintos factores de desarrollo. En segundo lugar, adopta una perspectiva de </w:t>
      </w:r>
      <w:r>
        <w:rPr>
          <w:rFonts w:ascii="Times New Roman" w:cs="Times New Roman" w:eastAsia="Times New Roman" w:hAnsi="Times New Roman"/>
          <w:i/>
          <w:iCs/>
          <w:sz w:val="24"/>
          <w:szCs w:val="24"/>
        </w:rPr>
        <w:t xml:space="preserve">largo plazo</w:t>
      </w:r>
      <w:r>
        <w:rPr>
          <w:rFonts w:ascii="Times New Roman" w:cs="Times New Roman" w:eastAsia="Times New Roman" w:hAnsi="Times New Roman"/>
          <w:sz w:val="24"/>
          <w:szCs w:val="24"/>
        </w:rPr>
        <w:t xml:space="preserve"> (1996–2022) que permite capturar tanto los efectos inmediatos del alivio como el ciclo de reendeudamiento posterior (Reinhart &amp; Rogoff, 2009; Horn et al., 2021). En tercer lugar, integra </w:t>
      </w:r>
      <w:r>
        <w:rPr>
          <w:rFonts w:ascii="Times New Roman" w:cs="Times New Roman" w:eastAsia="Times New Roman" w:hAnsi="Times New Roman"/>
          <w:i/>
          <w:iCs/>
          <w:sz w:val="24"/>
          <w:szCs w:val="24"/>
        </w:rPr>
        <w:t xml:space="preserve">dos dimensiones de resultado</w:t>
      </w:r>
      <w:r>
        <w:rPr>
          <w:rFonts w:ascii="Times New Roman" w:cs="Times New Roman" w:eastAsia="Times New Roman" w:hAnsi="Times New Roman"/>
          <w:sz w:val="24"/>
          <w:szCs w:val="24"/>
        </w:rPr>
        <w:t xml:space="preserve"> —sostenibilidad de la deuda e indicadores económicos y sociales— para evaluar si la HIPC fue eficaz en sus propios términos declarados.</w:t>
      </w:r>
    </w:p>
    <w:p>
      <w:pPr>
        <w:pStyle w:val="Heading2"/>
        <w:spacing w:before="320" w:after="160"/>
      </w:pPr>
      <w:r>
        <w:rPr>
          <w:rFonts w:ascii="Times New Roman" w:cs="Times New Roman" w:eastAsia="Times New Roman" w:hAnsi="Times New Roman"/>
          <w:b/>
          <w:bCs/>
          <w:color w:val="2E5597"/>
          <w:sz w:val="24"/>
          <w:szCs w:val="24"/>
        </w:rPr>
        <w:t xml:space="preserve">1.2.2 Preguntas de investigación secundarias</w:t>
      </w:r>
    </w:p>
    <w:p>
      <w:pPr>
        <w:spacing w:before="0" w:after="200" w:line="360" w:lineRule="auto"/>
        <w:ind w:firstLine="720"/>
        <w:jc w:val="both"/>
      </w:pPr>
      <w:r>
        <w:rPr>
          <w:rFonts w:ascii="Times New Roman" w:cs="Times New Roman" w:eastAsia="Times New Roman" w:hAnsi="Times New Roman"/>
          <w:sz w:val="24"/>
          <w:szCs w:val="24"/>
        </w:rPr>
        <w:t xml:space="preserve">La pregunta central se desagrega en cuatro preguntas secundarias que estructuran los capítulos empíricos:</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2E5597" w:sz="6"/>
              <w:left w:val="single" w:color="2E5597" w:sz="6"/>
              <w:bottom w:val="single" w:color="2E5597" w:sz="6"/>
              <w:right w:val="single" w:color="AAAAAA" w:sz="2"/>
            </w:tcBorders>
            <w:shd w:fill="2E5597"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PE1</w:t>
            </w:r>
          </w:p>
        </w:tc>
        <w:tc>
          <w:tcPr>
            <w:tcBorders>
              <w:top w:val="single" w:color="2E5597" w:sz="6"/>
              <w:left w:val="single" w:color="AAAAAA" w:sz="2"/>
              <w:bottom w:val="single" w:color="2E5597" w:sz="6"/>
              <w:right w:val="single" w:color="2E5597" w:sz="6"/>
            </w:tcBorders>
            <w:shd w:fill="F7FAFF" w:val="clear"/>
            <w:tcMar>
              <w:top w:type="dxa" w:w="100"/>
              <w:left w:type="dxa" w:w="160"/>
              <w:bottom w:type="dxa" w:w="100"/>
              <w:right w:type="dxa" w:w="160"/>
            </w:tcMar>
            <w:vAlign w:val="center"/>
          </w:tcPr>
          <w:p>
            <w:pPr>
              <w:jc w:val="both"/>
            </w:pPr>
            <w:r>
              <w:rPr>
                <w:rFonts w:ascii="Times New Roman" w:cs="Times New Roman" w:eastAsia="Times New Roman" w:hAnsi="Times New Roman"/>
                <w:color w:val="222222"/>
                <w:sz w:val="22"/>
                <w:szCs w:val="22"/>
              </w:rPr>
              <w:t xml:space="preserve">¿Produjo el alivio de deuda concedido en el marco de la Iniciativa HIPC una reducción estadísticamente significativa e inmediata de los ratios de endeudamiento externo de los países beneficiarios? Y si fue así, ¿persistió ese efecto en el horizonte de diez años, o se diluyó progresivamente como consecuencia del deterioro de la clasificación de riesgo DSF y del reendeudamiento con acreedores no tradicionales?</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2E5597" w:sz="6"/>
              <w:left w:val="single" w:color="2E5597" w:sz="6"/>
              <w:bottom w:val="single" w:color="2E5597" w:sz="6"/>
              <w:right w:val="single" w:color="AAAAAA" w:sz="2"/>
            </w:tcBorders>
            <w:shd w:fill="2E5597"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PE2</w:t>
            </w:r>
          </w:p>
        </w:tc>
        <w:tc>
          <w:tcPr>
            <w:tcBorders>
              <w:top w:val="single" w:color="2E5597" w:sz="6"/>
              <w:left w:val="single" w:color="AAAAAA" w:sz="2"/>
              <w:bottom w:val="single" w:color="2E5597" w:sz="6"/>
              <w:right w:val="single" w:color="2E5597" w:sz="6"/>
            </w:tcBorders>
            <w:shd w:fill="F7FAFF" w:val="clear"/>
            <w:tcMar>
              <w:top w:type="dxa" w:w="100"/>
              <w:left w:type="dxa" w:w="160"/>
              <w:bottom w:type="dxa" w:w="100"/>
              <w:right w:type="dxa" w:w="160"/>
            </w:tcMar>
            <w:vAlign w:val="center"/>
          </w:tcPr>
          <w:p>
            <w:pPr>
              <w:jc w:val="both"/>
            </w:pPr>
            <w:r>
              <w:rPr>
                <w:rFonts w:ascii="Times New Roman" w:cs="Times New Roman" w:eastAsia="Times New Roman" w:hAnsi="Times New Roman"/>
                <w:color w:val="222222"/>
                <w:sz w:val="22"/>
                <w:szCs w:val="22"/>
              </w:rPr>
              <w:t xml:space="preserve">¿Existió una brecha sistemática entre las condicionalidades formalmente exigidas por el FMI y el Banco Mundial como requisito para alcanzar el punto de culminación HIPC y el grado de cumplimiento efectivo de dichas condicionalidades? Y en caso afirmativo, ¿respondió esa brecha a consideraciones geopolíticas de los países acreedores con mayor cuota de voto en el Fondo, y no exclusivamente a criterios técnicos de desempeño macroeconómico?</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2E5597" w:sz="6"/>
              <w:left w:val="single" w:color="2E5597" w:sz="6"/>
              <w:bottom w:val="single" w:color="2E5597" w:sz="6"/>
              <w:right w:val="single" w:color="AAAAAA" w:sz="2"/>
            </w:tcBorders>
            <w:shd w:fill="2E5597"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PE3</w:t>
            </w:r>
          </w:p>
        </w:tc>
        <w:tc>
          <w:tcPr>
            <w:tcBorders>
              <w:top w:val="single" w:color="2E5597" w:sz="6"/>
              <w:left w:val="single" w:color="AAAAAA" w:sz="2"/>
              <w:bottom w:val="single" w:color="2E5597" w:sz="6"/>
              <w:right w:val="single" w:color="2E5597" w:sz="6"/>
            </w:tcBorders>
            <w:shd w:fill="F7FAFF" w:val="clear"/>
            <w:tcMar>
              <w:top w:type="dxa" w:w="100"/>
              <w:left w:type="dxa" w:w="160"/>
              <w:bottom w:type="dxa" w:w="100"/>
              <w:right w:type="dxa" w:w="160"/>
            </w:tcMar>
            <w:vAlign w:val="center"/>
          </w:tcPr>
          <w:p>
            <w:pPr>
              <w:jc w:val="both"/>
            </w:pPr>
            <w:r>
              <w:rPr>
                <w:rFonts w:ascii="Times New Roman" w:cs="Times New Roman" w:eastAsia="Times New Roman" w:hAnsi="Times New Roman"/>
                <w:color w:val="222222"/>
                <w:sz w:val="22"/>
                <w:szCs w:val="22"/>
              </w:rPr>
              <w:t xml:space="preserve">¿A mayor proporción del alivio de deuda canalizada hacia gasto social efectivo —educación, salud y protección social—, mayores mejoras en indicadores de desarrollo humano en los países beneficiarios? ¿Y está ese efecto moderado positivamente por la calidad institucional del país receptor, de modo que el mismo nivel de gasto social produce resultados significativamente mejores en países con mayor capacidad de gestión pública?</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2E5597" w:sz="6"/>
              <w:left w:val="single" w:color="2E5597" w:sz="6"/>
              <w:bottom w:val="single" w:color="2E5597" w:sz="6"/>
              <w:right w:val="single" w:color="AAAAAA" w:sz="2"/>
            </w:tcBorders>
            <w:shd w:fill="2E5597"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PE4</w:t>
            </w:r>
          </w:p>
        </w:tc>
        <w:tc>
          <w:tcPr>
            <w:tcBorders>
              <w:top w:val="single" w:color="2E5597" w:sz="6"/>
              <w:left w:val="single" w:color="AAAAAA" w:sz="2"/>
              <w:bottom w:val="single" w:color="2E5597" w:sz="6"/>
              <w:right w:val="single" w:color="2E5597" w:sz="6"/>
            </w:tcBorders>
            <w:shd w:fill="F7FAFF" w:val="clear"/>
            <w:tcMar>
              <w:top w:type="dxa" w:w="100"/>
              <w:left w:type="dxa" w:w="160"/>
              <w:bottom w:type="dxa" w:w="100"/>
              <w:right w:type="dxa" w:w="160"/>
            </w:tcMar>
            <w:vAlign w:val="center"/>
          </w:tcPr>
          <w:p>
            <w:pPr>
              <w:jc w:val="both"/>
            </w:pPr>
            <w:r>
              <w:rPr>
                <w:rFonts w:ascii="Times New Roman" w:cs="Times New Roman" w:eastAsia="Times New Roman" w:hAnsi="Times New Roman"/>
                <w:color w:val="222222"/>
                <w:sz w:val="22"/>
                <w:szCs w:val="22"/>
              </w:rPr>
              <w:t xml:space="preserve">¿Es la calidad institucional previa al ingreso en la Iniciativa HIPC el factor con mayor poder explicativo de los resultados posculminación, con una contribución al R² estadísticamente dominante respecto al monto del alivio recibido, el PIB per cápita inicial, la apertura comercial y la tasa de inflación considerados conjuntamente?</w:t>
            </w:r>
          </w:p>
        </w:tc>
      </w:tr>
    </w:tbl>
    <w:p>
      <w:pPr>
        <w:spacing w:before="0" w:after="0" w:line="240"/>
      </w:pPr>
      <w:r>
        <w:t xml:space="preserve"/>
      </w:r>
    </w:p>
    <w:p>
      <w:pPr>
        <w:pStyle w:val="Heading2"/>
        <w:spacing w:before="320" w:after="160"/>
      </w:pPr>
      <w:r>
        <w:rPr>
          <w:rFonts w:ascii="Times New Roman" w:cs="Times New Roman" w:eastAsia="Times New Roman" w:hAnsi="Times New Roman"/>
          <w:b/>
          <w:bCs/>
          <w:color w:val="2E5597"/>
          <w:sz w:val="24"/>
          <w:szCs w:val="24"/>
        </w:rPr>
        <w:t xml:space="preserve">1.2.3 Hipótesis de investigación</w:t>
      </w:r>
    </w:p>
    <w:p>
      <w:pPr>
        <w:spacing w:before="0" w:after="200" w:line="360" w:lineRule="auto"/>
        <w:ind w:firstLine="720"/>
        <w:jc w:val="both"/>
      </w:pPr>
      <w:r>
        <w:rPr>
          <w:rFonts w:ascii="Times New Roman" w:cs="Times New Roman" w:eastAsia="Times New Roman" w:hAnsi="Times New Roman"/>
          <w:sz w:val="24"/>
          <w:szCs w:val="24"/>
        </w:rPr>
        <w:t xml:space="preserve">Las hipótesis que se presentan a continuación son proposiciones teóricas falsables en el sentido popperiano (Popper, 1959/2002, pp. 57–73). Están formuladas en términos que especifican: (a) la relación causal o de asociación que se postula, (b) las unidades de análisis a las que se refieren, (c) el período temporal al que se aplica y (d) la dirección del efecto esperado. Las hipótesis se organizan en tres grupos: sostenibilidad de la deuda (H1 y H2), condicionalidades y cumplimiento (H3 y H4), y gobernanza, impacto social y reendeudamiento (H5, H6 y H7).</w:t>
      </w:r>
    </w:p>
    <w:p>
      <w:pPr>
        <w:spacing w:before="0" w:after="0" w:line="240"/>
      </w:pPr>
      <w:r>
        <w:t xml:space="preserve"/>
      </w:r>
    </w:p>
    <w:p>
      <w:pPr>
        <w:pStyle w:val="Heading3"/>
        <w:spacing w:before="240" w:after="120"/>
      </w:pPr>
      <w:r>
        <w:rPr>
          <w:rFonts w:ascii="Times New Roman" w:cs="Times New Roman" w:eastAsia="Times New Roman" w:hAnsi="Times New Roman"/>
          <w:b/>
          <w:bCs/>
          <w:i/>
          <w:iCs/>
          <w:color w:val="1F3864"/>
          <w:sz w:val="24"/>
          <w:szCs w:val="24"/>
        </w:rPr>
        <w:t xml:space="preserve">Grupo I: Sostenibilidad de la deuda (H1–H2)</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F3864" w:sz="8"/>
              <w:left w:val="single" w:color="1F3864" w:sz="8"/>
              <w:bottom w:val="single" w:color="1F3864" w:sz="8"/>
              <w:right w:val="single" w:color="1F3864" w:sz="8"/>
            </w:tcBorders>
            <w:shd w:fill="1F3864" w:val="clear"/>
            <w:tcMar>
              <w:top w:type="dxa" w:w="120"/>
              <w:left w:type="dxa" w:w="200"/>
              <w:bottom w:type="dxa" w:w="100"/>
              <w:right w:type="dxa" w:w="200"/>
            </w:tcMar>
          </w:tcPr>
          <w:p>
            <w:r>
              <w:rPr>
                <w:rFonts w:ascii="Times New Roman" w:cs="Times New Roman" w:eastAsia="Times New Roman" w:hAnsi="Times New Roman"/>
                <w:b/>
                <w:bCs/>
                <w:color w:val="FFFFFF"/>
                <w:sz w:val="22"/>
                <w:szCs w:val="22"/>
              </w:rPr>
              <w:t xml:space="preserve">H1 — Efecto causal inmediato del alivio HIPC sobre los ratios de endeudamiento</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Enunciado</w:t>
            </w:r>
          </w:p>
        </w:tc>
        <w:tc>
          <w:tcPr>
            <w:tcW w:type="dxa" w:w="7560"/>
            <w:tcBorders>
              <w:top w:val="single" w:color="CCCCCC" w:sz="2"/>
              <w:left w:val="single" w:color="CCCCCC" w:sz="2"/>
              <w:bottom w:val="single" w:color="CCCCCC" w:sz="2"/>
              <w:right w:val="single" w:color="1F3864" w:sz="8"/>
            </w:tcBorders>
            <w:shd w:fill="FAFE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El alivio de deuda concedido en el marco de la Iniciativa HIPC produjo una reducción estadísticamente significativa y causalmente identificable del ratio de deuda externa total sobre PIB (dxp) en el período inmediatamente posterior al punto de culminación, controlando por heterogeneidad no observable de los países, shocks macroeconómicos globales, factores estructurales de nivel de desarrollo, apertura comercial e instituciones, y shocks idiosincráticos de recursos naturales.</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Fundamentación</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La teoría del debt overhang (Krugman, 1988; Sachs, 1989) predice que la reducción del saldo nominal de la deuda debería restaurar los incentivos a la inversión y el crecimiento. El diseño de diferencias en diferencias con efectos fijos bidireccionales permite identificar este efecto de manera causal.</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Variables clave</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Variable dependiente: dxp (WDI). Variable de tratamiento: post_completion. Controles: ln_gdppc, trade, inf, fdi_w, wgi_comp_lag, ln_relief. Control de shocks: ross_oil_prod (QoG Institute) interactuada con efectos fijos región×año.</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Método de contraste</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DiD TWFE + Callaway &amp; Sant'Anna (2021) + DDD con grupo de control no-HIPC (8 países); event-study k ∈ {–5,...,+10}; errores estándar clusterizados (HC1). Test placebo y exclusión de años de anticipación.</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Capítulo de contraste</w:t>
            </w:r>
          </w:p>
        </w:tc>
        <w:tc>
          <w:tcPr>
            <w:tcW w:type="dxa" w:w="7560"/>
            <w:tcBorders>
              <w:top w:val="single" w:color="CCCCCC" w:sz="2"/>
              <w:left w:val="single" w:color="CCCCCC" w:sz="2"/>
              <w:bottom w:val="single" w:color="CCCCCC" w:sz="2"/>
              <w:right w:val="single" w:color="1F3864" w:sz="8"/>
            </w:tcBorders>
            <w:shd w:fill="F0F4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Capítulo 4 — §4.1.</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F3864" w:sz="8"/>
              <w:left w:val="single" w:color="1F3864" w:sz="8"/>
              <w:bottom w:val="single" w:color="1F3864" w:sz="8"/>
              <w:right w:val="single" w:color="1F3864" w:sz="8"/>
            </w:tcBorders>
            <w:shd w:fill="2C3E50" w:val="clear"/>
            <w:tcMar>
              <w:top w:type="dxa" w:w="120"/>
              <w:left w:type="dxa" w:w="200"/>
              <w:bottom w:type="dxa" w:w="100"/>
              <w:right w:type="dxa" w:w="200"/>
            </w:tcMar>
          </w:tcPr>
          <w:p>
            <w:r>
              <w:rPr>
                <w:rFonts w:ascii="Times New Roman" w:cs="Times New Roman" w:eastAsia="Times New Roman" w:hAnsi="Times New Roman"/>
                <w:b/>
                <w:bCs/>
                <w:color w:val="FFFFFF"/>
                <w:sz w:val="22"/>
                <w:szCs w:val="22"/>
              </w:rPr>
              <w:t xml:space="preserve">H2 — Persistencia y heterogeneidad del efecto en el mediano plazo</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Enunciado</w:t>
            </w:r>
          </w:p>
        </w:tc>
        <w:tc>
          <w:tcPr>
            <w:tcW w:type="dxa" w:w="7560"/>
            <w:tcBorders>
              <w:top w:val="single" w:color="CCCCCC" w:sz="2"/>
              <w:left w:val="single" w:color="CCCCCC" w:sz="2"/>
              <w:bottom w:val="single" w:color="CCCCCC" w:sz="2"/>
              <w:right w:val="single" w:color="1F3864" w:sz="8"/>
            </w:tcBorders>
            <w:shd w:fill="FAFE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El efecto de la culminación HIPC sobre el ratio deuda externa/PIB no es homogéneo ni permanente: su identificación estadística se debilita progresivamente en el horizonte de seis a diez años post-culminación como consecuencia de la creciente heterogeneidad entre trayectorias nacionales, donde las cohortes tempranas (2000–2004) exhiben una reversión parcial. Esta reversión se opera mediante el deterioro de la clasificación de riesgo DSF del FMI, definido como la primera clasificación de alto riesgo o en dificultades mantenida durante dos años consecutivos tras el completion point.</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Fundamentación</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Los coeficientes dinámicos del event-study (k = +6 a +10) se mantienen en magnitud (–25 a –32 p.p.) pero pierden significancia estadística. El análisis de Callaway &amp; Sant'Anna (2021) confirma que las cohortes tempranas (2000–2004) presentan efectos positivos o nulos. Test de Bai &amp; Perron (1998): ruptura estructural en el 91.9% de los países en el completion point.</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Variables clave</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Coeficientes β_k del event-study para k ∈ {+4,...,+10}; clasificación DSF (dsf_high); evento de reversión: primera clasificación dsf_high=1 en dos años consecutivos; ATT(g,t) por cohorte.</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Método de contraste</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Event-study; ATT(g,t) por cohorte (paquete did, R); test Chow por país y CUSUM agregado (paquete strucchange, R); comparación TWFE vs. CS como diagnóstico de heterogeneidad.</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Capítulo de contraste</w:t>
            </w:r>
          </w:p>
        </w:tc>
        <w:tc>
          <w:tcPr>
            <w:tcW w:type="dxa" w:w="7560"/>
            <w:tcBorders>
              <w:top w:val="single" w:color="CCCCCC" w:sz="2"/>
              <w:left w:val="single" w:color="CCCCCC" w:sz="2"/>
              <w:bottom w:val="single" w:color="CCCCCC" w:sz="2"/>
              <w:right w:val="single" w:color="1F3864" w:sz="8"/>
            </w:tcBorders>
            <w:shd w:fill="F0F4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Capítulo 4 — §4.5.</w:t>
            </w:r>
          </w:p>
        </w:tc>
      </w:tr>
    </w:tbl>
    <w:p>
      <w:pPr>
        <w:spacing w:before="0" w:after="0" w:line="240"/>
      </w:pPr>
      <w:r>
        <w:t xml:space="preserve"/>
      </w:r>
    </w:p>
    <w:p>
      <w:pPr>
        <w:spacing w:before="0" w:after="0" w:line="240"/>
      </w:pPr>
      <w:r>
        <w:t xml:space="preserve"/>
      </w:r>
    </w:p>
    <w:p>
      <w:pPr>
        <w:pStyle w:val="Heading3"/>
        <w:spacing w:before="240" w:after="120"/>
      </w:pPr>
      <w:r>
        <w:rPr>
          <w:rFonts w:ascii="Times New Roman" w:cs="Times New Roman" w:eastAsia="Times New Roman" w:hAnsi="Times New Roman"/>
          <w:b/>
          <w:bCs/>
          <w:i/>
          <w:iCs/>
          <w:color w:val="1F3864"/>
          <w:sz w:val="24"/>
          <w:szCs w:val="24"/>
        </w:rPr>
        <w:t xml:space="preserve">Grupo II: Condicionalidades y cumplimiento (H3–H4)</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F3864" w:sz="8"/>
              <w:left w:val="single" w:color="1F3864" w:sz="8"/>
              <w:bottom w:val="single" w:color="1F3864" w:sz="8"/>
              <w:right w:val="single" w:color="1F3864" w:sz="8"/>
            </w:tcBorders>
            <w:shd w:fill="2E5597" w:val="clear"/>
            <w:tcMar>
              <w:top w:type="dxa" w:w="120"/>
              <w:left w:type="dxa" w:w="200"/>
              <w:bottom w:type="dxa" w:w="100"/>
              <w:right w:type="dxa" w:w="200"/>
            </w:tcMar>
          </w:tcPr>
          <w:p>
            <w:r>
              <w:rPr>
                <w:rFonts w:ascii="Times New Roman" w:cs="Times New Roman" w:eastAsia="Times New Roman" w:hAnsi="Times New Roman"/>
                <w:b/>
                <w:bCs/>
                <w:color w:val="FFFFFF"/>
                <w:sz w:val="22"/>
                <w:szCs w:val="22"/>
              </w:rPr>
              <w:t xml:space="preserve">H3 — Brecha sistemática entre condicionalidades formales y cumplimiento efectivo</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Enunciado</w:t>
            </w:r>
          </w:p>
        </w:tc>
        <w:tc>
          <w:tcPr>
            <w:tcW w:type="dxa" w:w="7560"/>
            <w:tcBorders>
              <w:top w:val="single" w:color="CCCCCC" w:sz="2"/>
              <w:left w:val="single" w:color="CCCCCC" w:sz="2"/>
              <w:bottom w:val="single" w:color="CCCCCC" w:sz="2"/>
              <w:right w:val="single" w:color="1F3864" w:sz="8"/>
            </w:tcBorders>
            <w:shd w:fill="FAFE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El grado de cumplimiento de las condicionalidades estructurales impuestas por el FMI y el Banco Mundial como requisito para alcanzar el punto de culminación HIPC fue sistemáticamente inferior al exigido formalmente, y dicho incumplimiento no tuvo consecuencias proporcionales sobre el acceso al alivio de deuda ni sobre la duración del período interino entre el punto de decisión y el punto de culminación.</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Fundamentación</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Kentikelenis et al. (2016) documentan tasas de cumplimiento inferiores al 60% en los programas PRGF vinculados a la HIPC. Para los países que culminaron después de 2014 (Costa de Marfil, Guinea, Islas Salomón, Myanmar), el análisis se complementa con datos directos de la base MONA-FMI.</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Variables clave</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ICP (Índice de cumplimiento de condicionalidades, Kentikelenis et al., 2016 + MONA-FMI); número de waivers otorgados; duración del período interino (variable de supervivencia).</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Método de contraste</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Análisis de supervivencia de Kaplan-Meier; modelo de riesgos proporcionales de Cox (1972) para determinantes de la velocidad de culminación.</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Capítulo de contraste</w:t>
            </w:r>
          </w:p>
        </w:tc>
        <w:tc>
          <w:tcPr>
            <w:tcW w:type="dxa" w:w="7560"/>
            <w:tcBorders>
              <w:top w:val="single" w:color="CCCCCC" w:sz="2"/>
              <w:left w:val="single" w:color="CCCCCC" w:sz="2"/>
              <w:bottom w:val="single" w:color="CCCCCC" w:sz="2"/>
              <w:right w:val="single" w:color="1F3864" w:sz="8"/>
            </w:tcBorders>
            <w:shd w:fill="F0F4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Capítulo 5 — §5.1.</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F3864" w:sz="8"/>
              <w:left w:val="single" w:color="1F3864" w:sz="8"/>
              <w:bottom w:val="single" w:color="1F3864" w:sz="8"/>
              <w:right w:val="single" w:color="1F3864" w:sz="8"/>
            </w:tcBorders>
            <w:shd w:fill="1A5276" w:val="clear"/>
            <w:tcMar>
              <w:top w:type="dxa" w:w="120"/>
              <w:left w:type="dxa" w:w="200"/>
              <w:bottom w:type="dxa" w:w="100"/>
              <w:right w:type="dxa" w:w="200"/>
            </w:tcMar>
          </w:tcPr>
          <w:p>
            <w:r>
              <w:rPr>
                <w:rFonts w:ascii="Times New Roman" w:cs="Times New Roman" w:eastAsia="Times New Roman" w:hAnsi="Times New Roman"/>
                <w:b/>
                <w:bCs/>
                <w:color w:val="FFFFFF"/>
                <w:sz w:val="22"/>
                <w:szCs w:val="22"/>
              </w:rPr>
              <w:t xml:space="preserve">H4 — Determinantes geopolíticos e históricos de la brecha de cumplimiento</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Enunciado</w:t>
            </w:r>
          </w:p>
        </w:tc>
        <w:tc>
          <w:tcPr>
            <w:tcW w:type="dxa" w:w="7560"/>
            <w:tcBorders>
              <w:top w:val="single" w:color="CCCCCC" w:sz="2"/>
              <w:left w:val="single" w:color="CCCCCC" w:sz="2"/>
              <w:bottom w:val="single" w:color="CCCCCC" w:sz="2"/>
              <w:right w:val="single" w:color="1F3864" w:sz="8"/>
            </w:tcBorders>
            <w:shd w:fill="FAFE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La brecha documentada en H3 responde a dos dimensiones de proximidad al poder en el sistema de gobernanza del FMI: (a) la dimensión histórico-estructural, medida por vínculos coloniales entre el país deudor y los principales accionistas del Fondo —Francia, Reino Unido, Bélgica y Portugal—, y (b) la dimensión económica contemporánea, medida por la importancia comercial estratégica del país deudor para esos mismos accionistas.</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Fundamentación</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Stone (2008) demostró que la proximidad geopolítica a los accionistas del FMI predice tratamiento más favorable en condicionalidades. El instrumento colonial (ht_colonial, QoG Institute) es exógeno a las decisiones de condicionalidad del período 2000–2015 siguiendo a Acemoglu et al. (2001).</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Variables clave</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Instrumento 1: ht_colonial (QoG Institute, cobertura 100%). Instrumento 2: TradeSaliency_ij (UN Comtrade 1990–2000). Variable endógena: índice de proximidad geopolítica (AGNU alignment + cuota voto ponderada).</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Método de contraste</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2SLS: primera etapa (proximidad ~ ht_colonial + TradeSaliency); segunda etapa (brecha ICP ~ proximidad predicha). Test F primera etapa &gt; 10; test Sargan-Hansen. Análisis de heterogeneidad Francia vs. Reino Unido.</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Capítulo de contraste</w:t>
            </w:r>
          </w:p>
        </w:tc>
        <w:tc>
          <w:tcPr>
            <w:tcW w:type="dxa" w:w="7560"/>
            <w:tcBorders>
              <w:top w:val="single" w:color="CCCCCC" w:sz="2"/>
              <w:left w:val="single" w:color="CCCCCC" w:sz="2"/>
              <w:bottom w:val="single" w:color="CCCCCC" w:sz="2"/>
              <w:right w:val="single" w:color="1F3864" w:sz="8"/>
            </w:tcBorders>
            <w:shd w:fill="F0F4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Capítulo 5 — §5.2.</w:t>
            </w:r>
          </w:p>
        </w:tc>
      </w:tr>
    </w:tbl>
    <w:p>
      <w:pPr>
        <w:spacing w:before="0" w:after="0" w:line="240"/>
      </w:pPr>
      <w:r>
        <w:t xml:space="preserve"/>
      </w:r>
    </w:p>
    <w:p>
      <w:pPr>
        <w:spacing w:before="0" w:after="0" w:line="240"/>
      </w:pPr>
      <w:r>
        <w:t xml:space="preserve"/>
      </w:r>
    </w:p>
    <w:p>
      <w:pPr>
        <w:pStyle w:val="Heading3"/>
        <w:spacing w:before="240" w:after="120"/>
      </w:pPr>
      <w:r>
        <w:rPr>
          <w:rFonts w:ascii="Times New Roman" w:cs="Times New Roman" w:eastAsia="Times New Roman" w:hAnsi="Times New Roman"/>
          <w:b/>
          <w:bCs/>
          <w:i/>
          <w:iCs/>
          <w:color w:val="1F3864"/>
          <w:sz w:val="24"/>
          <w:szCs w:val="24"/>
        </w:rPr>
        <w:t xml:space="preserve">Grupo III: Gobernanza institucional, impacto social y reendeudamiento (H5–H7)</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F3864" w:sz="8"/>
              <w:left w:val="single" w:color="1F3864" w:sz="8"/>
              <w:bottom w:val="single" w:color="1F3864" w:sz="8"/>
              <w:right w:val="single" w:color="1F3864" w:sz="8"/>
            </w:tcBorders>
            <w:shd w:fill="2E75B6" w:val="clear"/>
            <w:tcMar>
              <w:top w:type="dxa" w:w="120"/>
              <w:left w:type="dxa" w:w="200"/>
              <w:bottom w:type="dxa" w:w="100"/>
              <w:right w:type="dxa" w:w="200"/>
            </w:tcMar>
          </w:tcPr>
          <w:p>
            <w:r>
              <w:rPr>
                <w:rFonts w:ascii="Times New Roman" w:cs="Times New Roman" w:eastAsia="Times New Roman" w:hAnsi="Times New Roman"/>
                <w:b/>
                <w:bCs/>
                <w:color w:val="FFFFFF"/>
                <w:sz w:val="22"/>
                <w:szCs w:val="22"/>
              </w:rPr>
              <w:t xml:space="preserve">H5 — Impacto social del alivio, moderado por la calidad institucional</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Enunciado</w:t>
            </w:r>
          </w:p>
        </w:tc>
        <w:tc>
          <w:tcPr>
            <w:tcW w:type="dxa" w:w="7560"/>
            <w:tcBorders>
              <w:top w:val="single" w:color="CCCCCC" w:sz="2"/>
              <w:left w:val="single" w:color="CCCCCC" w:sz="2"/>
              <w:bottom w:val="single" w:color="CCCCCC" w:sz="2"/>
              <w:right w:val="single" w:color="1F3864" w:sz="8"/>
            </w:tcBorders>
            <w:shd w:fill="FAFE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A mayor proporción del alivio de deuda canalizada hacia gasto social efectivo —educación, salud y protección social—, mayores mejoras estadísticamente significativas en indicadores de desarrollo humano en los países beneficiarios; este efecto está moderado positivamente y de manera significativa por la calidad institucional del país receptor, de modo que el mismo nivel de gasto social produce mejoras significativamente mayores en países con mayor capacidad de gestión pública.</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Fundamentación</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El marco de los PRSP estableció que el alivio debía traducirse en mayor gasto social (FMI &amp; Banco Mundial, 2005). La literatura muestra resultados heterogéneos (Dijkstra, 2008; Mishra &amp; Newhouse, 2009), lo que sugiere que la calidad institucional actúa como moderador (Acemoglu &amp; Robinson, 2012; Presbitero, 2009).</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Variables clave</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Gasto en educación y salud (% PIB); mortalidad infantil; IDH (PNUD, 2023); Gini; FDS; IGC e IGA como moderadores.</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Método de contraste</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Regresión de panel con términos de interacción (gasto social × IGC/IGA); IV para endogeneidad del gasto (desembolsos MDRI por componente); análisis de mediación de Imai et al. (2010).</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Capítulo de contraste</w:t>
            </w:r>
          </w:p>
        </w:tc>
        <w:tc>
          <w:tcPr>
            <w:tcW w:type="dxa" w:w="7560"/>
            <w:tcBorders>
              <w:top w:val="single" w:color="CCCCCC" w:sz="2"/>
              <w:left w:val="single" w:color="CCCCCC" w:sz="2"/>
              <w:bottom w:val="single" w:color="CCCCCC" w:sz="2"/>
              <w:right w:val="single" w:color="1F3864" w:sz="8"/>
            </w:tcBorders>
            <w:shd w:fill="F0F4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Capítulo 5 — §5.3.</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F3864" w:sz="8"/>
              <w:left w:val="single" w:color="1F3864" w:sz="8"/>
              <w:bottom w:val="single" w:color="1F3864" w:sz="8"/>
              <w:right w:val="single" w:color="1F3864" w:sz="8"/>
            </w:tcBorders>
            <w:shd w:fill="1A5276" w:val="clear"/>
            <w:tcMar>
              <w:top w:type="dxa" w:w="120"/>
              <w:left w:type="dxa" w:w="200"/>
              <w:bottom w:type="dxa" w:w="100"/>
              <w:right w:type="dxa" w:w="200"/>
            </w:tcMar>
          </w:tcPr>
          <w:p>
            <w:r>
              <w:rPr>
                <w:rFonts w:ascii="Times New Roman" w:cs="Times New Roman" w:eastAsia="Times New Roman" w:hAnsi="Times New Roman"/>
                <w:b/>
                <w:bCs/>
                <w:color w:val="FFFFFF"/>
                <w:sz w:val="22"/>
                <w:szCs w:val="22"/>
              </w:rPr>
              <w:t xml:space="preserve">H6 — Primacía de la gobernanza institucional como determinante del éxito post-HIPC</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Enunciado</w:t>
            </w:r>
          </w:p>
        </w:tc>
        <w:tc>
          <w:tcPr>
            <w:tcW w:type="dxa" w:w="7560"/>
            <w:tcBorders>
              <w:top w:val="single" w:color="CCCCCC" w:sz="2"/>
              <w:left w:val="single" w:color="CCCCCC" w:sz="2"/>
              <w:bottom w:val="single" w:color="CCCCCC" w:sz="2"/>
              <w:right w:val="single" w:color="1F3864" w:sz="8"/>
            </w:tcBorders>
            <w:shd w:fill="FAFE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La calidad institucional previa al ingreso en la Iniciativa HIPC —operacionalizada mediante el IGC y el IGA, construidos a partir del QoG Institute con series desde 1900 y cobertura del 99% en los países HIPC antes de 1990— es el determinante estadísticamente dominante de los resultados económicos y sociales posculminación, con una contribución al R² significativamente mayor que el monto del alivio de deuda recibido, el PIB per cápita inicial, la apertura comercial y la tasa de inflación; este efecto es robusto para ambas dimensiones institucionales y consistente a lo largo de los cuartiles de la distribución.</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Fundamentación</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North (1990) y Acemoglu et al. (2001) fundamentan la primacía institucional. El análisis de la matriz de correlaciones entre indicadores disponibles reveló dos dimensiones parcialmente independientes (r = 0.434): anticorrupción (vdem_corr, vdem_execorr, vdem_pubcorr) y accountability (vdem_libdem, vdem_polyarchy, fh_cl, fh_pr, p_polity2). Casos como Ruanda (IGC alto, IGA bajo) y Mali (IGA alto, IGC bajo) ilustran la información adicional que captura esta distinción.</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Variables clave</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IGC (99.1% cobertura): media de vdem_corr, vdem_execorr, vdem_pubcorr estandarizados por rango [0,1]. IGA (83.9% cobertura): media de vdem_libdem, vdem_polyarchy, fh_cl inv., fh_pr inv., p_polity2 escalado. Instrumento exógeno: ajr_settmort (QoG, 79.5%). Predictores adicionales: ln_relief, gdppc, trade, inf.</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Método de contraste</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Análisis de dominancia (Azen &amp; Budescu, 2003) para descomponer R² en contribuciones de IGC, IGA, ln_relief, gdppc, trade, inf; regresión cuantílica por cuartiles de IGC/IGA; 2SLS con ajr_settmort; especificación de robustez con wgi_comp.</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Capítulo de contraste</w:t>
            </w:r>
          </w:p>
        </w:tc>
        <w:tc>
          <w:tcPr>
            <w:tcW w:type="dxa" w:w="7560"/>
            <w:tcBorders>
              <w:top w:val="single" w:color="CCCCCC" w:sz="2"/>
              <w:left w:val="single" w:color="CCCCCC" w:sz="2"/>
              <w:bottom w:val="single" w:color="CCCCCC" w:sz="2"/>
              <w:right w:val="single" w:color="1F3864" w:sz="8"/>
            </w:tcBorders>
            <w:shd w:fill="F0F4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Capítulo 5 — §5.4.</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F3864" w:sz="8"/>
              <w:left w:val="single" w:color="1F3864" w:sz="8"/>
              <w:bottom w:val="single" w:color="1F3864" w:sz="8"/>
              <w:right w:val="single" w:color="1F3864" w:sz="8"/>
            </w:tcBorders>
            <w:shd w:fill="17202A" w:val="clear"/>
            <w:tcMar>
              <w:top w:type="dxa" w:w="120"/>
              <w:left w:type="dxa" w:w="200"/>
              <w:bottom w:type="dxa" w:w="100"/>
              <w:right w:type="dxa" w:w="200"/>
            </w:tcMar>
          </w:tcPr>
          <w:p>
            <w:r>
              <w:rPr>
                <w:rFonts w:ascii="Times New Roman" w:cs="Times New Roman" w:eastAsia="Times New Roman" w:hAnsi="Times New Roman"/>
                <w:b/>
                <w:bCs/>
                <w:color w:val="FFFFFF"/>
                <w:sz w:val="22"/>
                <w:szCs w:val="22"/>
              </w:rPr>
              <w:t xml:space="preserve">H7 — Paradoja del reendeudamiento: el éxito formal como habilitador de nueva deuda</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Enunciado</w:t>
            </w:r>
          </w:p>
        </w:tc>
        <w:tc>
          <w:tcPr>
            <w:tcW w:type="dxa" w:w="7560"/>
            <w:tcBorders>
              <w:top w:val="single" w:color="CCCCCC" w:sz="2"/>
              <w:left w:val="single" w:color="CCCCCC" w:sz="2"/>
              <w:bottom w:val="single" w:color="CCCCCC" w:sz="2"/>
              <w:right w:val="single" w:color="1F3864" w:sz="8"/>
            </w:tcBorders>
            <w:shd w:fill="FAFE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Los países que completaron la Iniciativa HIPC exhiben en el período 2007–2022 una aceleración estadísticamente significativa del endeudamiento externo con acreedores no tradicionales —especialmente China y los mercados internacionales de bonos—, en comparación con países de bajos ingresos comparables que no participaron en la iniciativa; esta aceleración es consistente con el mecanismo de señal de solvencia restaurada, según el cual el completion point mejoró la percepción de riesgo de los nuevos acreedores sin que dicho restablecimiento estuviese respaldado por una transformación estructural de la capacidad de generación de divisas.</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Fundamentación</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La paradoja central: el éxito formal de la HIPC —restaurar la sostenibilidad según el DSF— puede haber habilitado nuevo endeudamiento insostenible (Reinhart &amp; Rogoff, 2009, pp. 55–70; Horn et al., 2021; Gelpern et al., 2021). H7 documenta el fenómeno; el mecanismo causal se evalúa mediante variables instrumentales relacionadas con el acceso a mercados de bonos.</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Variables clave</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CHINA_LOAN_MUSD (AidData, 2023); dsf_high; eurobond_dummy; tiempo hasta primera dsf_high=1 en dos años consecutivos post-completion (variable de supervivencia).</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Método de contraste</w:t>
            </w:r>
          </w:p>
        </w:tc>
        <w:tc>
          <w:tcPr>
            <w:tcW w:type="dxa" w:w="7560"/>
            <w:tcBorders>
              <w:top w:val="single" w:color="CCCCCC" w:sz="2"/>
              <w:left w:val="single" w:color="CCCCCC" w:sz="2"/>
              <w:bottom w:val="single" w:color="CCCCCC" w:sz="2"/>
              <w:right w:val="single" w:color="1F3864" w:sz="8"/>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DDD con grupo de control no-HIPC (8 países seleccionados algorítmicamente); Cox (1972) para tiempo hasta reingreso en DSF alto riesgo; regresión logística multinomial para clasificación DSF.</w:t>
            </w:r>
          </w:p>
        </w:tc>
      </w:tr>
      <w:tr>
        <w:tc>
          <w:tcPr>
            <w:tcW w:type="dxa" w:w="1800"/>
            <w:tcBorders>
              <w:top w:val="single" w:color="CCCCCC" w:sz="2"/>
              <w:left w:val="single" w:color="1F3864" w:sz="8"/>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Capítulo de contraste</w:t>
            </w:r>
          </w:p>
        </w:tc>
        <w:tc>
          <w:tcPr>
            <w:tcW w:type="dxa" w:w="7560"/>
            <w:tcBorders>
              <w:top w:val="single" w:color="CCCCCC" w:sz="2"/>
              <w:left w:val="single" w:color="CCCCCC" w:sz="2"/>
              <w:bottom w:val="single" w:color="CCCCCC" w:sz="2"/>
              <w:right w:val="single" w:color="1F3864" w:sz="8"/>
            </w:tcBorders>
            <w:shd w:fill="F0F4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Capítulo 4 (§4.6) y Capítulo 6 (casos Ghana, Zambia, Mozambique).</w:t>
            </w:r>
          </w:p>
        </w:tc>
      </w:tr>
    </w:tbl>
    <w:p>
      <w:pPr>
        <w:spacing w:before="0" w:after="0" w:line="240"/>
      </w:pPr>
      <w:r>
        <w:t xml:space="preserve"/>
      </w:r>
    </w:p>
    <w:p>
      <w:pPr>
        <w:spacing w:before="0" w:after="0" w:line="240"/>
      </w:pPr>
      <w:r>
        <w:t xml:space="preserve"/>
      </w:r>
    </w:p>
    <w:p>
      <w:pPr>
        <w:pStyle w:val="Heading2"/>
        <w:spacing w:before="320" w:after="160"/>
      </w:pPr>
      <w:r>
        <w:rPr>
          <w:rFonts w:ascii="Times New Roman" w:cs="Times New Roman" w:eastAsia="Times New Roman" w:hAnsi="Times New Roman"/>
          <w:b/>
          <w:bCs/>
          <w:color w:val="2E5597"/>
          <w:sz w:val="24"/>
          <w:szCs w:val="24"/>
        </w:rPr>
        <w:t xml:space="preserve">1.2.4 Relación entre preguntas, hipótesis y estructura de la tesis</w:t>
      </w:r>
    </w:p>
    <w:p>
      <w:pPr>
        <w:spacing w:before="0" w:after="200" w:line="360" w:lineRule="auto"/>
        <w:ind w:firstLine="720"/>
        <w:jc w:val="both"/>
      </w:pPr>
      <w:r>
        <w:rPr>
          <w:rFonts w:ascii="Times New Roman" w:cs="Times New Roman" w:eastAsia="Times New Roman" w:hAnsi="Times New Roman"/>
          <w:sz w:val="24"/>
          <w:szCs w:val="24"/>
        </w:rPr>
        <w:t xml:space="preserve">La tabla siguiente sintetiza la arquitectura lógica de la investigación, mostrando la correspondencia entre cada pregunta secundaria, las hipótesis asociadas, el capítulo en el que se contrastan y el método principal de contraste.</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2400"/>
        <w:gridCol w:w="2060"/>
        <w:gridCol w:w="3300"/>
      </w:tblGrid>
      <w:tr>
        <w:tc>
          <w:tcPr>
            <w:tcW w:type="dxa" w:w="80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Pregunta</w:t>
            </w:r>
          </w:p>
        </w:tc>
        <w:tc>
          <w:tcPr>
            <w:tcW w:type="dxa" w:w="80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Hipótesis</w:t>
            </w:r>
          </w:p>
        </w:tc>
        <w:tc>
          <w:tcPr>
            <w:tcW w:type="dxa" w:w="240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Síntesis del interrogante</w:t>
            </w:r>
          </w:p>
        </w:tc>
        <w:tc>
          <w:tcPr>
            <w:tcW w:type="dxa" w:w="206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Capítulo</w:t>
            </w:r>
          </w:p>
        </w:tc>
        <w:tc>
          <w:tcPr>
            <w:tcW w:type="dxa" w:w="330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Método principal</w:t>
            </w:r>
          </w:p>
        </w:tc>
      </w:tr>
      <w:tr>
        <w:tc>
          <w:tcPr>
            <w:tcW w:type="dxa" w:w="800"/>
            <w:tcBorders>
              <w:top w:val="single" w:color="CCCCCC" w:sz="2"/>
              <w:left w:val="single" w:color="CCCCCC" w:sz="2"/>
              <w:bottom w:val="single" w:color="CCCCCC" w:sz="2"/>
              <w:right w:val="single" w:color="CCCCCC" w:sz="2"/>
            </w:tcBorders>
            <w:shd w:fill="EEF3FB"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PE1</w:t>
            </w:r>
          </w:p>
        </w:tc>
        <w:tc>
          <w:tcPr>
            <w:tcW w:type="dxa" w:w="800"/>
            <w:tcBorders>
              <w:top w:val="single" w:color="CCCCCC" w:sz="2"/>
              <w:left w:val="single" w:color="CCCCCC" w:sz="2"/>
              <w:bottom w:val="single" w:color="CCCCCC" w:sz="2"/>
              <w:right w:val="single" w:color="CCCCCC" w:sz="2"/>
            </w:tcBorders>
            <w:shd w:fill="EEF3FB"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H1</w:t>
            </w:r>
          </w:p>
        </w:tc>
        <w:tc>
          <w:tcPr>
            <w:tcW w:type="dxa" w:w="2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222222"/>
                <w:sz w:val="18"/>
                <w:szCs w:val="18"/>
              </w:rPr>
              <w:t xml:space="preserve">¿Redujo causalmente el programa la deuda de manera inmediata?</w:t>
            </w:r>
          </w:p>
        </w:tc>
        <w:tc>
          <w:tcPr>
            <w:tcW w:type="dxa" w:w="2060"/>
            <w:tcBorders>
              <w:top w:val="single" w:color="CCCCCC" w:sz="2"/>
              <w:left w:val="single" w:color="CCCCCC" w:sz="2"/>
              <w:bottom w:val="single" w:color="CCCCCC" w:sz="2"/>
              <w:right w:val="single" w:color="CCCCCC" w:sz="2"/>
            </w:tcBorders>
            <w:shd w:fill="EEF3FB"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Cap. 4 §4.1</w:t>
            </w:r>
          </w:p>
        </w:tc>
        <w:tc>
          <w:tcPr>
            <w:tcW w:type="dxa" w:w="3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222222"/>
                <w:sz w:val="18"/>
                <w:szCs w:val="18"/>
              </w:rPr>
              <w:t xml:space="preserve">DiD TWFE + Callaway &amp; Sant'Anna (2021) + DDD</w:t>
            </w:r>
          </w:p>
        </w:tc>
      </w:tr>
      <w:tr>
        <w:tc>
          <w:tcPr>
            <w:tcW w:type="dxa" w:w="800"/>
            <w:tcBorders>
              <w:top w:val="single" w:color="CCCCCC" w:sz="2"/>
              <w:left w:val="single" w:color="CCCCCC" w:sz="2"/>
              <w:bottom w:val="single" w:color="CCCCCC" w:sz="2"/>
              <w:right w:val="single" w:color="CCCCCC" w:sz="2"/>
            </w:tcBorders>
            <w:shd w:fill="F7FAF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PE1</w:t>
            </w:r>
          </w:p>
        </w:tc>
        <w:tc>
          <w:tcPr>
            <w:tcW w:type="dxa" w:w="800"/>
            <w:tcBorders>
              <w:top w:val="single" w:color="CCCCCC" w:sz="2"/>
              <w:left w:val="single" w:color="CCCCCC" w:sz="2"/>
              <w:bottom w:val="single" w:color="CCCCCC" w:sz="2"/>
              <w:right w:val="single" w:color="CCCCCC" w:sz="2"/>
            </w:tcBorders>
            <w:shd w:fill="F7FAF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H2</w:t>
            </w:r>
          </w:p>
        </w:tc>
        <w:tc>
          <w:tcPr>
            <w:tcW w:type="dxa" w:w="2400"/>
            <w:tcBorders>
              <w:top w:val="single" w:color="CCCCCC" w:sz="2"/>
              <w:left w:val="single" w:color="CCCCCC" w:sz="2"/>
              <w:bottom w:val="single" w:color="CCCCCC" w:sz="2"/>
              <w:right w:val="single" w:color="CCCCCC" w:sz="2"/>
            </w:tcBorders>
            <w:shd w:fill="FAFAFA"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222222"/>
                <w:sz w:val="18"/>
                <w:szCs w:val="18"/>
              </w:rPr>
              <w:t xml:space="preserve">¿Persistió ese efecto? ¿Es heterogéneo entre cohortes?</w:t>
            </w:r>
          </w:p>
        </w:tc>
        <w:tc>
          <w:tcPr>
            <w:tcW w:type="dxa" w:w="2060"/>
            <w:tcBorders>
              <w:top w:val="single" w:color="CCCCCC" w:sz="2"/>
              <w:left w:val="single" w:color="CCCCCC" w:sz="2"/>
              <w:bottom w:val="single" w:color="CCCCCC" w:sz="2"/>
              <w:right w:val="single" w:color="CCCCCC" w:sz="2"/>
            </w:tcBorders>
            <w:shd w:fill="F7FAF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Cap. 4 §4.5</w:t>
            </w:r>
          </w:p>
        </w:tc>
        <w:tc>
          <w:tcPr>
            <w:tcW w:type="dxa" w:w="3300"/>
            <w:tcBorders>
              <w:top w:val="single" w:color="CCCCCC" w:sz="2"/>
              <w:left w:val="single" w:color="CCCCCC" w:sz="2"/>
              <w:bottom w:val="single" w:color="CCCCCC" w:sz="2"/>
              <w:right w:val="single" w:color="CCCCCC" w:sz="2"/>
            </w:tcBorders>
            <w:shd w:fill="FAFAFA"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222222"/>
                <w:sz w:val="18"/>
                <w:szCs w:val="18"/>
              </w:rPr>
              <w:t xml:space="preserve">Event-study dinámico + ATT(g,t) + Bai-Perron</w:t>
            </w:r>
          </w:p>
        </w:tc>
      </w:tr>
      <w:tr>
        <w:tc>
          <w:tcPr>
            <w:tcW w:type="dxa" w:w="800"/>
            <w:tcBorders>
              <w:top w:val="single" w:color="CCCCCC" w:sz="2"/>
              <w:left w:val="single" w:color="CCCCCC" w:sz="2"/>
              <w:bottom w:val="single" w:color="CCCCCC" w:sz="2"/>
              <w:right w:val="single" w:color="CCCCCC" w:sz="2"/>
            </w:tcBorders>
            <w:shd w:fill="EEF3FB"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PE2</w:t>
            </w:r>
          </w:p>
        </w:tc>
        <w:tc>
          <w:tcPr>
            <w:tcW w:type="dxa" w:w="800"/>
            <w:tcBorders>
              <w:top w:val="single" w:color="CCCCCC" w:sz="2"/>
              <w:left w:val="single" w:color="CCCCCC" w:sz="2"/>
              <w:bottom w:val="single" w:color="CCCCCC" w:sz="2"/>
              <w:right w:val="single" w:color="CCCCCC" w:sz="2"/>
            </w:tcBorders>
            <w:shd w:fill="EEF3FB"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H3</w:t>
            </w:r>
          </w:p>
        </w:tc>
        <w:tc>
          <w:tcPr>
            <w:tcW w:type="dxa" w:w="2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222222"/>
                <w:sz w:val="18"/>
                <w:szCs w:val="18"/>
              </w:rPr>
              <w:t xml:space="preserve">¿Existió brecha sistemática entre condicionalidades y cumplimiento?</w:t>
            </w:r>
          </w:p>
        </w:tc>
        <w:tc>
          <w:tcPr>
            <w:tcW w:type="dxa" w:w="2060"/>
            <w:tcBorders>
              <w:top w:val="single" w:color="CCCCCC" w:sz="2"/>
              <w:left w:val="single" w:color="CCCCCC" w:sz="2"/>
              <w:bottom w:val="single" w:color="CCCCCC" w:sz="2"/>
              <w:right w:val="single" w:color="CCCCCC" w:sz="2"/>
            </w:tcBorders>
            <w:shd w:fill="EEF3FB"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Cap. 5 §5.1</w:t>
            </w:r>
          </w:p>
        </w:tc>
        <w:tc>
          <w:tcPr>
            <w:tcW w:type="dxa" w:w="3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222222"/>
                <w:sz w:val="18"/>
                <w:szCs w:val="18"/>
              </w:rPr>
              <w:t xml:space="preserve">Kaplan-Meier + Cox (1972)</w:t>
            </w:r>
          </w:p>
        </w:tc>
      </w:tr>
      <w:tr>
        <w:tc>
          <w:tcPr>
            <w:tcW w:type="dxa" w:w="800"/>
            <w:tcBorders>
              <w:top w:val="single" w:color="CCCCCC" w:sz="2"/>
              <w:left w:val="single" w:color="CCCCCC" w:sz="2"/>
              <w:bottom w:val="single" w:color="CCCCCC" w:sz="2"/>
              <w:right w:val="single" w:color="CCCCCC" w:sz="2"/>
            </w:tcBorders>
            <w:shd w:fill="F7FAF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PE2</w:t>
            </w:r>
          </w:p>
        </w:tc>
        <w:tc>
          <w:tcPr>
            <w:tcW w:type="dxa" w:w="800"/>
            <w:tcBorders>
              <w:top w:val="single" w:color="CCCCCC" w:sz="2"/>
              <w:left w:val="single" w:color="CCCCCC" w:sz="2"/>
              <w:bottom w:val="single" w:color="CCCCCC" w:sz="2"/>
              <w:right w:val="single" w:color="CCCCCC" w:sz="2"/>
            </w:tcBorders>
            <w:shd w:fill="F7FAF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H4</w:t>
            </w:r>
          </w:p>
        </w:tc>
        <w:tc>
          <w:tcPr>
            <w:tcW w:type="dxa" w:w="2400"/>
            <w:tcBorders>
              <w:top w:val="single" w:color="CCCCCC" w:sz="2"/>
              <w:left w:val="single" w:color="CCCCCC" w:sz="2"/>
              <w:bottom w:val="single" w:color="CCCCCC" w:sz="2"/>
              <w:right w:val="single" w:color="CCCCCC" w:sz="2"/>
            </w:tcBorders>
            <w:shd w:fill="FAFAFA"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222222"/>
                <w:sz w:val="18"/>
                <w:szCs w:val="18"/>
              </w:rPr>
              <w:t xml:space="preserve">¿Respondió esa brecha a consideraciones geopolíticas?</w:t>
            </w:r>
          </w:p>
        </w:tc>
        <w:tc>
          <w:tcPr>
            <w:tcW w:type="dxa" w:w="2060"/>
            <w:tcBorders>
              <w:top w:val="single" w:color="CCCCCC" w:sz="2"/>
              <w:left w:val="single" w:color="CCCCCC" w:sz="2"/>
              <w:bottom w:val="single" w:color="CCCCCC" w:sz="2"/>
              <w:right w:val="single" w:color="CCCCCC" w:sz="2"/>
            </w:tcBorders>
            <w:shd w:fill="F7FAF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Cap. 5 §5.2</w:t>
            </w:r>
          </w:p>
        </w:tc>
        <w:tc>
          <w:tcPr>
            <w:tcW w:type="dxa" w:w="3300"/>
            <w:tcBorders>
              <w:top w:val="single" w:color="CCCCCC" w:sz="2"/>
              <w:left w:val="single" w:color="CCCCCC" w:sz="2"/>
              <w:bottom w:val="single" w:color="CCCCCC" w:sz="2"/>
              <w:right w:val="single" w:color="CCCCCC" w:sz="2"/>
            </w:tcBorders>
            <w:shd w:fill="FAFAFA"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222222"/>
                <w:sz w:val="18"/>
                <w:szCs w:val="18"/>
              </w:rPr>
              <w:t xml:space="preserve">2SLS + ht_colonial + TradeSaliency</w:t>
            </w:r>
          </w:p>
        </w:tc>
      </w:tr>
      <w:tr>
        <w:tc>
          <w:tcPr>
            <w:tcW w:type="dxa" w:w="800"/>
            <w:tcBorders>
              <w:top w:val="single" w:color="CCCCCC" w:sz="2"/>
              <w:left w:val="single" w:color="CCCCCC" w:sz="2"/>
              <w:bottom w:val="single" w:color="CCCCCC" w:sz="2"/>
              <w:right w:val="single" w:color="CCCCCC" w:sz="2"/>
            </w:tcBorders>
            <w:shd w:fill="EEF3FB"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PE3</w:t>
            </w:r>
          </w:p>
        </w:tc>
        <w:tc>
          <w:tcPr>
            <w:tcW w:type="dxa" w:w="800"/>
            <w:tcBorders>
              <w:top w:val="single" w:color="CCCCCC" w:sz="2"/>
              <w:left w:val="single" w:color="CCCCCC" w:sz="2"/>
              <w:bottom w:val="single" w:color="CCCCCC" w:sz="2"/>
              <w:right w:val="single" w:color="CCCCCC" w:sz="2"/>
            </w:tcBorders>
            <w:shd w:fill="EEF3FB"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H5</w:t>
            </w:r>
          </w:p>
        </w:tc>
        <w:tc>
          <w:tcPr>
            <w:tcW w:type="dxa" w:w="2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222222"/>
                <w:sz w:val="18"/>
                <w:szCs w:val="18"/>
              </w:rPr>
              <w:t xml:space="preserve">¿Tradujo el alivio en mejoras sociales moderadas por gobernanza?</w:t>
            </w:r>
          </w:p>
        </w:tc>
        <w:tc>
          <w:tcPr>
            <w:tcW w:type="dxa" w:w="2060"/>
            <w:tcBorders>
              <w:top w:val="single" w:color="CCCCCC" w:sz="2"/>
              <w:left w:val="single" w:color="CCCCCC" w:sz="2"/>
              <w:bottom w:val="single" w:color="CCCCCC" w:sz="2"/>
              <w:right w:val="single" w:color="CCCCCC" w:sz="2"/>
            </w:tcBorders>
            <w:shd w:fill="EEF3FB"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Cap. 5 §5.3</w:t>
            </w:r>
          </w:p>
        </w:tc>
        <w:tc>
          <w:tcPr>
            <w:tcW w:type="dxa" w:w="3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222222"/>
                <w:sz w:val="18"/>
                <w:szCs w:val="18"/>
              </w:rPr>
              <w:t xml:space="preserve">Panel con interacciones + Imai et al. (2010)</w:t>
            </w:r>
          </w:p>
        </w:tc>
      </w:tr>
      <w:tr>
        <w:tc>
          <w:tcPr>
            <w:tcW w:type="dxa" w:w="800"/>
            <w:tcBorders>
              <w:top w:val="single" w:color="CCCCCC" w:sz="2"/>
              <w:left w:val="single" w:color="CCCCCC" w:sz="2"/>
              <w:bottom w:val="single" w:color="CCCCCC" w:sz="2"/>
              <w:right w:val="single" w:color="CCCCCC" w:sz="2"/>
            </w:tcBorders>
            <w:shd w:fill="F7FAF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PE4</w:t>
            </w:r>
          </w:p>
        </w:tc>
        <w:tc>
          <w:tcPr>
            <w:tcW w:type="dxa" w:w="800"/>
            <w:tcBorders>
              <w:top w:val="single" w:color="CCCCCC" w:sz="2"/>
              <w:left w:val="single" w:color="CCCCCC" w:sz="2"/>
              <w:bottom w:val="single" w:color="CCCCCC" w:sz="2"/>
              <w:right w:val="single" w:color="CCCCCC" w:sz="2"/>
            </w:tcBorders>
            <w:shd w:fill="F7FAF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H6</w:t>
            </w:r>
          </w:p>
        </w:tc>
        <w:tc>
          <w:tcPr>
            <w:tcW w:type="dxa" w:w="2400"/>
            <w:tcBorders>
              <w:top w:val="single" w:color="CCCCCC" w:sz="2"/>
              <w:left w:val="single" w:color="CCCCCC" w:sz="2"/>
              <w:bottom w:val="single" w:color="CCCCCC" w:sz="2"/>
              <w:right w:val="single" w:color="CCCCCC" w:sz="2"/>
            </w:tcBorders>
            <w:shd w:fill="FAFAFA"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222222"/>
                <w:sz w:val="18"/>
                <w:szCs w:val="18"/>
              </w:rPr>
              <w:t xml:space="preserve">¿Es la gobernanza el determinante dominante de resultados post-HIPC?</w:t>
            </w:r>
          </w:p>
        </w:tc>
        <w:tc>
          <w:tcPr>
            <w:tcW w:type="dxa" w:w="2060"/>
            <w:tcBorders>
              <w:top w:val="single" w:color="CCCCCC" w:sz="2"/>
              <w:left w:val="single" w:color="CCCCCC" w:sz="2"/>
              <w:bottom w:val="single" w:color="CCCCCC" w:sz="2"/>
              <w:right w:val="single" w:color="CCCCCC" w:sz="2"/>
            </w:tcBorders>
            <w:shd w:fill="F7FAF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Cap. 5 §5.4</w:t>
            </w:r>
          </w:p>
        </w:tc>
        <w:tc>
          <w:tcPr>
            <w:tcW w:type="dxa" w:w="3300"/>
            <w:tcBorders>
              <w:top w:val="single" w:color="CCCCCC" w:sz="2"/>
              <w:left w:val="single" w:color="CCCCCC" w:sz="2"/>
              <w:bottom w:val="single" w:color="CCCCCC" w:sz="2"/>
              <w:right w:val="single" w:color="CCCCCC" w:sz="2"/>
            </w:tcBorders>
            <w:shd w:fill="FAFAFA"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222222"/>
                <w:sz w:val="18"/>
                <w:szCs w:val="18"/>
              </w:rPr>
              <w:t xml:space="preserve">Análisis de dominancia + regresión cuantílica</w:t>
            </w:r>
          </w:p>
        </w:tc>
      </w:tr>
      <w:tr>
        <w:tc>
          <w:tcPr>
            <w:tcW w:type="dxa" w:w="800"/>
            <w:tcBorders>
              <w:top w:val="single" w:color="CCCCCC" w:sz="2"/>
              <w:left w:val="single" w:color="CCCCCC" w:sz="2"/>
              <w:bottom w:val="single" w:color="CCCCCC" w:sz="2"/>
              <w:right w:val="single" w:color="CCCCCC" w:sz="2"/>
            </w:tcBorders>
            <w:shd w:fill="EEF3FB"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PE1+PE4</w:t>
            </w:r>
          </w:p>
        </w:tc>
        <w:tc>
          <w:tcPr>
            <w:tcW w:type="dxa" w:w="800"/>
            <w:tcBorders>
              <w:top w:val="single" w:color="CCCCCC" w:sz="2"/>
              <w:left w:val="single" w:color="CCCCCC" w:sz="2"/>
              <w:bottom w:val="single" w:color="CCCCCC" w:sz="2"/>
              <w:right w:val="single" w:color="CCCCCC" w:sz="2"/>
            </w:tcBorders>
            <w:shd w:fill="EEF3FB"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H7</w:t>
            </w:r>
          </w:p>
        </w:tc>
        <w:tc>
          <w:tcPr>
            <w:tcW w:type="dxa" w:w="2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222222"/>
                <w:sz w:val="18"/>
                <w:szCs w:val="18"/>
              </w:rPr>
              <w:t xml:space="preserve">¿Habilitó el éxito formal de la HIPC un nuevo ciclo de deuda?</w:t>
            </w:r>
          </w:p>
        </w:tc>
        <w:tc>
          <w:tcPr>
            <w:tcW w:type="dxa" w:w="2060"/>
            <w:tcBorders>
              <w:top w:val="single" w:color="CCCCCC" w:sz="2"/>
              <w:left w:val="single" w:color="CCCCCC" w:sz="2"/>
              <w:bottom w:val="single" w:color="CCCCCC" w:sz="2"/>
              <w:right w:val="single" w:color="CCCCCC" w:sz="2"/>
            </w:tcBorders>
            <w:shd w:fill="EEF3FB"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222222"/>
                <w:sz w:val="18"/>
                <w:szCs w:val="18"/>
              </w:rPr>
              <w:t xml:space="preserve">Cap. 4+6</w:t>
            </w:r>
          </w:p>
        </w:tc>
        <w:tc>
          <w:tcPr>
            <w:tcW w:type="dxa" w:w="3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222222"/>
                <w:sz w:val="18"/>
                <w:szCs w:val="18"/>
              </w:rPr>
              <w:t xml:space="preserve">DDD + Cox + logística multinomial</w:t>
            </w:r>
          </w:p>
        </w:tc>
      </w:tr>
    </w:tbl>
    <w:p>
      <w:pPr>
        <w:spacing w:before="0" w:after="0" w:line="240"/>
      </w:pPr>
      <w:r>
        <w:t xml:space="preserve"/>
      </w:r>
    </w:p>
    <w:p>
      <w:pPr>
        <w:spacing w:before="0" w:after="0" w:line="240"/>
      </w:pPr>
      <w:r>
        <w:t xml:space="preserve"/>
      </w:r>
    </w:p>
    <w:p>
      <w:pPr>
        <w:pStyle w:val="Heading2"/>
        <w:spacing w:before="320" w:after="160"/>
      </w:pPr>
      <w:r>
        <w:rPr>
          <w:rFonts w:ascii="Times New Roman" w:cs="Times New Roman" w:eastAsia="Times New Roman" w:hAnsi="Times New Roman"/>
          <w:b/>
          <w:bCs/>
          <w:color w:val="2E5597"/>
          <w:sz w:val="24"/>
          <w:szCs w:val="24"/>
        </w:rPr>
        <w:t xml:space="preserve">1.2.5 Sobre la falsabilidad y el valor informativo de las hipótesis</w:t>
      </w:r>
    </w:p>
    <w:p>
      <w:pPr>
        <w:spacing w:before="0" w:after="200" w:line="360" w:lineRule="auto"/>
        <w:ind w:firstLine="720"/>
        <w:jc w:val="both"/>
      </w:pPr>
      <w:r>
        <w:rPr>
          <w:rFonts w:ascii="Times New Roman" w:cs="Times New Roman" w:eastAsia="Times New Roman" w:hAnsi="Times New Roman"/>
          <w:sz w:val="24"/>
          <w:szCs w:val="24"/>
        </w:rPr>
        <w:t xml:space="preserve">La formulación de siete hipótesis numeradas correlativamente (H1–H7) responde a una exigencia de precisión conceptual: H1 y H2 tienen naturaleza lógica distinta —la primera es una hipótesis sobre el completion point como causa, la segunda sobre la dinámica temporal del efecto— y sus criterios de falsación son independientes. Análogamente, H3 y H4 permiten contrastar el fenómeno descriptivo de la brecha de condicionalidades sin comprometer la afirmación causal sobre sus determinantes geopolíticos.</w:t>
      </w:r>
    </w:p>
    <w:p>
      <w:pPr>
        <w:spacing w:before="0" w:after="200" w:line="360" w:lineRule="auto"/>
        <w:ind w:firstLine="720"/>
        <w:jc w:val="both"/>
      </w:pPr>
      <w:r>
        <w:rPr>
          <w:rFonts w:ascii="Times New Roman" w:cs="Times New Roman" w:eastAsia="Times New Roman" w:hAnsi="Times New Roman"/>
          <w:sz w:val="24"/>
          <w:szCs w:val="24"/>
        </w:rPr>
        <w:t xml:space="preserve">En particular, el rechazo de H6 —la hipótesis sobre la primacía de la gobernanza— sería un resultado de alto valor: implicaría que el monto del alivio financiero tiene poder explicativo comparable o superior al de la calidad institucional, lo que reforzaría la lógica de las iniciativas de alivio de deuda por encima de las reformas institucionales. Este resultado, aunque contrario a la hipótesis central de la tesis, constituiría igualmente una contribución al conocimiento acumulado (King et al., 1994, pp. 19–23).</w:t>
      </w:r>
    </w:p>
    <w:p>
      <w:pPr>
        <w:spacing w:before="0" w:after="200" w:line="360" w:lineRule="auto"/>
        <w:ind w:firstLine="720"/>
        <w:jc w:val="both"/>
      </w:pPr>
      <w:r>
        <w:rPr>
          <w:rFonts w:ascii="Times New Roman" w:cs="Times New Roman" w:eastAsia="Times New Roman" w:hAnsi="Times New Roman"/>
          <w:sz w:val="24"/>
          <w:szCs w:val="24"/>
        </w:rPr>
        <w:t xml:space="preserve">Si H1, H2, H6 y H7 se confirman simultáneamente, se refuerza el argumento de que el diseño de la HIPC priorizó el insumo financiero sobre el fortalecimiento institucional, generando las condiciones para el ciclo de reendeudamiento paradójico documentado en H7. Esta cadena causal constituiría la contribución teórica más significativa de la investigación (North, 1990, pp. 73–82; Acemoglu et al., 2001, p. 1395).</w:t>
      </w:r>
    </w:p>
    <w:p>
      <w:pPr>
        <w:spacing w:before="0" w:after="0" w:line="240"/>
      </w:pPr>
      <w:r>
        <w:t xml:space="preserve"/>
      </w:r>
    </w:p>
    <w:p>
      <w:pPr>
        <w:spacing w:before="0" w:after="0" w:line="240"/>
      </w:pPr>
      <w:r>
        <w:t xml:space="preserve"/>
      </w:r>
    </w:p>
    <w:p>
      <w:r>
        <w:r>
          <w:br w:type="page"/>
        </w:r>
      </w:r>
    </w:p>
    <w:p>
      <w:pPr>
        <w:spacing w:before="200" w:after="80"/>
        <w:jc w:val="center"/>
      </w:pPr>
      <w:r>
        <w:rPr>
          <w:rFonts w:ascii="Times New Roman" w:cs="Times New Roman" w:eastAsia="Times New Roman" w:hAnsi="Times New Roman"/>
          <w:i/>
          <w:iCs/>
          <w:color w:val="2E5597"/>
          <w:sz w:val="22"/>
          <w:szCs w:val="22"/>
        </w:rPr>
        <w:t xml:space="preserve">Sección 1.3</w:t>
      </w:r>
    </w:p>
    <w:p>
      <w:pPr>
        <w:spacing w:before="0" w:after="400"/>
        <w:jc w:val="center"/>
      </w:pPr>
      <w:r>
        <w:rPr>
          <w:rFonts w:ascii="Times New Roman" w:cs="Times New Roman" w:eastAsia="Times New Roman" w:hAnsi="Times New Roman"/>
          <w:b/>
          <w:bCs/>
          <w:color w:val="1F3864"/>
          <w:sz w:val="28"/>
          <w:szCs w:val="28"/>
        </w:rPr>
        <w:t xml:space="preserve">Objetivos generales y específicos</w:t>
      </w:r>
    </w:p>
    <w:p>
      <w:pPr>
        <w:spacing w:before="0" w:after="60" w:line="320"/>
        <w:ind w:left="3200"/>
        <w:jc w:val="right"/>
      </w:pPr>
      <w:r>
        <w:rPr>
          <w:rFonts w:ascii="Times New Roman" w:cs="Times New Roman" w:eastAsia="Times New Roman" w:hAnsi="Times New Roman"/>
          <w:i/>
          <w:iCs/>
          <w:color w:val="444444"/>
          <w:sz w:val="20"/>
          <w:szCs w:val="20"/>
        </w:rPr>
        <w:t xml:space="preserve">«Los objetivos de investigación son la traducción operativa de la pregunta central: transforman el interrogante en acciones verificables y productos académicos concretos.»</w:t>
      </w:r>
    </w:p>
    <w:p>
      <w:pPr>
        <w:spacing w:before="0" w:after="500"/>
        <w:ind w:left="3200"/>
        <w:jc w:val="right"/>
      </w:pPr>
      <w:r>
        <w:rPr>
          <w:rFonts w:ascii="Times New Roman" w:cs="Times New Roman" w:eastAsia="Times New Roman" w:hAnsi="Times New Roman"/>
          <w:color w:val="666666"/>
          <w:sz w:val="20"/>
          <w:szCs w:val="20"/>
        </w:rPr>
        <w:t xml:space="preserve">Creswell &amp; Creswell (2018, p. 141)</w:t>
      </w:r>
    </w:p>
    <w:p>
      <w:pPr>
        <w:pStyle w:val="Heading1"/>
        <w:spacing w:before="480" w:after="200"/>
      </w:pPr>
      <w:r>
        <w:rPr>
          <w:rFonts w:ascii="Times New Roman" w:cs="Times New Roman" w:eastAsia="Times New Roman" w:hAnsi="Times New Roman"/>
          <w:b/>
          <w:bCs/>
          <w:color w:val="1F3864"/>
          <w:sz w:val="28"/>
          <w:szCs w:val="28"/>
        </w:rPr>
        <w:t xml:space="preserve">1.3 Objetivos generales y específicos</w:t>
      </w:r>
    </w:p>
    <w:p>
      <w:pPr>
        <w:spacing w:before="0" w:after="200" w:line="360" w:lineRule="auto"/>
        <w:ind w:firstLine="720"/>
        <w:jc w:val="both"/>
      </w:pPr>
      <w:r>
        <w:rPr>
          <w:rFonts w:ascii="Times New Roman" w:cs="Times New Roman" w:eastAsia="Times New Roman" w:hAnsi="Times New Roman"/>
          <w:sz w:val="24"/>
          <w:szCs w:val="24"/>
        </w:rPr>
        <w:t xml:space="preserve">Los objetivos de investigación operacionalizan la pregunta central y las hipótesis formuladas en la sección 1.2, traduciéndolos en acciones académicas concretas cuyos productos son verificables al final de cada capítulo empírico. La tesis persigue cuatro objetivos generales que se desagregan en nueve objetivos específicos directamente vinculados a las hipótesis de investigación.</w:t>
      </w:r>
    </w:p>
    <w:p>
      <w:pPr>
        <w:pStyle w:val="Heading2"/>
        <w:spacing w:before="320" w:after="160"/>
      </w:pPr>
      <w:r>
        <w:rPr>
          <w:rFonts w:ascii="Times New Roman" w:cs="Times New Roman" w:eastAsia="Times New Roman" w:hAnsi="Times New Roman"/>
          <w:b/>
          <w:bCs/>
          <w:color w:val="2E5597"/>
          <w:sz w:val="24"/>
          <w:szCs w:val="24"/>
        </w:rPr>
        <w:t xml:space="preserve">1.3.1 Objetivos generales</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0"/>
              <w:left w:val="single" w:color="1F3864" w:sz="10"/>
              <w:bottom w:val="single" w:color="1F3864" w:sz="10"/>
              <w:right w:val="single" w:color="1F3864" w:sz="10"/>
            </w:tcBorders>
            <w:shd w:fill="1F3864" w:val="clear"/>
            <w:tcMar>
              <w:top w:type="dxa" w:w="100"/>
              <w:left w:type="dxa" w:w="200"/>
              <w:bottom w:type="dxa" w:w="80"/>
              <w:right w:type="dxa" w:w="200"/>
            </w:tcMar>
          </w:tcPr>
          <w:p>
            <w:r>
              <w:rPr>
                <w:rFonts w:ascii="Times New Roman" w:cs="Times New Roman" w:eastAsia="Times New Roman" w:hAnsi="Times New Roman"/>
                <w:b/>
                <w:bCs/>
                <w:caps/>
                <w:color w:val="FFFFFF"/>
                <w:sz w:val="18"/>
                <w:szCs w:val="18"/>
              </w:rPr>
              <w:t xml:space="preserve">OBJETIVO GENERAL 1 (OG1)</w:t>
            </w:r>
          </w:p>
        </w:tc>
      </w:tr>
      <w:tr>
        <w:tc>
          <w:tcPr>
            <w:tcBorders>
              <w:top w:val="single" w:color="1F3864" w:sz="10"/>
              <w:left w:val="single" w:color="1F3864" w:sz="10"/>
              <w:bottom w:val="single" w:color="1F3864" w:sz="10"/>
              <w:right w:val="single" w:color="1F3864" w:sz="10"/>
            </w:tcBorders>
            <w:shd w:fill="EEF3FB" w:val="clear"/>
            <w:tcMar>
              <w:top w:type="dxa" w:w="180"/>
              <w:left w:type="dxa" w:w="260"/>
              <w:bottom w:type="dxa" w:w="180"/>
              <w:right w:type="dxa" w:w="260"/>
            </w:tcMar>
          </w:tcPr>
          <w:p>
            <w:pPr>
              <w:jc w:val="both"/>
            </w:pPr>
            <w:r>
              <w:rPr>
                <w:rFonts w:ascii="Times New Roman" w:cs="Times New Roman" w:eastAsia="Times New Roman" w:hAnsi="Times New Roman"/>
                <w:b/>
                <w:bCs/>
                <w:color w:val="1F3864"/>
                <w:sz w:val="23"/>
                <w:szCs w:val="23"/>
              </w:rPr>
              <w:t xml:space="preserve">Construir el marco teórico, histórico y metodológico que fundamenta el análisis cuantitativo de la Iniciativa HIPC, integrando la economía institucional, la literatura sobre deuda soberana y el análisis estructural sistémico como herramientas complementarias de especificación de variables.</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0"/>
              <w:left w:val="single" w:color="1F3864" w:sz="10"/>
              <w:bottom w:val="single" w:color="1F3864" w:sz="10"/>
              <w:right w:val="single" w:color="1F3864" w:sz="10"/>
            </w:tcBorders>
            <w:shd w:fill="1F3864" w:val="clear"/>
            <w:tcMar>
              <w:top w:type="dxa" w:w="100"/>
              <w:left w:type="dxa" w:w="200"/>
              <w:bottom w:type="dxa" w:w="80"/>
              <w:right w:type="dxa" w:w="200"/>
            </w:tcMar>
          </w:tcPr>
          <w:p>
            <w:r>
              <w:rPr>
                <w:rFonts w:ascii="Times New Roman" w:cs="Times New Roman" w:eastAsia="Times New Roman" w:hAnsi="Times New Roman"/>
                <w:b/>
                <w:bCs/>
                <w:caps/>
                <w:color w:val="FFFFFF"/>
                <w:sz w:val="18"/>
                <w:szCs w:val="18"/>
              </w:rPr>
              <w:t xml:space="preserve">OBJETIVO GENERAL 2 (OG2)</w:t>
            </w:r>
          </w:p>
        </w:tc>
      </w:tr>
      <w:tr>
        <w:tc>
          <w:tcPr>
            <w:tcBorders>
              <w:top w:val="single" w:color="1F3864" w:sz="10"/>
              <w:left w:val="single" w:color="1F3864" w:sz="10"/>
              <w:bottom w:val="single" w:color="1F3864" w:sz="10"/>
              <w:right w:val="single" w:color="1F3864" w:sz="10"/>
            </w:tcBorders>
            <w:shd w:fill="EEF3FB" w:val="clear"/>
            <w:tcMar>
              <w:top w:type="dxa" w:w="180"/>
              <w:left w:type="dxa" w:w="260"/>
              <w:bottom w:type="dxa" w:w="180"/>
              <w:right w:type="dxa" w:w="260"/>
            </w:tcMar>
          </w:tcPr>
          <w:p>
            <w:pPr>
              <w:jc w:val="both"/>
            </w:pPr>
            <w:r>
              <w:rPr>
                <w:rFonts w:ascii="Times New Roman" w:cs="Times New Roman" w:eastAsia="Times New Roman" w:hAnsi="Times New Roman"/>
                <w:b/>
                <w:bCs/>
                <w:color w:val="1F3864"/>
                <w:sz w:val="23"/>
                <w:szCs w:val="23"/>
              </w:rPr>
              <w:t xml:space="preserve">Evaluar cuantitativamente la efectividad de la Iniciativa HIPC para restaurar la sostenibilidad de la deuda externa de los países beneficiarios en el período 1996–2022, identificando el efecto causal del alivio sobre los ratios de endeudamiento y documentando el fenómeno del reendeudamiento con acreedores no tradicionales en el período post-culminación.</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0"/>
              <w:left w:val="single" w:color="1F3864" w:sz="10"/>
              <w:bottom w:val="single" w:color="1F3864" w:sz="10"/>
              <w:right w:val="single" w:color="1F3864" w:sz="10"/>
            </w:tcBorders>
            <w:shd w:fill="1F3864" w:val="clear"/>
            <w:tcMar>
              <w:top w:type="dxa" w:w="100"/>
              <w:left w:type="dxa" w:w="200"/>
              <w:bottom w:type="dxa" w:w="80"/>
              <w:right w:type="dxa" w:w="200"/>
            </w:tcMar>
          </w:tcPr>
          <w:p>
            <w:r>
              <w:rPr>
                <w:rFonts w:ascii="Times New Roman" w:cs="Times New Roman" w:eastAsia="Times New Roman" w:hAnsi="Times New Roman"/>
                <w:b/>
                <w:bCs/>
                <w:caps/>
                <w:color w:val="FFFFFF"/>
                <w:sz w:val="18"/>
                <w:szCs w:val="18"/>
              </w:rPr>
              <w:t xml:space="preserve">OBJETIVO GENERAL 3 (OG3)</w:t>
            </w:r>
          </w:p>
        </w:tc>
      </w:tr>
      <w:tr>
        <w:tc>
          <w:tcPr>
            <w:tcBorders>
              <w:top w:val="single" w:color="1F3864" w:sz="10"/>
              <w:left w:val="single" w:color="1F3864" w:sz="10"/>
              <w:bottom w:val="single" w:color="1F3864" w:sz="10"/>
              <w:right w:val="single" w:color="1F3864" w:sz="10"/>
            </w:tcBorders>
            <w:shd w:fill="EEF3FB" w:val="clear"/>
            <w:tcMar>
              <w:top w:type="dxa" w:w="180"/>
              <w:left w:type="dxa" w:w="260"/>
              <w:bottom w:type="dxa" w:w="180"/>
              <w:right w:type="dxa" w:w="260"/>
            </w:tcMar>
          </w:tcPr>
          <w:p>
            <w:pPr>
              <w:jc w:val="both"/>
            </w:pPr>
            <w:r>
              <w:rPr>
                <w:rFonts w:ascii="Times New Roman" w:cs="Times New Roman" w:eastAsia="Times New Roman" w:hAnsi="Times New Roman"/>
                <w:b/>
                <w:bCs/>
                <w:color w:val="1F3864"/>
                <w:sz w:val="23"/>
                <w:szCs w:val="23"/>
              </w:rPr>
              <w:t xml:space="preserve">Analizar cuantitativamente las condicionalidades impuestas por el FMI y el Banco Mundial en el marco de la Iniciativa HIPC, su grado de cumplimiento efectivo, su impacto sobre los indicadores de desarrollo humano de los países beneficiarios, y la primacía explicativa de la calidad institucional sobre el monto del alivio financiero como determinante de los resultados post-culminación.</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0"/>
              <w:left w:val="single" w:color="1F3864" w:sz="10"/>
              <w:bottom w:val="single" w:color="1F3864" w:sz="10"/>
              <w:right w:val="single" w:color="1F3864" w:sz="10"/>
            </w:tcBorders>
            <w:shd w:fill="1F3864" w:val="clear"/>
            <w:tcMar>
              <w:top w:type="dxa" w:w="100"/>
              <w:left w:type="dxa" w:w="200"/>
              <w:bottom w:type="dxa" w:w="80"/>
              <w:right w:type="dxa" w:w="200"/>
            </w:tcMar>
          </w:tcPr>
          <w:p>
            <w:r>
              <w:rPr>
                <w:rFonts w:ascii="Times New Roman" w:cs="Times New Roman" w:eastAsia="Times New Roman" w:hAnsi="Times New Roman"/>
                <w:b/>
                <w:bCs/>
                <w:caps/>
                <w:color w:val="FFFFFF"/>
                <w:sz w:val="18"/>
                <w:szCs w:val="18"/>
              </w:rPr>
              <w:t xml:space="preserve">OBJETIVO GENERAL 4 (OG4)</w:t>
            </w:r>
          </w:p>
        </w:tc>
      </w:tr>
      <w:tr>
        <w:tc>
          <w:tcPr>
            <w:tcBorders>
              <w:top w:val="single" w:color="1F3864" w:sz="10"/>
              <w:left w:val="single" w:color="1F3864" w:sz="10"/>
              <w:bottom w:val="single" w:color="1F3864" w:sz="10"/>
              <w:right w:val="single" w:color="1F3864" w:sz="10"/>
            </w:tcBorders>
            <w:shd w:fill="EEF3FB" w:val="clear"/>
            <w:tcMar>
              <w:top w:type="dxa" w:w="180"/>
              <w:left w:type="dxa" w:w="260"/>
              <w:bottom w:type="dxa" w:w="180"/>
              <w:right w:type="dxa" w:w="260"/>
            </w:tcMar>
          </w:tcPr>
          <w:p>
            <w:pPr>
              <w:jc w:val="both"/>
            </w:pPr>
            <w:r>
              <w:rPr>
                <w:rFonts w:ascii="Times New Roman" w:cs="Times New Roman" w:eastAsia="Times New Roman" w:hAnsi="Times New Roman"/>
                <w:b/>
                <w:bCs/>
                <w:color w:val="1F3864"/>
                <w:sz w:val="23"/>
                <w:szCs w:val="23"/>
              </w:rPr>
              <w:t xml:space="preserve">Comparar las trayectorias de deuda, crecimiento e impacto social de los países HIPC a escala regional y de estudio de caso, extrayendo lecciones de política económica para el diseño del G20 Common Framework y para la arquitectura multilateral de resolución de deuda soberana en el contexto post-COVID.</w:t>
            </w:r>
          </w:p>
        </w:tc>
      </w:tr>
    </w:tbl>
    <w:p>
      <w:pPr>
        <w:spacing w:before="0" w:after="0" w:line="240"/>
      </w:pPr>
      <w:r>
        <w:t xml:space="preserve"/>
      </w:r>
    </w:p>
    <w:p>
      <w:pPr>
        <w:spacing w:before="0" w:after="0" w:line="240"/>
      </w:pPr>
      <w:r>
        <w:t xml:space="preserve"/>
      </w:r>
    </w:p>
    <w:p>
      <w:pPr>
        <w:pStyle w:val="Heading2"/>
        <w:spacing w:before="320" w:after="160"/>
      </w:pPr>
      <w:r>
        <w:rPr>
          <w:rFonts w:ascii="Times New Roman" w:cs="Times New Roman" w:eastAsia="Times New Roman" w:hAnsi="Times New Roman"/>
          <w:b/>
          <w:bCs/>
          <w:color w:val="2E5597"/>
          <w:sz w:val="24"/>
          <w:szCs w:val="24"/>
        </w:rPr>
        <w:t xml:space="preserve">1.3.2 Objetivos específicos vinculados a OG1: marco teórico y metodológico</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2E5597" w:sz="6"/>
              <w:left w:val="single" w:color="2E5597" w:sz="6"/>
              <w:bottom w:val="single" w:color="2E5597" w:sz="6"/>
              <w:right w:val="single" w:color="2E5597" w:sz="6"/>
            </w:tcBorders>
            <w:shd w:fill="1F3864" w:val="clear"/>
            <w:tcMar>
              <w:top w:type="dxa" w:w="100"/>
              <w:left w:type="dxa" w:w="180"/>
              <w:bottom w:type="dxa" w:w="80"/>
              <w:right w:type="dxa" w:w="180"/>
            </w:tcMar>
          </w:tcPr>
          <w:p>
            <w:r>
              <w:rPr>
                <w:rFonts w:ascii="Times New Roman" w:cs="Times New Roman" w:eastAsia="Times New Roman" w:hAnsi="Times New Roman"/>
                <w:b/>
                <w:bCs/>
                <w:color w:val="AACCFF"/>
                <w:sz w:val="20"/>
                <w:szCs w:val="20"/>
              </w:rPr>
              <w:t xml:space="preserve">OE1  ·  </w:t>
            </w:r>
            <w:r>
              <w:rPr>
                <w:rFonts w:ascii="Times New Roman" w:cs="Times New Roman" w:eastAsia="Times New Roman" w:hAnsi="Times New Roman"/>
                <w:color w:val="CCDDFF"/>
                <w:sz w:val="18"/>
                <w:szCs w:val="18"/>
              </w:rPr>
              <w:t xml:space="preserve">Verbo rector: </w:t>
            </w:r>
            <w:r>
              <w:rPr>
                <w:rFonts w:ascii="Times New Roman" w:cs="Times New Roman" w:eastAsia="Times New Roman" w:hAnsi="Times New Roman"/>
                <w:b/>
                <w:bCs/>
                <w:color w:val="FFFFFF"/>
                <w:sz w:val="20"/>
                <w:szCs w:val="20"/>
              </w:rPr>
              <w:t xml:space="preserve">RECONSTRUIR</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Enunciado</w:t>
            </w:r>
          </w:p>
        </w:tc>
        <w:tc>
          <w:tcPr>
            <w:tcW w:type="dxa" w:w="7760"/>
            <w:tcBorders>
              <w:top w:val="single" w:color="CCCCCC" w:sz="2"/>
              <w:left w:val="single" w:color="CCCCCC" w:sz="2"/>
              <w:bottom w:val="single" w:color="CCCCCC" w:sz="2"/>
              <w:right w:val="single" w:color="2E5597" w:sz="6"/>
            </w:tcBorders>
            <w:shd w:fill="FAFE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Reconstruir el marco teórico e histórico de la deuda soberana en los países de bajos ingresos, integrando la perspectiva institucionalista de North (1990) y Acemoglu et al. (2001) con la literatura sobre debt overhang (Krugman, 1988; Sachs, 1989) y los ciclos históricos de crisis y alivio documentados por Reinhart &amp; Rogoff (2009), con el fin de fundamentar teóricamente las hipótesis H1 a H7.</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Producto esperado</w:t>
            </w:r>
          </w:p>
        </w:tc>
        <w:tc>
          <w:tcPr>
            <w:tcW w:type="dxa" w:w="7760"/>
            <w:tcBorders>
              <w:top w:val="single" w:color="CCCCCC" w:sz="2"/>
              <w:left w:val="single" w:color="CCCCCC" w:sz="2"/>
              <w:bottom w:val="single" w:color="CCCCCC" w:sz="2"/>
              <w:right w:val="single" w:color="2E5597"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Capítulo 2 con marco teórico integrado. Mínimo 40 referencias primarias sistematizadas.</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Hipótesis vinculada</w:t>
            </w:r>
          </w:p>
        </w:tc>
        <w:tc>
          <w:tcPr>
            <w:tcW w:type="dxa" w:w="7760"/>
            <w:tcBorders>
              <w:top w:val="single" w:color="CCCCCC" w:sz="2"/>
              <w:left w:val="single" w:color="CCCCCC" w:sz="2"/>
              <w:bottom w:val="single" w:color="CCCCCC" w:sz="2"/>
              <w:right w:val="single" w:color="2E5597"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Fundamento teórico de H1–H7</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Capítulo</w:t>
            </w:r>
          </w:p>
        </w:tc>
        <w:tc>
          <w:tcPr>
            <w:tcW w:type="dxa" w:w="7760"/>
            <w:tcBorders>
              <w:top w:val="single" w:color="CCCCCC" w:sz="2"/>
              <w:left w:val="single" w:color="CCCCCC" w:sz="2"/>
              <w:bottom w:val="single" w:color="CCCCCC" w:sz="2"/>
              <w:right w:val="single" w:color="2E5597"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Capítulo 2 — Marco teórico e histórico.</w:t>
            </w:r>
          </w:p>
        </w:tc>
      </w:tr>
    </w:tbl>
    <w:p>
      <w:pPr>
        <w:spacing w:before="80" w:after="160"/>
        <w:ind w:left="200"/>
      </w:pPr>
      <w:r>
        <w:rPr>
          <w:rFonts w:ascii="Times New Roman" w:cs="Times New Roman" w:eastAsia="Times New Roman" w:hAnsi="Times New Roman"/>
          <w:i/>
          <w:iCs/>
          <w:color w:val="777777"/>
          <w:sz w:val="19"/>
          <w:szCs w:val="19"/>
        </w:rPr>
        <w:t xml:space="preserve">Nivel Bloom: </w:t>
      </w:r>
      <w:r>
        <w:rPr>
          <w:rFonts w:ascii="Times New Roman" w:cs="Times New Roman" w:eastAsia="Times New Roman" w:hAnsi="Times New Roman"/>
          <w:b/>
          <w:bCs/>
          <w:color w:val="2E5597"/>
          <w:sz w:val="19"/>
          <w:szCs w:val="19"/>
        </w:rPr>
        <w:t xml:space="preserve">Comprensión + Análisis</w:t>
      </w:r>
      <w:r>
        <w:rPr>
          <w:rFonts w:ascii="Times New Roman" w:cs="Times New Roman" w:eastAsia="Times New Roman" w:hAnsi="Times New Roman"/>
          <w:color w:val="555555"/>
          <w:sz w:val="19"/>
          <w:szCs w:val="19"/>
        </w:rPr>
        <w:t xml:space="preserve">  |  Verbos: Reconstruir, integrar, articular, fundamentar</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2E5597" w:sz="6"/>
              <w:left w:val="single" w:color="2E5597" w:sz="6"/>
              <w:bottom w:val="single" w:color="2E5597" w:sz="6"/>
              <w:right w:val="single" w:color="2E5597" w:sz="6"/>
            </w:tcBorders>
            <w:shd w:fill="1F3864" w:val="clear"/>
            <w:tcMar>
              <w:top w:type="dxa" w:w="100"/>
              <w:left w:type="dxa" w:w="180"/>
              <w:bottom w:type="dxa" w:w="80"/>
              <w:right w:type="dxa" w:w="180"/>
            </w:tcMar>
          </w:tcPr>
          <w:p>
            <w:r>
              <w:rPr>
                <w:rFonts w:ascii="Times New Roman" w:cs="Times New Roman" w:eastAsia="Times New Roman" w:hAnsi="Times New Roman"/>
                <w:b/>
                <w:bCs/>
                <w:color w:val="AACCFF"/>
                <w:sz w:val="20"/>
                <w:szCs w:val="20"/>
              </w:rPr>
              <w:t xml:space="preserve">OE2  ·  </w:t>
            </w:r>
            <w:r>
              <w:rPr>
                <w:rFonts w:ascii="Times New Roman" w:cs="Times New Roman" w:eastAsia="Times New Roman" w:hAnsi="Times New Roman"/>
                <w:color w:val="CCDDFF"/>
                <w:sz w:val="18"/>
                <w:szCs w:val="18"/>
              </w:rPr>
              <w:t xml:space="preserve">Verbo rector: </w:t>
            </w:r>
            <w:r>
              <w:rPr>
                <w:rFonts w:ascii="Times New Roman" w:cs="Times New Roman" w:eastAsia="Times New Roman" w:hAnsi="Times New Roman"/>
                <w:b/>
                <w:bCs/>
                <w:color w:val="FFFFFF"/>
                <w:sz w:val="20"/>
                <w:szCs w:val="20"/>
              </w:rPr>
              <w:t xml:space="preserve">SISTEMATIZAR</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Enunciado</w:t>
            </w:r>
          </w:p>
        </w:tc>
        <w:tc>
          <w:tcPr>
            <w:tcW w:type="dxa" w:w="7760"/>
            <w:tcBorders>
              <w:top w:val="single" w:color="CCCCCC" w:sz="2"/>
              <w:left w:val="single" w:color="CCCCCC" w:sz="2"/>
              <w:bottom w:val="single" w:color="CCCCCC" w:sz="2"/>
              <w:right w:val="single" w:color="2E5597" w:sz="6"/>
            </w:tcBorders>
            <w:shd w:fill="FAFE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Sistematizar la literatura empírica existente sobre la efectividad de la Iniciativa HIPC mediante una revisión sistemática de los estudios cuantitativos publicados entre 1996 y 2023, identificando sus hallazgos principales, sus limitaciones metodológicas y las brechas que justifican la presente investigación, con especial atención a los trabajos de Hepp (2005), Presbitero (2009) y Freytag &amp; Pehnelt (2009).</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Producto esperado</w:t>
            </w:r>
          </w:p>
        </w:tc>
        <w:tc>
          <w:tcPr>
            <w:tcW w:type="dxa" w:w="7760"/>
            <w:tcBorders>
              <w:top w:val="single" w:color="CCCCCC" w:sz="2"/>
              <w:left w:val="single" w:color="CCCCCC" w:sz="2"/>
              <w:bottom w:val="single" w:color="CCCCCC" w:sz="2"/>
              <w:right w:val="single" w:color="2E5597"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Tabla de síntesis de la literatura empírica; identificación documentada de las tres brechas de la sección 1.1.3.</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Hipótesis vinculada</w:t>
            </w:r>
          </w:p>
        </w:tc>
        <w:tc>
          <w:tcPr>
            <w:tcW w:type="dxa" w:w="7760"/>
            <w:tcBorders>
              <w:top w:val="single" w:color="CCCCCC" w:sz="2"/>
              <w:left w:val="single" w:color="CCCCCC" w:sz="2"/>
              <w:bottom w:val="single" w:color="CCCCCC" w:sz="2"/>
              <w:right w:val="single" w:color="2E5597"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Justificación metodológica de H1–H7</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Capítulo</w:t>
            </w:r>
          </w:p>
        </w:tc>
        <w:tc>
          <w:tcPr>
            <w:tcW w:type="dxa" w:w="7760"/>
            <w:tcBorders>
              <w:top w:val="single" w:color="CCCCCC" w:sz="2"/>
              <w:left w:val="single" w:color="CCCCCC" w:sz="2"/>
              <w:bottom w:val="single" w:color="CCCCCC" w:sz="2"/>
              <w:right w:val="single" w:color="2E5597"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Capítulo 2 — Estado del arte.</w:t>
            </w:r>
          </w:p>
        </w:tc>
      </w:tr>
    </w:tbl>
    <w:p>
      <w:pPr>
        <w:spacing w:before="80" w:after="160"/>
        <w:ind w:left="200"/>
      </w:pPr>
      <w:r>
        <w:rPr>
          <w:rFonts w:ascii="Times New Roman" w:cs="Times New Roman" w:eastAsia="Times New Roman" w:hAnsi="Times New Roman"/>
          <w:i/>
          <w:iCs/>
          <w:color w:val="777777"/>
          <w:sz w:val="19"/>
          <w:szCs w:val="19"/>
        </w:rPr>
        <w:t xml:space="preserve">Nivel Bloom: </w:t>
      </w:r>
      <w:r>
        <w:rPr>
          <w:rFonts w:ascii="Times New Roman" w:cs="Times New Roman" w:eastAsia="Times New Roman" w:hAnsi="Times New Roman"/>
          <w:b/>
          <w:bCs/>
          <w:color w:val="2E5597"/>
          <w:sz w:val="19"/>
          <w:szCs w:val="19"/>
        </w:rPr>
        <w:t xml:space="preserve">Análisis + Evaluación</w:t>
      </w:r>
      <w:r>
        <w:rPr>
          <w:rFonts w:ascii="Times New Roman" w:cs="Times New Roman" w:eastAsia="Times New Roman" w:hAnsi="Times New Roman"/>
          <w:color w:val="555555"/>
          <w:sz w:val="19"/>
          <w:szCs w:val="19"/>
        </w:rPr>
        <w:t xml:space="preserve">  |  Verbos: Sistematizar, identificar, clasificar, comparar, evaluar</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2E5597" w:sz="6"/>
              <w:left w:val="single" w:color="2E5597" w:sz="6"/>
              <w:bottom w:val="single" w:color="2E5597" w:sz="6"/>
              <w:right w:val="single" w:color="2E5597" w:sz="6"/>
            </w:tcBorders>
            <w:shd w:fill="1F3864" w:val="clear"/>
            <w:tcMar>
              <w:top w:type="dxa" w:w="100"/>
              <w:left w:type="dxa" w:w="180"/>
              <w:bottom w:type="dxa" w:w="80"/>
              <w:right w:type="dxa" w:w="180"/>
            </w:tcMar>
          </w:tcPr>
          <w:p>
            <w:r>
              <w:rPr>
                <w:rFonts w:ascii="Times New Roman" w:cs="Times New Roman" w:eastAsia="Times New Roman" w:hAnsi="Times New Roman"/>
                <w:b/>
                <w:bCs/>
                <w:color w:val="AACCFF"/>
                <w:sz w:val="20"/>
                <w:szCs w:val="20"/>
              </w:rPr>
              <w:t xml:space="preserve">OE3  ·  </w:t>
            </w:r>
            <w:r>
              <w:rPr>
                <w:rFonts w:ascii="Times New Roman" w:cs="Times New Roman" w:eastAsia="Times New Roman" w:hAnsi="Times New Roman"/>
                <w:color w:val="CCDDFF"/>
                <w:sz w:val="18"/>
                <w:szCs w:val="18"/>
              </w:rPr>
              <w:t xml:space="preserve">Verbo rector: </w:t>
            </w:r>
            <w:r>
              <w:rPr>
                <w:rFonts w:ascii="Times New Roman" w:cs="Times New Roman" w:eastAsia="Times New Roman" w:hAnsi="Times New Roman"/>
                <w:b/>
                <w:bCs/>
                <w:color w:val="FFFFFF"/>
                <w:sz w:val="20"/>
                <w:szCs w:val="20"/>
              </w:rPr>
              <w:t xml:space="preserve">DESARROLLAR</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Enunciado</w:t>
            </w:r>
          </w:p>
        </w:tc>
        <w:tc>
          <w:tcPr>
            <w:tcW w:type="dxa" w:w="7760"/>
            <w:tcBorders>
              <w:top w:val="single" w:color="CCCCCC" w:sz="2"/>
              <w:left w:val="single" w:color="CCCCCC" w:sz="2"/>
              <w:bottom w:val="single" w:color="CCCCCC" w:sz="2"/>
              <w:right w:val="single" w:color="2E5597" w:sz="6"/>
            </w:tcBorders>
            <w:shd w:fill="FAFE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Desarrollar y aplicar el análisis estructural MICMAC (Godet, 1993) como herramienta de especificación y jerarquización de variables del sistema post-HIPC, construyendo la Matriz de Influencias Directas de 12 variables, calculando los índices de motricidad y dependencia, y traduciendo los resultados en decisiones de especificación para los modelos econométricos del Capítulo 5.</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Producto esperado</w:t>
            </w:r>
          </w:p>
        </w:tc>
        <w:tc>
          <w:tcPr>
            <w:tcW w:type="dxa" w:w="7760"/>
            <w:tcBorders>
              <w:top w:val="single" w:color="CCCCCC" w:sz="2"/>
              <w:left w:val="single" w:color="CCCCCC" w:sz="2"/>
              <w:bottom w:val="single" w:color="CCCCCC" w:sz="2"/>
              <w:right w:val="single" w:color="2E5597"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Matriz de Influencias Directas (12×12) validada; plano motricidad-dependencia; protocolo de especificación econométrica.</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Hipótesis vinculada</w:t>
            </w:r>
          </w:p>
        </w:tc>
        <w:tc>
          <w:tcPr>
            <w:tcW w:type="dxa" w:w="7760"/>
            <w:tcBorders>
              <w:top w:val="single" w:color="CCCCCC" w:sz="2"/>
              <w:left w:val="single" w:color="CCCCCC" w:sz="2"/>
              <w:bottom w:val="single" w:color="CCCCCC" w:sz="2"/>
              <w:right w:val="single" w:color="2E5597"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H6 (especificación de variables)</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Capítulo</w:t>
            </w:r>
          </w:p>
        </w:tc>
        <w:tc>
          <w:tcPr>
            <w:tcW w:type="dxa" w:w="7760"/>
            <w:tcBorders>
              <w:top w:val="single" w:color="CCCCCC" w:sz="2"/>
              <w:left w:val="single" w:color="CCCCCC" w:sz="2"/>
              <w:bottom w:val="single" w:color="CCCCCC" w:sz="2"/>
              <w:right w:val="single" w:color="2E5597"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Capítulo 3 — Metodología, sección MICMAC.</w:t>
            </w:r>
          </w:p>
        </w:tc>
      </w:tr>
    </w:tbl>
    <w:p>
      <w:pPr>
        <w:spacing w:before="80" w:after="160"/>
        <w:ind w:left="200"/>
      </w:pPr>
      <w:r>
        <w:rPr>
          <w:rFonts w:ascii="Times New Roman" w:cs="Times New Roman" w:eastAsia="Times New Roman" w:hAnsi="Times New Roman"/>
          <w:i/>
          <w:iCs/>
          <w:color w:val="777777"/>
          <w:sz w:val="19"/>
          <w:szCs w:val="19"/>
        </w:rPr>
        <w:t xml:space="preserve">Nivel Bloom: </w:t>
      </w:r>
      <w:r>
        <w:rPr>
          <w:rFonts w:ascii="Times New Roman" w:cs="Times New Roman" w:eastAsia="Times New Roman" w:hAnsi="Times New Roman"/>
          <w:b/>
          <w:bCs/>
          <w:color w:val="2E5597"/>
          <w:sz w:val="19"/>
          <w:szCs w:val="19"/>
        </w:rPr>
        <w:t xml:space="preserve">Creación + Evaluación</w:t>
      </w:r>
      <w:r>
        <w:rPr>
          <w:rFonts w:ascii="Times New Roman" w:cs="Times New Roman" w:eastAsia="Times New Roman" w:hAnsi="Times New Roman"/>
          <w:color w:val="555555"/>
          <w:sz w:val="19"/>
          <w:szCs w:val="19"/>
        </w:rPr>
        <w:t xml:space="preserve">  |  Verbos: Desarrollar, construir, calcular, clasificar, traducir</w:t>
      </w:r>
    </w:p>
    <w:p>
      <w:pPr>
        <w:spacing w:before="0" w:after="0" w:line="240"/>
      </w:pPr>
      <w:r>
        <w:t xml:space="preserve"/>
      </w:r>
    </w:p>
    <w:p>
      <w:pPr>
        <w:spacing w:before="0" w:after="0" w:line="240"/>
      </w:pPr>
      <w:r>
        <w:t xml:space="preserve"/>
      </w:r>
    </w:p>
    <w:p>
      <w:pPr>
        <w:pStyle w:val="Heading2"/>
        <w:spacing w:before="320" w:after="160"/>
      </w:pPr>
      <w:r>
        <w:rPr>
          <w:rFonts w:ascii="Times New Roman" w:cs="Times New Roman" w:eastAsia="Times New Roman" w:hAnsi="Times New Roman"/>
          <w:b/>
          <w:bCs/>
          <w:color w:val="2E5597"/>
          <w:sz w:val="24"/>
          <w:szCs w:val="24"/>
        </w:rPr>
        <w:t xml:space="preserve">1.3.3 Objetivos específicos vinculados a OG2: sostenibilidad de la deuda</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2E5597" w:sz="6"/>
              <w:left w:val="single" w:color="2E5597" w:sz="6"/>
              <w:bottom w:val="single" w:color="2E5597" w:sz="6"/>
              <w:right w:val="single" w:color="2E5597" w:sz="6"/>
            </w:tcBorders>
            <w:shd w:fill="2E5597" w:val="clear"/>
            <w:tcMar>
              <w:top w:type="dxa" w:w="100"/>
              <w:left w:type="dxa" w:w="180"/>
              <w:bottom w:type="dxa" w:w="80"/>
              <w:right w:type="dxa" w:w="180"/>
            </w:tcMar>
          </w:tcPr>
          <w:p>
            <w:r>
              <w:rPr>
                <w:rFonts w:ascii="Times New Roman" w:cs="Times New Roman" w:eastAsia="Times New Roman" w:hAnsi="Times New Roman"/>
                <w:b/>
                <w:bCs/>
                <w:color w:val="AACCFF"/>
                <w:sz w:val="20"/>
                <w:szCs w:val="20"/>
              </w:rPr>
              <w:t xml:space="preserve">OE4  ·  </w:t>
            </w:r>
            <w:r>
              <w:rPr>
                <w:rFonts w:ascii="Times New Roman" w:cs="Times New Roman" w:eastAsia="Times New Roman" w:hAnsi="Times New Roman"/>
                <w:color w:val="CCDDFF"/>
                <w:sz w:val="18"/>
                <w:szCs w:val="18"/>
              </w:rPr>
              <w:t xml:space="preserve">Verbo rector: </w:t>
            </w:r>
            <w:r>
              <w:rPr>
                <w:rFonts w:ascii="Times New Roman" w:cs="Times New Roman" w:eastAsia="Times New Roman" w:hAnsi="Times New Roman"/>
                <w:b/>
                <w:bCs/>
                <w:color w:val="FFFFFF"/>
                <w:sz w:val="20"/>
                <w:szCs w:val="20"/>
              </w:rPr>
              <w:t xml:space="preserve">ESTIMAR</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Enunciado</w:t>
            </w:r>
          </w:p>
        </w:tc>
        <w:tc>
          <w:tcPr>
            <w:tcW w:type="dxa" w:w="7760"/>
            <w:tcBorders>
              <w:top w:val="single" w:color="CCCCCC" w:sz="2"/>
              <w:left w:val="single" w:color="CCCCCC" w:sz="2"/>
              <w:bottom w:val="single" w:color="CCCCCC" w:sz="2"/>
              <w:right w:val="single" w:color="2E5597" w:sz="6"/>
            </w:tcBorders>
            <w:shd w:fill="FAFE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Estimar el efecto causal del alivio de deuda concedido en el marco de la Iniciativa HIPC sobre los ratios de endeudamiento externo de los países beneficiarios, utilizando el método de diferencias en diferencias (DiD), el estimador de Callaway &amp; Sant'Anna (2021) y el DDD con grupo de control no-HIPC para construir contrafácticos, e identificando mediante tests de ruptura estructural (Bai &amp; Perron, 1998) si el efecto del alivio fue transitorio o persistente.</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Producto esperado</w:t>
            </w:r>
          </w:p>
        </w:tc>
        <w:tc>
          <w:tcPr>
            <w:tcW w:type="dxa" w:w="7760"/>
            <w:tcBorders>
              <w:top w:val="single" w:color="CCCCCC" w:sz="2"/>
              <w:left w:val="single" w:color="CCCCCC" w:sz="2"/>
              <w:bottom w:val="single" w:color="CCCCCC" w:sz="2"/>
              <w:right w:val="single" w:color="2E5597"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Modelos DiD, DDD y CS estimados; tablas de resultados con coeficientes e IC al 95%; análisis de robustez; gráficos de event-study.</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Hipótesis vinculada</w:t>
            </w:r>
          </w:p>
        </w:tc>
        <w:tc>
          <w:tcPr>
            <w:tcW w:type="dxa" w:w="7760"/>
            <w:tcBorders>
              <w:top w:val="single" w:color="CCCCCC" w:sz="2"/>
              <w:left w:val="single" w:color="CCCCCC" w:sz="2"/>
              <w:bottom w:val="single" w:color="CCCCCC" w:sz="2"/>
              <w:right w:val="single" w:color="2E5597"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H1 — Efecto causal inmediato</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Capítulo</w:t>
            </w:r>
          </w:p>
        </w:tc>
        <w:tc>
          <w:tcPr>
            <w:tcW w:type="dxa" w:w="7760"/>
            <w:tcBorders>
              <w:top w:val="single" w:color="CCCCCC" w:sz="2"/>
              <w:left w:val="single" w:color="CCCCCC" w:sz="2"/>
              <w:bottom w:val="single" w:color="CCCCCC" w:sz="2"/>
              <w:right w:val="single" w:color="2E5597"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Capítulo 4 — §4.1.</w:t>
            </w:r>
          </w:p>
        </w:tc>
      </w:tr>
    </w:tbl>
    <w:p>
      <w:pPr>
        <w:spacing w:before="80" w:after="160"/>
        <w:ind w:left="200"/>
      </w:pPr>
      <w:r>
        <w:rPr>
          <w:rFonts w:ascii="Times New Roman" w:cs="Times New Roman" w:eastAsia="Times New Roman" w:hAnsi="Times New Roman"/>
          <w:i/>
          <w:iCs/>
          <w:color w:val="777777"/>
          <w:sz w:val="19"/>
          <w:szCs w:val="19"/>
        </w:rPr>
        <w:t xml:space="preserve">Nivel Bloom: </w:t>
      </w:r>
      <w:r>
        <w:rPr>
          <w:rFonts w:ascii="Times New Roman" w:cs="Times New Roman" w:eastAsia="Times New Roman" w:hAnsi="Times New Roman"/>
          <w:b/>
          <w:bCs/>
          <w:color w:val="2E5597"/>
          <w:sz w:val="19"/>
          <w:szCs w:val="19"/>
        </w:rPr>
        <w:t xml:space="preserve">Evaluación + Creación</w:t>
      </w:r>
      <w:r>
        <w:rPr>
          <w:rFonts w:ascii="Times New Roman" w:cs="Times New Roman" w:eastAsia="Times New Roman" w:hAnsi="Times New Roman"/>
          <w:color w:val="555555"/>
          <w:sz w:val="19"/>
          <w:szCs w:val="19"/>
        </w:rPr>
        <w:t xml:space="preserve">  |  Verbos: Estimar, construir, identificar, contrastar, analizar</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2E5597" w:sz="6"/>
              <w:left w:val="single" w:color="2E5597" w:sz="6"/>
              <w:bottom w:val="single" w:color="2E5597" w:sz="6"/>
              <w:right w:val="single" w:color="2E5597" w:sz="6"/>
            </w:tcBorders>
            <w:shd w:fill="2E5597" w:val="clear"/>
            <w:tcMar>
              <w:top w:type="dxa" w:w="100"/>
              <w:left w:type="dxa" w:w="180"/>
              <w:bottom w:type="dxa" w:w="80"/>
              <w:right w:type="dxa" w:w="180"/>
            </w:tcMar>
          </w:tcPr>
          <w:p>
            <w:r>
              <w:rPr>
                <w:rFonts w:ascii="Times New Roman" w:cs="Times New Roman" w:eastAsia="Times New Roman" w:hAnsi="Times New Roman"/>
                <w:b/>
                <w:bCs/>
                <w:color w:val="AACCFF"/>
                <w:sz w:val="20"/>
                <w:szCs w:val="20"/>
              </w:rPr>
              <w:t xml:space="preserve">OE5  ·  </w:t>
            </w:r>
            <w:r>
              <w:rPr>
                <w:rFonts w:ascii="Times New Roman" w:cs="Times New Roman" w:eastAsia="Times New Roman" w:hAnsi="Times New Roman"/>
                <w:color w:val="CCDDFF"/>
                <w:sz w:val="18"/>
                <w:szCs w:val="18"/>
              </w:rPr>
              <w:t xml:space="preserve">Verbo rector: </w:t>
            </w:r>
            <w:r>
              <w:rPr>
                <w:rFonts w:ascii="Times New Roman" w:cs="Times New Roman" w:eastAsia="Times New Roman" w:hAnsi="Times New Roman"/>
                <w:b/>
                <w:bCs/>
                <w:color w:val="FFFFFF"/>
                <w:sz w:val="20"/>
                <w:szCs w:val="20"/>
              </w:rPr>
              <w:t xml:space="preserve">DOCUMENTAR Y ANALIZAR</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Enunciado</w:t>
            </w:r>
          </w:p>
        </w:tc>
        <w:tc>
          <w:tcPr>
            <w:tcW w:type="dxa" w:w="7760"/>
            <w:tcBorders>
              <w:top w:val="single" w:color="CCCCCC" w:sz="2"/>
              <w:left w:val="single" w:color="CCCCCC" w:sz="2"/>
              <w:bottom w:val="single" w:color="CCCCCC" w:sz="2"/>
              <w:right w:val="single" w:color="2E5597" w:sz="6"/>
            </w:tcBorders>
            <w:shd w:fill="FAFE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Documentar y analizar el fenómeno del reendeudamiento post-HIPC con acreedores no tradicionales —especialmente China y los mercados internacionales de bonos— en el período 2010–2022, cuantificando el stock de nueva deuda contraída, sus condiciones financieras y sus determinantes institucionales, y evaluando si la probabilidad de reingreso en situación de sobreendeudamiento elevado es significativamente mayor en los países post-HIPC mediante modelos de supervivencia (Cox, 1972).</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Producto esperado</w:t>
            </w:r>
          </w:p>
        </w:tc>
        <w:tc>
          <w:tcPr>
            <w:tcW w:type="dxa" w:w="7760"/>
            <w:tcBorders>
              <w:top w:val="single" w:color="CCCCCC" w:sz="2"/>
              <w:left w:val="single" w:color="CCCCCC" w:sz="2"/>
              <w:bottom w:val="single" w:color="CCCCCC" w:sz="2"/>
              <w:right w:val="single" w:color="2E5597"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Base de datos sobre nueva deuda post-HIPC; modelos de supervivencia estimados; análisis descriptivo de condiciones financieras de la deuda china.</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Hipótesis vinculada</w:t>
            </w:r>
          </w:p>
        </w:tc>
        <w:tc>
          <w:tcPr>
            <w:tcW w:type="dxa" w:w="7760"/>
            <w:tcBorders>
              <w:top w:val="single" w:color="CCCCCC" w:sz="2"/>
              <w:left w:val="single" w:color="CCCCCC" w:sz="2"/>
              <w:bottom w:val="single" w:color="CCCCCC" w:sz="2"/>
              <w:right w:val="single" w:color="2E5597"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H7 — Paradoja del reendeudamiento</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Capítulo</w:t>
            </w:r>
          </w:p>
        </w:tc>
        <w:tc>
          <w:tcPr>
            <w:tcW w:type="dxa" w:w="7760"/>
            <w:tcBorders>
              <w:top w:val="single" w:color="CCCCCC" w:sz="2"/>
              <w:left w:val="single" w:color="CCCCCC" w:sz="2"/>
              <w:bottom w:val="single" w:color="CCCCCC" w:sz="2"/>
              <w:right w:val="single" w:color="2E5597"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Capítulo 4 (§4.6) y Capítulo 6.</w:t>
            </w:r>
          </w:p>
        </w:tc>
      </w:tr>
    </w:tbl>
    <w:p>
      <w:pPr>
        <w:spacing w:before="80" w:after="160"/>
        <w:ind w:left="200"/>
      </w:pPr>
      <w:r>
        <w:rPr>
          <w:rFonts w:ascii="Times New Roman" w:cs="Times New Roman" w:eastAsia="Times New Roman" w:hAnsi="Times New Roman"/>
          <w:i/>
          <w:iCs/>
          <w:color w:val="777777"/>
          <w:sz w:val="19"/>
          <w:szCs w:val="19"/>
        </w:rPr>
        <w:t xml:space="preserve">Nivel Bloom: </w:t>
      </w:r>
      <w:r>
        <w:rPr>
          <w:rFonts w:ascii="Times New Roman" w:cs="Times New Roman" w:eastAsia="Times New Roman" w:hAnsi="Times New Roman"/>
          <w:b/>
          <w:bCs/>
          <w:color w:val="2E5597"/>
          <w:sz w:val="19"/>
          <w:szCs w:val="19"/>
        </w:rPr>
        <w:t xml:space="preserve">Análisis + Evaluación</w:t>
      </w:r>
      <w:r>
        <w:rPr>
          <w:rFonts w:ascii="Times New Roman" w:cs="Times New Roman" w:eastAsia="Times New Roman" w:hAnsi="Times New Roman"/>
          <w:color w:val="555555"/>
          <w:sz w:val="19"/>
          <w:szCs w:val="19"/>
        </w:rPr>
        <w:t xml:space="preserve">  |  Verbos: Documentar, cuantificar, analizar, evaluar, contrastar</w:t>
      </w:r>
    </w:p>
    <w:p>
      <w:pPr>
        <w:spacing w:before="0" w:after="0" w:line="240"/>
      </w:pPr>
      <w:r>
        <w:t xml:space="preserve"/>
      </w:r>
    </w:p>
    <w:p>
      <w:pPr>
        <w:spacing w:before="0" w:after="0" w:line="240"/>
      </w:pPr>
      <w:r>
        <w:t xml:space="preserve"/>
      </w:r>
    </w:p>
    <w:p>
      <w:pPr>
        <w:pStyle w:val="Heading2"/>
        <w:spacing w:before="320" w:after="160"/>
      </w:pPr>
      <w:r>
        <w:rPr>
          <w:rFonts w:ascii="Times New Roman" w:cs="Times New Roman" w:eastAsia="Times New Roman" w:hAnsi="Times New Roman"/>
          <w:b/>
          <w:bCs/>
          <w:color w:val="2E5597"/>
          <w:sz w:val="24"/>
          <w:szCs w:val="24"/>
        </w:rPr>
        <w:t xml:space="preserve">1.3.4 Objetivos específicos vinculados a OG3: condicionalidades, gobernanza e impacto social</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2E5597" w:sz="6"/>
              <w:left w:val="single" w:color="2E5597" w:sz="6"/>
              <w:bottom w:val="single" w:color="2E5597" w:sz="6"/>
              <w:right w:val="single" w:color="2E5597" w:sz="6"/>
            </w:tcBorders>
            <w:shd w:fill="1A5276" w:val="clear"/>
            <w:tcMar>
              <w:top w:type="dxa" w:w="100"/>
              <w:left w:type="dxa" w:w="180"/>
              <w:bottom w:type="dxa" w:w="80"/>
              <w:right w:type="dxa" w:w="180"/>
            </w:tcMar>
          </w:tcPr>
          <w:p>
            <w:r>
              <w:rPr>
                <w:rFonts w:ascii="Times New Roman" w:cs="Times New Roman" w:eastAsia="Times New Roman" w:hAnsi="Times New Roman"/>
                <w:b/>
                <w:bCs/>
                <w:color w:val="AACCFF"/>
                <w:sz w:val="20"/>
                <w:szCs w:val="20"/>
              </w:rPr>
              <w:t xml:space="preserve">OE6  ·  </w:t>
            </w:r>
            <w:r>
              <w:rPr>
                <w:rFonts w:ascii="Times New Roman" w:cs="Times New Roman" w:eastAsia="Times New Roman" w:hAnsi="Times New Roman"/>
                <w:color w:val="CCDDFF"/>
                <w:sz w:val="18"/>
                <w:szCs w:val="18"/>
              </w:rPr>
              <w:t xml:space="preserve">Verbo rector: </w:t>
            </w:r>
            <w:r>
              <w:rPr>
                <w:rFonts w:ascii="Times New Roman" w:cs="Times New Roman" w:eastAsia="Times New Roman" w:hAnsi="Times New Roman"/>
                <w:b/>
                <w:bCs/>
                <w:color w:val="FFFFFF"/>
                <w:sz w:val="20"/>
                <w:szCs w:val="20"/>
              </w:rPr>
              <w:t xml:space="preserve">CUANTIFICAR</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Enunciado</w:t>
            </w:r>
          </w:p>
        </w:tc>
        <w:tc>
          <w:tcPr>
            <w:tcW w:type="dxa" w:w="7760"/>
            <w:tcBorders>
              <w:top w:val="single" w:color="CCCCCC" w:sz="2"/>
              <w:left w:val="single" w:color="CCCCCC" w:sz="2"/>
              <w:bottom w:val="single" w:color="CCCCCC" w:sz="2"/>
              <w:right w:val="single" w:color="2E5597" w:sz="6"/>
            </w:tcBorders>
            <w:shd w:fill="FAFE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Cuantificar la brecha entre las condicionalidades estructurales formalmente exigidas por el FMI y el Banco Mundial en los programas PRGF/ECF vinculados a la HIPC y el grado de cumplimiento efectivo registrado, construyendo un índice compuesto de cumplimiento de condicionalidades mediante análisis de componentes principales, e identificando mediante 2SLS si dicha brecha responde a criterios técnicos de desempeño macroeconómico o a la importancia geopolítica del país deudor (Stone, 2008), usando ht_colonial y TradeSaliency como instrumentos.</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Producto esperado</w:t>
            </w:r>
          </w:p>
        </w:tc>
        <w:tc>
          <w:tcPr>
            <w:tcW w:type="dxa" w:w="7760"/>
            <w:tcBorders>
              <w:top w:val="single" w:color="CCCCCC" w:sz="2"/>
              <w:left w:val="single" w:color="CCCCCC" w:sz="2"/>
              <w:bottom w:val="single" w:color="CCCCCC" w:sz="2"/>
              <w:right w:val="single" w:color="2E5597"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ICP construido mediante ACP; modelos de regresión logística y de duración estimados; tabla de clasificación de países por nivel de cumplimiento.</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Hipótesis vinculada</w:t>
            </w:r>
          </w:p>
        </w:tc>
        <w:tc>
          <w:tcPr>
            <w:tcW w:type="dxa" w:w="7760"/>
            <w:tcBorders>
              <w:top w:val="single" w:color="CCCCCC" w:sz="2"/>
              <w:left w:val="single" w:color="CCCCCC" w:sz="2"/>
              <w:bottom w:val="single" w:color="CCCCCC" w:sz="2"/>
              <w:right w:val="single" w:color="2E5597"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H3 y H4</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Capítulo</w:t>
            </w:r>
          </w:p>
        </w:tc>
        <w:tc>
          <w:tcPr>
            <w:tcW w:type="dxa" w:w="7760"/>
            <w:tcBorders>
              <w:top w:val="single" w:color="CCCCCC" w:sz="2"/>
              <w:left w:val="single" w:color="CCCCCC" w:sz="2"/>
              <w:bottom w:val="single" w:color="CCCCCC" w:sz="2"/>
              <w:right w:val="single" w:color="2E5597"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Capítulo 5 — §5.1 y §5.2.</w:t>
            </w:r>
          </w:p>
        </w:tc>
      </w:tr>
    </w:tbl>
    <w:p>
      <w:pPr>
        <w:spacing w:before="80" w:after="160"/>
        <w:ind w:left="200"/>
      </w:pPr>
      <w:r>
        <w:rPr>
          <w:rFonts w:ascii="Times New Roman" w:cs="Times New Roman" w:eastAsia="Times New Roman" w:hAnsi="Times New Roman"/>
          <w:i/>
          <w:iCs/>
          <w:color w:val="777777"/>
          <w:sz w:val="19"/>
          <w:szCs w:val="19"/>
        </w:rPr>
        <w:t xml:space="preserve">Nivel Bloom: </w:t>
      </w:r>
      <w:r>
        <w:rPr>
          <w:rFonts w:ascii="Times New Roman" w:cs="Times New Roman" w:eastAsia="Times New Roman" w:hAnsi="Times New Roman"/>
          <w:b/>
          <w:bCs/>
          <w:color w:val="2E5597"/>
          <w:sz w:val="19"/>
          <w:szCs w:val="19"/>
        </w:rPr>
        <w:t xml:space="preserve">Creación + Análisis</w:t>
      </w:r>
      <w:r>
        <w:rPr>
          <w:rFonts w:ascii="Times New Roman" w:cs="Times New Roman" w:eastAsia="Times New Roman" w:hAnsi="Times New Roman"/>
          <w:color w:val="555555"/>
          <w:sz w:val="19"/>
          <w:szCs w:val="19"/>
        </w:rPr>
        <w:t xml:space="preserve">  |  Verbos: Cuantificar, construir, identificar, clasificar, contrastar</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2E5597" w:sz="6"/>
              <w:left w:val="single" w:color="2E5597" w:sz="6"/>
              <w:bottom w:val="single" w:color="2E5597" w:sz="6"/>
              <w:right w:val="single" w:color="2E5597" w:sz="6"/>
            </w:tcBorders>
            <w:shd w:fill="1A5276" w:val="clear"/>
            <w:tcMar>
              <w:top w:type="dxa" w:w="100"/>
              <w:left w:type="dxa" w:w="180"/>
              <w:bottom w:type="dxa" w:w="80"/>
              <w:right w:type="dxa" w:w="180"/>
            </w:tcMar>
          </w:tcPr>
          <w:p>
            <w:r>
              <w:rPr>
                <w:rFonts w:ascii="Times New Roman" w:cs="Times New Roman" w:eastAsia="Times New Roman" w:hAnsi="Times New Roman"/>
                <w:b/>
                <w:bCs/>
                <w:color w:val="AACCFF"/>
                <w:sz w:val="20"/>
                <w:szCs w:val="20"/>
              </w:rPr>
              <w:t xml:space="preserve">OE7  ·  </w:t>
            </w:r>
            <w:r>
              <w:rPr>
                <w:rFonts w:ascii="Times New Roman" w:cs="Times New Roman" w:eastAsia="Times New Roman" w:hAnsi="Times New Roman"/>
                <w:color w:val="CCDDFF"/>
                <w:sz w:val="18"/>
                <w:szCs w:val="18"/>
              </w:rPr>
              <w:t xml:space="preserve">Verbo rector: </w:t>
            </w:r>
            <w:r>
              <w:rPr>
                <w:rFonts w:ascii="Times New Roman" w:cs="Times New Roman" w:eastAsia="Times New Roman" w:hAnsi="Times New Roman"/>
                <w:b/>
                <w:bCs/>
                <w:color w:val="FFFFFF"/>
                <w:sz w:val="20"/>
                <w:szCs w:val="20"/>
              </w:rPr>
              <w:t xml:space="preserve">EVALUAR</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Enunciado</w:t>
            </w:r>
          </w:p>
        </w:tc>
        <w:tc>
          <w:tcPr>
            <w:tcW w:type="dxa" w:w="7760"/>
            <w:tcBorders>
              <w:top w:val="single" w:color="CCCCCC" w:sz="2"/>
              <w:left w:val="single" w:color="CCCCCC" w:sz="2"/>
              <w:bottom w:val="single" w:color="CCCCCC" w:sz="2"/>
              <w:right w:val="single" w:color="2E5597" w:sz="6"/>
            </w:tcBorders>
            <w:shd w:fill="FAFE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Evaluar el impacto del alivio de deuda HIPC sobre los indicadores de desarrollo humano —gasto público en educación y salud, mortalidad infantil, índice de Gini e IDH— de los países beneficiarios, utilizando modelos de panel con términos de interacción entre gasto social e IGC/IGA, y aplicando análisis de mediación estadística (Imai et al., 2010) para identificar los canales de transmisión del alivio hacia el bienestar social.</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Producto esperado</w:t>
            </w:r>
          </w:p>
        </w:tc>
        <w:tc>
          <w:tcPr>
            <w:tcW w:type="dxa" w:w="7760"/>
            <w:tcBorders>
              <w:top w:val="single" w:color="CCCCCC" w:sz="2"/>
              <w:left w:val="single" w:color="CCCCCC" w:sz="2"/>
              <w:bottom w:val="single" w:color="CCCCCC" w:sz="2"/>
              <w:right w:val="single" w:color="2E5597"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Modelos de regresión de panel estimados para cada indicador de desarrollo humano; análisis de mediación con efectos directos, indirectos y totales; gráficos de interacción.</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Hipótesis vinculada</w:t>
            </w:r>
          </w:p>
        </w:tc>
        <w:tc>
          <w:tcPr>
            <w:tcW w:type="dxa" w:w="7760"/>
            <w:tcBorders>
              <w:top w:val="single" w:color="CCCCCC" w:sz="2"/>
              <w:left w:val="single" w:color="CCCCCC" w:sz="2"/>
              <w:bottom w:val="single" w:color="CCCCCC" w:sz="2"/>
              <w:right w:val="single" w:color="2E5597"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H5 — Impacto social moderado por gobernanza</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Capítulo</w:t>
            </w:r>
          </w:p>
        </w:tc>
        <w:tc>
          <w:tcPr>
            <w:tcW w:type="dxa" w:w="7760"/>
            <w:tcBorders>
              <w:top w:val="single" w:color="CCCCCC" w:sz="2"/>
              <w:left w:val="single" w:color="CCCCCC" w:sz="2"/>
              <w:bottom w:val="single" w:color="CCCCCC" w:sz="2"/>
              <w:right w:val="single" w:color="2E5597"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Capítulo 5 — §5.3.</w:t>
            </w:r>
          </w:p>
        </w:tc>
      </w:tr>
    </w:tbl>
    <w:p>
      <w:pPr>
        <w:spacing w:before="80" w:after="160"/>
        <w:ind w:left="200"/>
      </w:pPr>
      <w:r>
        <w:rPr>
          <w:rFonts w:ascii="Times New Roman" w:cs="Times New Roman" w:eastAsia="Times New Roman" w:hAnsi="Times New Roman"/>
          <w:i/>
          <w:iCs/>
          <w:color w:val="777777"/>
          <w:sz w:val="19"/>
          <w:szCs w:val="19"/>
        </w:rPr>
        <w:t xml:space="preserve">Nivel Bloom: </w:t>
      </w:r>
      <w:r>
        <w:rPr>
          <w:rFonts w:ascii="Times New Roman" w:cs="Times New Roman" w:eastAsia="Times New Roman" w:hAnsi="Times New Roman"/>
          <w:b/>
          <w:bCs/>
          <w:color w:val="2E5597"/>
          <w:sz w:val="19"/>
          <w:szCs w:val="19"/>
        </w:rPr>
        <w:t xml:space="preserve">Evaluación + Análisis</w:t>
      </w:r>
      <w:r>
        <w:rPr>
          <w:rFonts w:ascii="Times New Roman" w:cs="Times New Roman" w:eastAsia="Times New Roman" w:hAnsi="Times New Roman"/>
          <w:color w:val="555555"/>
          <w:sz w:val="19"/>
          <w:szCs w:val="19"/>
        </w:rPr>
        <w:t xml:space="preserve">  |  Verbos: Evaluar, identificar, estimar, aplicar, ilustrar</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2E5597" w:sz="6"/>
              <w:left w:val="single" w:color="2E5597" w:sz="6"/>
              <w:bottom w:val="single" w:color="2E5597" w:sz="6"/>
              <w:right w:val="single" w:color="2E5597" w:sz="6"/>
            </w:tcBorders>
            <w:shd w:fill="1A5276" w:val="clear"/>
            <w:tcMar>
              <w:top w:type="dxa" w:w="100"/>
              <w:left w:type="dxa" w:w="180"/>
              <w:bottom w:type="dxa" w:w="80"/>
              <w:right w:type="dxa" w:w="180"/>
            </w:tcMar>
          </w:tcPr>
          <w:p>
            <w:r>
              <w:rPr>
                <w:rFonts w:ascii="Times New Roman" w:cs="Times New Roman" w:eastAsia="Times New Roman" w:hAnsi="Times New Roman"/>
                <w:b/>
                <w:bCs/>
                <w:color w:val="AACCFF"/>
                <w:sz w:val="20"/>
                <w:szCs w:val="20"/>
              </w:rPr>
              <w:t xml:space="preserve">OE8  ·  </w:t>
            </w:r>
            <w:r>
              <w:rPr>
                <w:rFonts w:ascii="Times New Roman" w:cs="Times New Roman" w:eastAsia="Times New Roman" w:hAnsi="Times New Roman"/>
                <w:color w:val="CCDDFF"/>
                <w:sz w:val="18"/>
                <w:szCs w:val="18"/>
              </w:rPr>
              <w:t xml:space="preserve">Verbo rector: </w:t>
            </w:r>
            <w:r>
              <w:rPr>
                <w:rFonts w:ascii="Times New Roman" w:cs="Times New Roman" w:eastAsia="Times New Roman" w:hAnsi="Times New Roman"/>
                <w:b/>
                <w:bCs/>
                <w:color w:val="FFFFFF"/>
                <w:sz w:val="20"/>
                <w:szCs w:val="20"/>
              </w:rPr>
              <w:t xml:space="preserve">CONTRASTAR</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Enunciado</w:t>
            </w:r>
          </w:p>
        </w:tc>
        <w:tc>
          <w:tcPr>
            <w:tcW w:type="dxa" w:w="7760"/>
            <w:tcBorders>
              <w:top w:val="single" w:color="CCCCCC" w:sz="2"/>
              <w:left w:val="single" w:color="CCCCCC" w:sz="2"/>
              <w:bottom w:val="single" w:color="CCCCCC" w:sz="2"/>
              <w:right w:val="single" w:color="2E5597" w:sz="6"/>
            </w:tcBorders>
            <w:shd w:fill="FAFE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Contrastar empíricamente la hipótesis de que la calidad institucional previa —medida por IGC e IGA construidos del QoG Institute con series desde 1900— tiene mayor poder explicativo sobre los resultados post-HIPC que el monto del alivio recibido y las variables macroeconómicas de control, aplicando el análisis de dominancia (Azen &amp; Budescu, 2003) para descomponer el R² en contribuciones individuales de cada predictor, y modelos de regresión cuantílica para verificar si el efecto es homogéneo a lo largo de la distribución de resultados.</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Producto esperado</w:t>
            </w:r>
          </w:p>
        </w:tc>
        <w:tc>
          <w:tcPr>
            <w:tcW w:type="dxa" w:w="7760"/>
            <w:tcBorders>
              <w:top w:val="single" w:color="CCCCCC" w:sz="2"/>
              <w:left w:val="single" w:color="CCCCCC" w:sz="2"/>
              <w:bottom w:val="single" w:color="CCCCCC" w:sz="2"/>
              <w:right w:val="single" w:color="2E5597"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Resultados del análisis de dominancia con contribuciones al R² de IGC, IGA, ln_relief, gdppc, trade e inf; regresión cuantílica en percentiles 10, 25, 50, 75 y 90; tabla comparativa de poder explicativo institucional vs. financiero.</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Hipótesis vinculada</w:t>
            </w:r>
          </w:p>
        </w:tc>
        <w:tc>
          <w:tcPr>
            <w:tcW w:type="dxa" w:w="7760"/>
            <w:tcBorders>
              <w:top w:val="single" w:color="CCCCCC" w:sz="2"/>
              <w:left w:val="single" w:color="CCCCCC" w:sz="2"/>
              <w:bottom w:val="single" w:color="CCCCCC" w:sz="2"/>
              <w:right w:val="single" w:color="2E5597"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H6 — Primacía de la gobernanza institucional</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Capítulo</w:t>
            </w:r>
          </w:p>
        </w:tc>
        <w:tc>
          <w:tcPr>
            <w:tcW w:type="dxa" w:w="7760"/>
            <w:tcBorders>
              <w:top w:val="single" w:color="CCCCCC" w:sz="2"/>
              <w:left w:val="single" w:color="CCCCCC" w:sz="2"/>
              <w:bottom w:val="single" w:color="CCCCCC" w:sz="2"/>
              <w:right w:val="single" w:color="2E5597"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Capítulo 5 — §5.4.</w:t>
            </w:r>
          </w:p>
        </w:tc>
      </w:tr>
    </w:tbl>
    <w:p>
      <w:pPr>
        <w:spacing w:before="80" w:after="160"/>
        <w:ind w:left="200"/>
      </w:pPr>
      <w:r>
        <w:rPr>
          <w:rFonts w:ascii="Times New Roman" w:cs="Times New Roman" w:eastAsia="Times New Roman" w:hAnsi="Times New Roman"/>
          <w:i/>
          <w:iCs/>
          <w:color w:val="777777"/>
          <w:sz w:val="19"/>
          <w:szCs w:val="19"/>
        </w:rPr>
        <w:t xml:space="preserve">Nivel Bloom: </w:t>
      </w:r>
      <w:r>
        <w:rPr>
          <w:rFonts w:ascii="Times New Roman" w:cs="Times New Roman" w:eastAsia="Times New Roman" w:hAnsi="Times New Roman"/>
          <w:b/>
          <w:bCs/>
          <w:color w:val="2E5597"/>
          <w:sz w:val="19"/>
          <w:szCs w:val="19"/>
        </w:rPr>
        <w:t xml:space="preserve">Evaluación + Creación</w:t>
      </w:r>
      <w:r>
        <w:rPr>
          <w:rFonts w:ascii="Times New Roman" w:cs="Times New Roman" w:eastAsia="Times New Roman" w:hAnsi="Times New Roman"/>
          <w:color w:val="555555"/>
          <w:sz w:val="19"/>
          <w:szCs w:val="19"/>
        </w:rPr>
        <w:t xml:space="preserve">  |  Verbos: Contrastar, aplicar, descomponer, verificar, comparar</w:t>
      </w:r>
    </w:p>
    <w:p>
      <w:pPr>
        <w:spacing w:before="0" w:after="0" w:line="240"/>
      </w:pPr>
      <w:r>
        <w:t xml:space="preserve"/>
      </w:r>
    </w:p>
    <w:p>
      <w:pPr>
        <w:spacing w:before="0" w:after="0" w:line="240"/>
      </w:pPr>
      <w:r>
        <w:t xml:space="preserve"/>
      </w:r>
    </w:p>
    <w:p>
      <w:pPr>
        <w:pStyle w:val="Heading2"/>
        <w:spacing w:before="320" w:after="160"/>
      </w:pPr>
      <w:r>
        <w:rPr>
          <w:rFonts w:ascii="Times New Roman" w:cs="Times New Roman" w:eastAsia="Times New Roman" w:hAnsi="Times New Roman"/>
          <w:b/>
          <w:bCs/>
          <w:color w:val="2E5597"/>
          <w:sz w:val="24"/>
          <w:szCs w:val="24"/>
        </w:rPr>
        <w:t xml:space="preserve">1.3.5 Objetivo específico vinculado a OG4: análisis comparado y conclusiones</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2E5597" w:sz="6"/>
              <w:left w:val="single" w:color="2E5597" w:sz="6"/>
              <w:bottom w:val="single" w:color="2E5597" w:sz="6"/>
              <w:right w:val="single" w:color="2E5597" w:sz="6"/>
            </w:tcBorders>
            <w:shd w:fill="17202A" w:val="clear"/>
            <w:tcMar>
              <w:top w:type="dxa" w:w="100"/>
              <w:left w:type="dxa" w:w="180"/>
              <w:bottom w:type="dxa" w:w="80"/>
              <w:right w:type="dxa" w:w="180"/>
            </w:tcMar>
          </w:tcPr>
          <w:p>
            <w:r>
              <w:rPr>
                <w:rFonts w:ascii="Times New Roman" w:cs="Times New Roman" w:eastAsia="Times New Roman" w:hAnsi="Times New Roman"/>
                <w:b/>
                <w:bCs/>
                <w:color w:val="AACCFF"/>
                <w:sz w:val="20"/>
                <w:szCs w:val="20"/>
              </w:rPr>
              <w:t xml:space="preserve">OE9  ·  </w:t>
            </w:r>
            <w:r>
              <w:rPr>
                <w:rFonts w:ascii="Times New Roman" w:cs="Times New Roman" w:eastAsia="Times New Roman" w:hAnsi="Times New Roman"/>
                <w:color w:val="CCDDFF"/>
                <w:sz w:val="18"/>
                <w:szCs w:val="18"/>
              </w:rPr>
              <w:t xml:space="preserve">Verbo rector: </w:t>
            </w:r>
            <w:r>
              <w:rPr>
                <w:rFonts w:ascii="Times New Roman" w:cs="Times New Roman" w:eastAsia="Times New Roman" w:hAnsi="Times New Roman"/>
                <w:b/>
                <w:bCs/>
                <w:color w:val="FFFFFF"/>
                <w:sz w:val="20"/>
                <w:szCs w:val="20"/>
              </w:rPr>
              <w:t xml:space="preserve">COMPARAR Y PROPONER</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Enunciado</w:t>
            </w:r>
          </w:p>
        </w:tc>
        <w:tc>
          <w:tcPr>
            <w:tcW w:type="dxa" w:w="7760"/>
            <w:tcBorders>
              <w:top w:val="single" w:color="CCCCCC" w:sz="2"/>
              <w:left w:val="single" w:color="CCCCCC" w:sz="2"/>
              <w:bottom w:val="single" w:color="CCCCCC" w:sz="2"/>
              <w:right w:val="single" w:color="2E5597" w:sz="6"/>
            </w:tcBorders>
            <w:shd w:fill="FAFE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Comparar las trayectorias de deuda, gobernanza e impacto social de los países HIPC a escala regional —África subsahariana, América Latina y el Caribe, Asia— y mediante estudios de caso en profundidad —Uganda, Tanzania, Mozambique, Bolivia, Honduras, Ghana, Zambia—, identificando los factores explicativos de la heterogeneidad de resultados dentro de la muestra, y proponer recomendaciones de política económica para el rediseño del G20 Common Framework que incorpore la primacía institucional como criterio de elegibilidad y condicionalidad de efectividad del alivio de deuda soberana.</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Producto esperado</w:t>
            </w:r>
          </w:p>
        </w:tc>
        <w:tc>
          <w:tcPr>
            <w:tcW w:type="dxa" w:w="7760"/>
            <w:tcBorders>
              <w:top w:val="single" w:color="CCCCCC" w:sz="2"/>
              <w:left w:val="single" w:color="CCCCCC" w:sz="2"/>
              <w:bottom w:val="single" w:color="CCCCCC" w:sz="2"/>
              <w:right w:val="single" w:color="2E5597"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Análisis comparativo regional; siete fichas de estudio de caso estandarizadas; conjunto de recomendaciones estructuradas en tres niveles —diseño del mecanismo, condicionalidades y monitoreo— con fundamentación empírica en H1–H7.</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Hipótesis vinculada</w:t>
            </w:r>
          </w:p>
        </w:tc>
        <w:tc>
          <w:tcPr>
            <w:tcW w:type="dxa" w:w="7760"/>
            <w:tcBorders>
              <w:top w:val="single" w:color="CCCCCC" w:sz="2"/>
              <w:left w:val="single" w:color="CCCCCC" w:sz="2"/>
              <w:bottom w:val="single" w:color="CCCCCC" w:sz="2"/>
              <w:right w:val="single" w:color="2E5597"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H1–H7 (síntesis de todos los grupos)</w:t>
            </w:r>
          </w:p>
        </w:tc>
      </w:tr>
      <w:tr>
        <w:tc>
          <w:tcPr>
            <w:tcW w:type="dxa" w:w="1600"/>
            <w:tcBorders>
              <w:top w:val="single" w:color="CCCCCC" w:sz="2"/>
              <w:left w:val="single" w:color="2E5597" w:sz="6"/>
              <w:bottom w:val="single" w:color="CCCCCC" w:sz="2"/>
              <w:right w:val="single" w:color="CCCCCC" w:sz="2"/>
            </w:tcBorders>
            <w:shd w:fill="EEF3FB" w:val="clear"/>
            <w:tcMar>
              <w:top w:type="dxa" w:w="70"/>
              <w:left w:type="dxa" w:w="120"/>
              <w:bottom w:type="dxa" w:w="70"/>
              <w:right w:type="dxa" w:w="80"/>
            </w:tcMar>
            <w:vAlign w:val="center"/>
          </w:tcPr>
          <w:p>
            <w:r>
              <w:rPr>
                <w:rFonts w:ascii="Times New Roman" w:cs="Times New Roman" w:eastAsia="Times New Roman" w:hAnsi="Times New Roman"/>
                <w:b/>
                <w:bCs/>
                <w:color w:val="1F3864"/>
                <w:sz w:val="19"/>
                <w:szCs w:val="19"/>
              </w:rPr>
              <w:t xml:space="preserve">Capítulo</w:t>
            </w:r>
          </w:p>
        </w:tc>
        <w:tc>
          <w:tcPr>
            <w:tcW w:type="dxa" w:w="7760"/>
            <w:tcBorders>
              <w:top w:val="single" w:color="CCCCCC" w:sz="2"/>
              <w:left w:val="single" w:color="CCCCCC" w:sz="2"/>
              <w:bottom w:val="single" w:color="CCCCCC" w:sz="2"/>
              <w:right w:val="single" w:color="2E5597"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Capítulo 6 — Estudios de caso; Capítulo 7 — Conclusiones.</w:t>
            </w:r>
          </w:p>
        </w:tc>
      </w:tr>
    </w:tbl>
    <w:p>
      <w:pPr>
        <w:spacing w:before="80" w:after="160"/>
        <w:ind w:left="200"/>
      </w:pPr>
      <w:r>
        <w:rPr>
          <w:rFonts w:ascii="Times New Roman" w:cs="Times New Roman" w:eastAsia="Times New Roman" w:hAnsi="Times New Roman"/>
          <w:i/>
          <w:iCs/>
          <w:color w:val="777777"/>
          <w:sz w:val="19"/>
          <w:szCs w:val="19"/>
        </w:rPr>
        <w:t xml:space="preserve">Nivel Bloom: </w:t>
      </w:r>
      <w:r>
        <w:rPr>
          <w:rFonts w:ascii="Times New Roman" w:cs="Times New Roman" w:eastAsia="Times New Roman" w:hAnsi="Times New Roman"/>
          <w:b/>
          <w:bCs/>
          <w:color w:val="2E5597"/>
          <w:sz w:val="19"/>
          <w:szCs w:val="19"/>
        </w:rPr>
        <w:t xml:space="preserve">Creación + Evaluación</w:t>
      </w:r>
      <w:r>
        <w:rPr>
          <w:rFonts w:ascii="Times New Roman" w:cs="Times New Roman" w:eastAsia="Times New Roman" w:hAnsi="Times New Roman"/>
          <w:color w:val="555555"/>
          <w:sz w:val="19"/>
          <w:szCs w:val="19"/>
        </w:rPr>
        <w:t xml:space="preserve">  |  Verbos: Comparar, identificar, proponer, estructurar, fundamentar</w:t>
      </w:r>
    </w:p>
    <w:p>
      <w:pPr>
        <w:spacing w:before="0" w:after="0" w:line="240"/>
      </w:pPr>
      <w:r>
        <w:t xml:space="preserve"/>
      </w:r>
    </w:p>
    <w:p>
      <w:pPr>
        <w:spacing w:before="0" w:after="0" w:line="240"/>
      </w:pPr>
      <w:r>
        <w:t xml:space="preserve"/>
      </w:r>
    </w:p>
    <w:p>
      <w:r>
        <w:r>
          <w:br w:type="page"/>
        </w:r>
      </w:r>
    </w:p>
    <w:p>
      <w:pPr>
        <w:spacing w:before="200" w:after="80"/>
        <w:jc w:val="center"/>
      </w:pPr>
      <w:r>
        <w:rPr>
          <w:rFonts w:ascii="Times New Roman" w:cs="Times New Roman" w:eastAsia="Times New Roman" w:hAnsi="Times New Roman"/>
          <w:i/>
          <w:iCs/>
          <w:color w:val="2E5597"/>
          <w:sz w:val="22"/>
          <w:szCs w:val="22"/>
        </w:rPr>
        <w:t xml:space="preserve">Sección 1.4</w:t>
      </w:r>
    </w:p>
    <w:p>
      <w:pPr>
        <w:spacing w:before="0" w:after="400"/>
        <w:jc w:val="center"/>
      </w:pPr>
      <w:r>
        <w:rPr>
          <w:rFonts w:ascii="Times New Roman" w:cs="Times New Roman" w:eastAsia="Times New Roman" w:hAnsi="Times New Roman"/>
          <w:b/>
          <w:bCs/>
          <w:color w:val="1F3864"/>
          <w:sz w:val="28"/>
          <w:szCs w:val="28"/>
        </w:rPr>
        <w:t xml:space="preserve">Contribución original al estado del arte</w:t>
      </w:r>
    </w:p>
    <w:p>
      <w:pPr>
        <w:spacing w:before="0" w:after="60" w:line="320"/>
        <w:ind w:left="3200"/>
        <w:jc w:val="right"/>
      </w:pPr>
      <w:r>
        <w:rPr>
          <w:rFonts w:ascii="Times New Roman" w:cs="Times New Roman" w:eastAsia="Times New Roman" w:hAnsi="Times New Roman"/>
          <w:i/>
          <w:iCs/>
          <w:color w:val="444444"/>
          <w:sz w:val="20"/>
          <w:szCs w:val="20"/>
        </w:rPr>
        <w:t xml:space="preserve">«La originalidad en investigación no consiste en ignorar lo que otros han hecho, sino en ver con mayor claridad lo que ellos no pudieron o no quisieron ver.»</w:t>
      </w:r>
    </w:p>
    <w:p>
      <w:pPr>
        <w:spacing w:before="0" w:after="500"/>
        <w:ind w:left="3200"/>
        <w:jc w:val="right"/>
      </w:pPr>
      <w:r>
        <w:rPr>
          <w:rFonts w:ascii="Times New Roman" w:cs="Times New Roman" w:eastAsia="Times New Roman" w:hAnsi="Times New Roman"/>
          <w:color w:val="666666"/>
          <w:sz w:val="20"/>
          <w:szCs w:val="20"/>
        </w:rPr>
        <w:t xml:space="preserve">Merton (1973, p. 293)</w:t>
      </w:r>
    </w:p>
    <w:p>
      <w:pPr>
        <w:pStyle w:val="Heading1"/>
        <w:spacing w:before="480" w:after="200"/>
      </w:pPr>
      <w:r>
        <w:rPr>
          <w:rFonts w:ascii="Times New Roman" w:cs="Times New Roman" w:eastAsia="Times New Roman" w:hAnsi="Times New Roman"/>
          <w:b/>
          <w:bCs/>
          <w:color w:val="1F3864"/>
          <w:sz w:val="28"/>
          <w:szCs w:val="28"/>
        </w:rPr>
        <w:t xml:space="preserve">1.4 Contribución original al estado del arte</w:t>
      </w:r>
    </w:p>
    <w:p>
      <w:pPr>
        <w:spacing w:before="0" w:after="200" w:line="360" w:lineRule="auto"/>
        <w:ind w:firstLine="720"/>
        <w:jc w:val="both"/>
      </w:pPr>
      <w:r>
        <w:rPr>
          <w:rFonts w:ascii="Times New Roman" w:cs="Times New Roman" w:eastAsia="Times New Roman" w:hAnsi="Times New Roman"/>
          <w:sz w:val="24"/>
          <w:szCs w:val="24"/>
        </w:rPr>
        <w:t xml:space="preserve">La definición precisa de la contribución original de una tesis doctoral es un requisito epistemológico y, en muchos programas doctorales, un criterio formal de evaluación (Phillips &amp; Pugh, 2015, pp. 62–74). Esta sección identifica siete contribuciones originales de la tesis, organizadas en cuatro dimensiones: temporal, metodológica, teórica y de política económica.</w:t>
      </w:r>
    </w:p>
    <w:p>
      <w:pPr>
        <w:pStyle w:val="Heading2"/>
        <w:spacing w:before="320" w:after="160"/>
      </w:pPr>
      <w:r>
        <w:rPr>
          <w:rFonts w:ascii="Times New Roman" w:cs="Times New Roman" w:eastAsia="Times New Roman" w:hAnsi="Times New Roman"/>
          <w:b/>
          <w:bCs/>
          <w:color w:val="2E5597"/>
          <w:sz w:val="24"/>
          <w:szCs w:val="24"/>
        </w:rPr>
        <w:t xml:space="preserve">1.4.1 Contribuciones en la dimensión temporal</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7202A" w:sz="6"/>
              <w:left w:val="single" w:color="17202A" w:sz="6"/>
              <w:bottom w:val="single" w:color="17202A" w:sz="6"/>
              <w:right w:val="single" w:color="17202A" w:sz="6"/>
            </w:tcBorders>
            <w:shd w:fill="17202A" w:val="clear"/>
            <w:tcMar>
              <w:top w:type="dxa" w:w="100"/>
              <w:left w:type="dxa" w:w="180"/>
              <w:bottom w:type="dxa" w:w="80"/>
              <w:right w:type="dxa" w:w="180"/>
            </w:tcMar>
          </w:tcPr>
          <w:p>
            <w:r>
              <w:rPr>
                <w:rFonts w:ascii="Times New Roman" w:cs="Times New Roman" w:eastAsia="Times New Roman" w:hAnsi="Times New Roman"/>
                <w:b/>
                <w:bCs/>
                <w:color w:val="AAB7B8"/>
                <w:sz w:val="20"/>
                <w:szCs w:val="20"/>
              </w:rPr>
              <w:t xml:space="preserve">C1 · TEMPORAL  ·  </w:t>
            </w:r>
            <w:r>
              <w:rPr>
                <w:rFonts w:ascii="Times New Roman" w:cs="Times New Roman" w:eastAsia="Times New Roman" w:hAnsi="Times New Roman"/>
                <w:b/>
                <w:bCs/>
                <w:color w:val="FFFFFF"/>
                <w:sz w:val="20"/>
                <w:szCs w:val="20"/>
              </w:rPr>
              <w:t xml:space="preserve">Primera evaluación cuantitativa del ciclo completo HIPC (1996–2022)</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Laguna que cubre</w:t>
            </w:r>
          </w:p>
        </w:tc>
        <w:tc>
          <w:tcPr>
            <w:tcW w:type="dxa" w:w="7560"/>
            <w:tcBorders>
              <w:top w:val="single" w:color="CCCCCC" w:sz="2"/>
              <w:left w:val="single" w:color="CCCCCC" w:sz="2"/>
              <w:bottom w:val="single" w:color="CCCCCC" w:sz="2"/>
              <w:right w:val="single" w:color="17202A" w:sz="6"/>
            </w:tcBorders>
            <w:shd w:fill="FDFEFE"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La totalidad de los estudios cuantitativos existentes sobre la efectividad de la Iniciativa HIPC cierran su período de análisis en 2010 o, en el mejor de los casos, en 2015 (Hepp, 2005; Presbitero, 2009; Freytag &amp; Pehnelt, 2009; Cordella et al., 2010). Esto excluye la fase de reendeudamiento masivo post-HIPC, que se acelera a partir de 2012.</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Contribución</w:t>
            </w:r>
          </w:p>
        </w:tc>
        <w:tc>
          <w:tcPr>
            <w:tcW w:type="dxa" w:w="7560"/>
            <w:tcBorders>
              <w:top w:val="single" w:color="CCCCCC" w:sz="2"/>
              <w:left w:val="single" w:color="CCCCCC" w:sz="2"/>
              <w:bottom w:val="single" w:color="CCCCCC" w:sz="2"/>
              <w:right w:val="single" w:color="17202A"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Esta tesis ofrece la primera evaluación econométrica comparada del ciclo completo de la Iniciativa HIPC, desde su lanzamiento en 1996 hasta 2022, incorporando las tres fases analíticas: implementación (1996–2005), post-culminación temprana (2006–2014) y reendeudamiento y nueva arquitectura (2015–2022). Este horizonte temporal permite contrastar si el efecto del alivio fue transitorio o persistente.</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Impacto esperado</w:t>
            </w:r>
          </w:p>
        </w:tc>
        <w:tc>
          <w:tcPr>
            <w:tcW w:type="dxa" w:w="7560"/>
            <w:tcBorders>
              <w:top w:val="single" w:color="CCCCCC" w:sz="2"/>
              <w:left w:val="single" w:color="CCCCCC" w:sz="2"/>
              <w:bottom w:val="single" w:color="CCCCCC" w:sz="2"/>
              <w:right w:val="single" w:color="17202A"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Permitir que la comunidad académica evalúe por primera vez si la Iniciativa HIPC logró su objetivo declarado de romper el ciclo de la deuda en el largo plazo. Los resultados de H1, H2 y H7 tienen valor informativo directo para el diseño del G20 Common Framework (G20, 2020).</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Referencias clave</w:t>
            </w:r>
          </w:p>
        </w:tc>
        <w:tc>
          <w:tcPr>
            <w:tcW w:type="dxa" w:w="7560"/>
            <w:tcBorders>
              <w:top w:val="single" w:color="CCCCCC" w:sz="2"/>
              <w:left w:val="single" w:color="CCCCCC" w:sz="2"/>
              <w:bottom w:val="single" w:color="CCCCCC" w:sz="2"/>
              <w:right w:val="single" w:color="17202A"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Se sitúa en relación crítica con: Hepp (2005); Presbitero (2009); Freytag &amp; Pehnelt (2009); Cordella et al. (2010). Incorpora datos de: AidData (2023); FMI DSA Database (2022); Banco Mundial IDS (2023).</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7202A" w:sz="6"/>
              <w:left w:val="single" w:color="17202A" w:sz="6"/>
              <w:bottom w:val="single" w:color="17202A" w:sz="6"/>
              <w:right w:val="single" w:color="17202A" w:sz="6"/>
            </w:tcBorders>
            <w:shd w:fill="17202A" w:val="clear"/>
            <w:tcMar>
              <w:top w:type="dxa" w:w="100"/>
              <w:left w:type="dxa" w:w="180"/>
              <w:bottom w:type="dxa" w:w="80"/>
              <w:right w:type="dxa" w:w="180"/>
            </w:tcMar>
          </w:tcPr>
          <w:p>
            <w:r>
              <w:rPr>
                <w:rFonts w:ascii="Times New Roman" w:cs="Times New Roman" w:eastAsia="Times New Roman" w:hAnsi="Times New Roman"/>
                <w:b/>
                <w:bCs/>
                <w:color w:val="AAB7B8"/>
                <w:sz w:val="20"/>
                <w:szCs w:val="20"/>
              </w:rPr>
              <w:t xml:space="preserve">C2 · TEMPORAL  ·  </w:t>
            </w:r>
            <w:r>
              <w:rPr>
                <w:rFonts w:ascii="Times New Roman" w:cs="Times New Roman" w:eastAsia="Times New Roman" w:hAnsi="Times New Roman"/>
                <w:b/>
                <w:bCs/>
                <w:color w:val="FFFFFF"/>
                <w:sz w:val="20"/>
                <w:szCs w:val="20"/>
              </w:rPr>
              <w:t xml:space="preserve">Documentación sistemática del reendeudamiento con acreedores no tradicionales</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Laguna que cubre</w:t>
            </w:r>
          </w:p>
        </w:tc>
        <w:tc>
          <w:tcPr>
            <w:tcW w:type="dxa" w:w="7560"/>
            <w:tcBorders>
              <w:top w:val="single" w:color="CCCCCC" w:sz="2"/>
              <w:left w:val="single" w:color="CCCCCC" w:sz="2"/>
              <w:bottom w:val="single" w:color="CCCCCC" w:sz="2"/>
              <w:right w:val="single" w:color="17202A" w:sz="6"/>
            </w:tcBorders>
            <w:shd w:fill="FDFEFE"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La literatura sobre deuda de países de bajos ingresos ha comenzado a documentar la expansión del financiamiento chino (Horn et al., 2021; Gelpern et al., 2021), pero ningún estudio ha analizado sistemáticamente estos fenómenos en el subconjunto específico de los 39 países post-HIPC, ni ha examinado si la probabilidad de reendeudamiento excesivo es mayor en países post-HIPC que en grupos de comparación.</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Contribución</w:t>
            </w:r>
          </w:p>
        </w:tc>
        <w:tc>
          <w:tcPr>
            <w:tcW w:type="dxa" w:w="7560"/>
            <w:tcBorders>
              <w:top w:val="single" w:color="CCCCCC" w:sz="2"/>
              <w:left w:val="single" w:color="CCCCCC" w:sz="2"/>
              <w:bottom w:val="single" w:color="CCCCCC" w:sz="2"/>
              <w:right w:val="single" w:color="17202A"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La tesis construye una base de datos original combinando AidData (2023), International Debt Statistics del Banco Mundial (2023) y la DSA Database del FMI (2022) para mapear el stock, las condiciones financieras y los determinantes del nuevo endeudamiento de los 39 países post-HIPC entre 2006 y 2022, y aplica modelos de supervivencia (Cox, 1972) con un grupo de control no-HIPC construido algorítmicamente.</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Impacto esperado</w:t>
            </w:r>
          </w:p>
        </w:tc>
        <w:tc>
          <w:tcPr>
            <w:tcW w:type="dxa" w:w="7560"/>
            <w:tcBorders>
              <w:top w:val="single" w:color="CCCCCC" w:sz="2"/>
              <w:left w:val="single" w:color="CCCCCC" w:sz="2"/>
              <w:bottom w:val="single" w:color="CCCCCC" w:sz="2"/>
              <w:right w:val="single" w:color="17202A"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Documentar empíricamente la paradoja formulada en H7: que el éxito formal de la HIPC en restaurar la solvencia puede haber habilitado un nuevo ciclo de endeudamiento con acreedores que no participaron en el proceso de alivio.</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Referencias clave</w:t>
            </w:r>
          </w:p>
        </w:tc>
        <w:tc>
          <w:tcPr>
            <w:tcW w:type="dxa" w:w="7560"/>
            <w:tcBorders>
              <w:top w:val="single" w:color="CCCCCC" w:sz="2"/>
              <w:left w:val="single" w:color="CCCCCC" w:sz="2"/>
              <w:bottom w:val="single" w:color="CCCCCC" w:sz="2"/>
              <w:right w:val="single" w:color="17202A"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Se sitúa en relación crítica y complementaria con: Horn et al. (2021); Gelpern et al. (2021); Prizzon &amp; Mustapha (2014); Reinhart &amp; Rogoff (2009).</w:t>
            </w:r>
          </w:p>
        </w:tc>
      </w:tr>
    </w:tbl>
    <w:p>
      <w:pPr>
        <w:spacing w:before="0" w:after="0" w:line="240"/>
      </w:pPr>
      <w:r>
        <w:t xml:space="preserve"/>
      </w:r>
    </w:p>
    <w:p>
      <w:pPr>
        <w:spacing w:before="0" w:after="0" w:line="240"/>
      </w:pPr>
      <w:r>
        <w:t xml:space="preserve"/>
      </w:r>
    </w:p>
    <w:p>
      <w:pPr>
        <w:pStyle w:val="Heading2"/>
        <w:spacing w:before="320" w:after="160"/>
      </w:pPr>
      <w:r>
        <w:rPr>
          <w:rFonts w:ascii="Times New Roman" w:cs="Times New Roman" w:eastAsia="Times New Roman" w:hAnsi="Times New Roman"/>
          <w:b/>
          <w:bCs/>
          <w:color w:val="2E5597"/>
          <w:sz w:val="24"/>
          <w:szCs w:val="24"/>
        </w:rPr>
        <w:t xml:space="preserve">1.4.2 Contribuciones en la dimensión metodológica</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7202A" w:sz="6"/>
              <w:left w:val="single" w:color="17202A" w:sz="6"/>
              <w:bottom w:val="single" w:color="17202A" w:sz="6"/>
              <w:right w:val="single" w:color="17202A" w:sz="6"/>
            </w:tcBorders>
            <w:shd w:fill="17202A" w:val="clear"/>
            <w:tcMar>
              <w:top w:type="dxa" w:w="100"/>
              <w:left w:type="dxa" w:w="180"/>
              <w:bottom w:type="dxa" w:w="80"/>
              <w:right w:type="dxa" w:w="180"/>
            </w:tcMar>
          </w:tcPr>
          <w:p>
            <w:r>
              <w:rPr>
                <w:rFonts w:ascii="Times New Roman" w:cs="Times New Roman" w:eastAsia="Times New Roman" w:hAnsi="Times New Roman"/>
                <w:b/>
                <w:bCs/>
                <w:color w:val="AAB7B8"/>
                <w:sz w:val="20"/>
                <w:szCs w:val="20"/>
              </w:rPr>
              <w:t xml:space="preserve">C3 · METODOLÓGICA  ·  </w:t>
            </w:r>
            <w:r>
              <w:rPr>
                <w:rFonts w:ascii="Times New Roman" w:cs="Times New Roman" w:eastAsia="Times New Roman" w:hAnsi="Times New Roman"/>
                <w:b/>
                <w:bCs/>
                <w:color w:val="FFFFFF"/>
                <w:sz w:val="20"/>
                <w:szCs w:val="20"/>
              </w:rPr>
              <w:t xml:space="preserve">Aplicación del control sintético y DDD al panel de países HIPC</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Laguna que cubre</w:t>
            </w:r>
          </w:p>
        </w:tc>
        <w:tc>
          <w:tcPr>
            <w:tcW w:type="dxa" w:w="7560"/>
            <w:tcBorders>
              <w:top w:val="single" w:color="CCCCCC" w:sz="2"/>
              <w:left w:val="single" w:color="CCCCCC" w:sz="2"/>
              <w:bottom w:val="single" w:color="CCCCCC" w:sz="2"/>
              <w:right w:val="single" w:color="17202A" w:sz="6"/>
            </w:tcBorders>
            <w:shd w:fill="FDFEFE"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Los estudios existentes sobre el impacto de la HIPC utilizan regresiones de panel con efectos fijos o aleatorios que no identifican el efecto causal del alivio. Ningún estudio ha utilizado el método de control sintético (Abadie et al., 2010) ni el estimador de Callaway &amp; Sant'Anna (2021) para construir contrafácticos individualizados, ni el DDD con grupo de control no-HIPC para resolver el problema del contrafactual fundamental.</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Contribución</w:t>
            </w:r>
          </w:p>
        </w:tc>
        <w:tc>
          <w:tcPr>
            <w:tcW w:type="dxa" w:w="7560"/>
            <w:tcBorders>
              <w:top w:val="single" w:color="CCCCCC" w:sz="2"/>
              <w:left w:val="single" w:color="CCCCCC" w:sz="2"/>
              <w:bottom w:val="single" w:color="CCCCCC" w:sz="2"/>
              <w:right w:val="single" w:color="17202A"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Esta tesis es la primera en aplicar el método de control sintético al panel de países HIPC para construir contrafácticos individualizados para países seleccionados, combinándolo con el estimador de CS robusto a heterogeneidad del tratamiento escalonado y el DDD con 8 países de control no-HIPC seleccionados algorítmicamente con criterios de comparabilidad documentados.</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Impacto esperado</w:t>
            </w:r>
          </w:p>
        </w:tc>
        <w:tc>
          <w:tcPr>
            <w:tcW w:type="dxa" w:w="7560"/>
            <w:tcBorders>
              <w:top w:val="single" w:color="CCCCCC" w:sz="2"/>
              <w:left w:val="single" w:color="CCCCCC" w:sz="2"/>
              <w:bottom w:val="single" w:color="CCCCCC" w:sz="2"/>
              <w:right w:val="single" w:color="17202A"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Proporcionar estimaciones causalmente identificables del efecto del completion point que superan las limitaciones de las regresiones de panel estándar y permiten separar el efecto del completion point del efecto de las tendencias previas al programa.</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Referencias clave</w:t>
            </w:r>
          </w:p>
        </w:tc>
        <w:tc>
          <w:tcPr>
            <w:tcW w:type="dxa" w:w="7560"/>
            <w:tcBorders>
              <w:top w:val="single" w:color="CCCCCC" w:sz="2"/>
              <w:left w:val="single" w:color="CCCCCC" w:sz="2"/>
              <w:bottom w:val="single" w:color="CCCCCC" w:sz="2"/>
              <w:right w:val="single" w:color="17202A"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Se sitúa en relación metodológica con: Abadie et al. (2010); Callaway &amp; Sant'Anna (2021); Imbens &amp; Rubin (2015).</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7202A" w:sz="6"/>
              <w:left w:val="single" w:color="17202A" w:sz="6"/>
              <w:bottom w:val="single" w:color="17202A" w:sz="6"/>
              <w:right w:val="single" w:color="17202A" w:sz="6"/>
            </w:tcBorders>
            <w:shd w:fill="17202A" w:val="clear"/>
            <w:tcMar>
              <w:top w:type="dxa" w:w="100"/>
              <w:left w:type="dxa" w:w="180"/>
              <w:bottom w:type="dxa" w:w="80"/>
              <w:right w:type="dxa" w:w="180"/>
            </w:tcMar>
          </w:tcPr>
          <w:p>
            <w:r>
              <w:rPr>
                <w:rFonts w:ascii="Times New Roman" w:cs="Times New Roman" w:eastAsia="Times New Roman" w:hAnsi="Times New Roman"/>
                <w:b/>
                <w:bCs/>
                <w:color w:val="AAB7B8"/>
                <w:sz w:val="20"/>
                <w:szCs w:val="20"/>
              </w:rPr>
              <w:t xml:space="preserve">C4 · METODOLÓGICA  ·  </w:t>
            </w:r>
            <w:r>
              <w:rPr>
                <w:rFonts w:ascii="Times New Roman" w:cs="Times New Roman" w:eastAsia="Times New Roman" w:hAnsi="Times New Roman"/>
                <w:b/>
                <w:bCs/>
                <w:color w:val="FFFFFF"/>
                <w:sz w:val="20"/>
                <w:szCs w:val="20"/>
              </w:rPr>
              <w:t xml:space="preserve">Construcción de los índices IGC e IGA a partir del QoG Institute</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Laguna que cubre</w:t>
            </w:r>
          </w:p>
        </w:tc>
        <w:tc>
          <w:tcPr>
            <w:tcW w:type="dxa" w:w="7560"/>
            <w:tcBorders>
              <w:top w:val="single" w:color="CCCCCC" w:sz="2"/>
              <w:left w:val="single" w:color="CCCCCC" w:sz="2"/>
              <w:bottom w:val="single" w:color="CCCCCC" w:sz="2"/>
              <w:right w:val="single" w:color="17202A" w:sz="6"/>
            </w:tcBorders>
            <w:shd w:fill="FDFEFE"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Los estudios existentes sobre gobernanza en países HIPC utilizan el WGI compuesto del Banco Mundial, que solo existe desde 1996 —el mismo año en que comenzó la HIPC— y por tanto no permite medir la gobernanza 'previa' al programa para los países que culminaron en 2000–2004. No existe ningún estudio que haya construido índices de gobernanza multidimensionales con series largas para los 39 países HIPC.</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Contribución</w:t>
            </w:r>
          </w:p>
        </w:tc>
        <w:tc>
          <w:tcPr>
            <w:tcW w:type="dxa" w:w="7560"/>
            <w:tcBorders>
              <w:top w:val="single" w:color="CCCCCC" w:sz="2"/>
              <w:left w:val="single" w:color="CCCCCC" w:sz="2"/>
              <w:bottom w:val="single" w:color="CCCCCC" w:sz="2"/>
              <w:right w:val="single" w:color="17202A"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Esta tesis construye dos índices propios de gobernanza: el IGC (Índice de Gobernanza Anticorrupción) y el IGA (Índice de Gobernanza Accountability), a partir de las variables V-Dem, Freedom House y Polity2 disponibles en el QoG Institute con series desde 1900 y cobertura del 99% antes de 1990 en los países HIPC. La correlación IGC-IGA = 0.434 confirma que capturan dimensiones institucionales parcialmente independientes.</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Impacto esperado</w:t>
            </w:r>
          </w:p>
        </w:tc>
        <w:tc>
          <w:tcPr>
            <w:tcW w:type="dxa" w:w="7560"/>
            <w:tcBorders>
              <w:top w:val="single" w:color="CCCCCC" w:sz="2"/>
              <w:left w:val="single" w:color="CCCCCC" w:sz="2"/>
              <w:bottom w:val="single" w:color="CCCCCC" w:sz="2"/>
              <w:right w:val="single" w:color="17202A"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Resolver la debilidad de cobertura temporal del WGI y proporcionar una medida multifuente de la gobernanza estructural previa al programa que es más robusta a la elección de un indicador específico.</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Referencias clave</w:t>
            </w:r>
          </w:p>
        </w:tc>
        <w:tc>
          <w:tcPr>
            <w:tcW w:type="dxa" w:w="7560"/>
            <w:tcBorders>
              <w:top w:val="single" w:color="CCCCCC" w:sz="2"/>
              <w:left w:val="single" w:color="CCCCCC" w:sz="2"/>
              <w:bottom w:val="single" w:color="CCCCCC" w:sz="2"/>
              <w:right w:val="single" w:color="17202A"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Se fundamenta en: Teorell et al. (2021) QoG Institute; Coppedge et al. (2023) V-Dem; Kaufmann et al. (2010) WGI.</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7202A" w:sz="6"/>
              <w:left w:val="single" w:color="17202A" w:sz="6"/>
              <w:bottom w:val="single" w:color="17202A" w:sz="6"/>
              <w:right w:val="single" w:color="17202A" w:sz="6"/>
            </w:tcBorders>
            <w:shd w:fill="17202A" w:val="clear"/>
            <w:tcMar>
              <w:top w:type="dxa" w:w="100"/>
              <w:left w:type="dxa" w:w="180"/>
              <w:bottom w:type="dxa" w:w="80"/>
              <w:right w:type="dxa" w:w="180"/>
            </w:tcMar>
          </w:tcPr>
          <w:p>
            <w:r>
              <w:rPr>
                <w:rFonts w:ascii="Times New Roman" w:cs="Times New Roman" w:eastAsia="Times New Roman" w:hAnsi="Times New Roman"/>
                <w:b/>
                <w:bCs/>
                <w:color w:val="AAB7B8"/>
                <w:sz w:val="20"/>
                <w:szCs w:val="20"/>
              </w:rPr>
              <w:t xml:space="preserve">C5 · METODOLÓGICA  ·  </w:t>
            </w:r>
            <w:r>
              <w:rPr>
                <w:rFonts w:ascii="Times New Roman" w:cs="Times New Roman" w:eastAsia="Times New Roman" w:hAnsi="Times New Roman"/>
                <w:b/>
                <w:bCs/>
                <w:color w:val="FFFFFF"/>
                <w:sz w:val="20"/>
                <w:szCs w:val="20"/>
              </w:rPr>
              <w:t xml:space="preserve">Integración del análisis MICMAC como herramienta de especificación</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Laguna que cubre</w:t>
            </w:r>
          </w:p>
        </w:tc>
        <w:tc>
          <w:tcPr>
            <w:tcW w:type="dxa" w:w="7560"/>
            <w:tcBorders>
              <w:top w:val="single" w:color="CCCCCC" w:sz="2"/>
              <w:left w:val="single" w:color="CCCCCC" w:sz="2"/>
              <w:bottom w:val="single" w:color="CCCCCC" w:sz="2"/>
              <w:right w:val="single" w:color="17202A" w:sz="6"/>
            </w:tcBorders>
            <w:shd w:fill="FDFEFE"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El análisis de dominancia requiere especificar ex ante el conjunto de predictores que compiten por explicar la variable dependiente. En la literatura sobre HIPC, esta especificación se realiza de manera ad hoc o siguiendo convenciones del campo sin un fundamento sistémico. Ningún estudio previo ha utilizado el análisis estructural MICMAC como herramienta de especificación previa al modelado econométrico.</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Contribución</w:t>
            </w:r>
          </w:p>
        </w:tc>
        <w:tc>
          <w:tcPr>
            <w:tcW w:type="dxa" w:w="7560"/>
            <w:tcBorders>
              <w:top w:val="single" w:color="CCCCCC" w:sz="2"/>
              <w:left w:val="single" w:color="CCCCCC" w:sz="2"/>
              <w:bottom w:val="single" w:color="CCCCCC" w:sz="2"/>
              <w:right w:val="single" w:color="17202A"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Esta tesis es la primera en articular el análisis estructural MICMAC (Godet, 1993) con la econometría de panel para fundamentar sistémicamente la especificación de los modelos de dominancia, construyendo una Matriz de Influencias Directas de 12 variables del sistema post-HIPC que permite clasificar las variables en cuadrantes de motricidad-dependencia antes de decidir su inclusión en el modelo.</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Impacto esperado</w:t>
            </w:r>
          </w:p>
        </w:tc>
        <w:tc>
          <w:tcPr>
            <w:tcW w:type="dxa" w:w="7560"/>
            <w:tcBorders>
              <w:top w:val="single" w:color="CCCCCC" w:sz="2"/>
              <w:left w:val="single" w:color="CCCCCC" w:sz="2"/>
              <w:bottom w:val="single" w:color="CCCCCC" w:sz="2"/>
              <w:right w:val="single" w:color="17202A"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Proporcionar una justificación sistémica de las decisiones de especificación que va más allá de la convención ad hoc, lo que aumenta la transparencia metodológica y reduce el riesgo de sesgo de especificación.</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Referencias clave</w:t>
            </w:r>
          </w:p>
        </w:tc>
        <w:tc>
          <w:tcPr>
            <w:tcW w:type="dxa" w:w="7560"/>
            <w:tcBorders>
              <w:top w:val="single" w:color="CCCCCC" w:sz="2"/>
              <w:left w:val="single" w:color="CCCCCC" w:sz="2"/>
              <w:bottom w:val="single" w:color="CCCCCC" w:sz="2"/>
              <w:right w:val="single" w:color="17202A"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Se sitúa en la intersección de: Godet (1993); Godet &amp; Durance (2011); Azen &amp; Budescu (2003); Budescu (1993).</w:t>
            </w:r>
          </w:p>
        </w:tc>
      </w:tr>
    </w:tbl>
    <w:p>
      <w:pPr>
        <w:spacing w:before="0" w:after="0" w:line="240"/>
      </w:pPr>
      <w:r>
        <w:t xml:space="preserve"/>
      </w:r>
    </w:p>
    <w:p>
      <w:pPr>
        <w:spacing w:before="0" w:after="0" w:line="240"/>
      </w:pPr>
      <w:r>
        <w:t xml:space="preserve"/>
      </w:r>
    </w:p>
    <w:p>
      <w:pPr>
        <w:pStyle w:val="Heading2"/>
        <w:spacing w:before="320" w:after="160"/>
      </w:pPr>
      <w:r>
        <w:rPr>
          <w:rFonts w:ascii="Times New Roman" w:cs="Times New Roman" w:eastAsia="Times New Roman" w:hAnsi="Times New Roman"/>
          <w:b/>
          <w:bCs/>
          <w:color w:val="2E5597"/>
          <w:sz w:val="24"/>
          <w:szCs w:val="24"/>
        </w:rPr>
        <w:t xml:space="preserve">1.4.3 Contribución en la dimensión teórica</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7202A" w:sz="6"/>
              <w:left w:val="single" w:color="17202A" w:sz="6"/>
              <w:bottom w:val="single" w:color="17202A" w:sz="6"/>
              <w:right w:val="single" w:color="17202A" w:sz="6"/>
            </w:tcBorders>
            <w:shd w:fill="17202A" w:val="clear"/>
            <w:tcMar>
              <w:top w:type="dxa" w:w="100"/>
              <w:left w:type="dxa" w:w="180"/>
              <w:bottom w:type="dxa" w:w="80"/>
              <w:right w:type="dxa" w:w="180"/>
            </w:tcMar>
          </w:tcPr>
          <w:p>
            <w:r>
              <w:rPr>
                <w:rFonts w:ascii="Times New Roman" w:cs="Times New Roman" w:eastAsia="Times New Roman" w:hAnsi="Times New Roman"/>
                <w:b/>
                <w:bCs/>
                <w:color w:val="AAB7B8"/>
                <w:sz w:val="20"/>
                <w:szCs w:val="20"/>
              </w:rPr>
              <w:t xml:space="preserve">C6 · TEÓRICA  ·  </w:t>
            </w:r>
            <w:r>
              <w:rPr>
                <w:rFonts w:ascii="Times New Roman" w:cs="Times New Roman" w:eastAsia="Times New Roman" w:hAnsi="Times New Roman"/>
                <w:b/>
                <w:bCs/>
                <w:color w:val="FFFFFF"/>
                <w:sz w:val="20"/>
                <w:szCs w:val="20"/>
              </w:rPr>
              <w:t xml:space="preserve">Distinción entre condicionalidad de acceso y condición de efectividad del alivio</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Laguna que cubre</w:t>
            </w:r>
          </w:p>
        </w:tc>
        <w:tc>
          <w:tcPr>
            <w:tcW w:type="dxa" w:w="7560"/>
            <w:tcBorders>
              <w:top w:val="single" w:color="CCCCCC" w:sz="2"/>
              <w:left w:val="single" w:color="CCCCCC" w:sz="2"/>
              <w:bottom w:val="single" w:color="CCCCCC" w:sz="2"/>
              <w:right w:val="single" w:color="17202A" w:sz="6"/>
            </w:tcBorders>
            <w:shd w:fill="FDFEFE"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La literatura sobre condicionalidades del FMI (Dreher, 2009; Stone, 2008) y la literatura sobre efectividad de la HIPC (Presbitero, 2009) han funcionado en paralelo sin producir una síntesis teórica que explique por qué el incumplimiento de las condicionalidades no tuvo consecuencias proporcionales sobre el acceso al alivio. Ningún estudio ha formalizado la distinción entre el papel de las instituciones como criterio de acceso y como factor de efectividad.</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Contribución</w:t>
            </w:r>
          </w:p>
        </w:tc>
        <w:tc>
          <w:tcPr>
            <w:tcW w:type="dxa" w:w="7560"/>
            <w:tcBorders>
              <w:top w:val="single" w:color="CCCCCC" w:sz="2"/>
              <w:left w:val="single" w:color="CCCCCC" w:sz="2"/>
              <w:bottom w:val="single" w:color="CCCCCC" w:sz="2"/>
              <w:right w:val="single" w:color="17202A"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Esta tesis formaliza la distinción teórica entre condicionalidad de acceso —la exigencia de reformas institucionales como requisito de elegibilidad al alivio, tal como lo hace la HIPC— y condición de efectividad —el fortalecimiento institucional como precondición para que el alivio produzca resultados duraderos, tal como la evidencia empírica sugiere que debería ser. Esta distinción tiene consecuencias directas para el diseño del G20 Common Framework.</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Impacto esperado</w:t>
            </w:r>
          </w:p>
        </w:tc>
        <w:tc>
          <w:tcPr>
            <w:tcW w:type="dxa" w:w="7560"/>
            <w:tcBorders>
              <w:top w:val="single" w:color="CCCCCC" w:sz="2"/>
              <w:left w:val="single" w:color="CCCCCC" w:sz="2"/>
              <w:bottom w:val="single" w:color="CCCCCC" w:sz="2"/>
              <w:right w:val="single" w:color="17202A"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Contribuir al debate entre perspectivas institucionalistas y financieras sobre el desarrollo, aportando evidencia empírica sistemática sobre la dirección causal correcta entre alivio de deuda y fortalecimiento institucional en el caso específico de la HIPC.</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Referencias clave</w:t>
            </w:r>
          </w:p>
        </w:tc>
        <w:tc>
          <w:tcPr>
            <w:tcW w:type="dxa" w:w="7560"/>
            <w:tcBorders>
              <w:top w:val="single" w:color="CCCCCC" w:sz="2"/>
              <w:left w:val="single" w:color="CCCCCC" w:sz="2"/>
              <w:bottom w:val="single" w:color="CCCCCC" w:sz="2"/>
              <w:right w:val="single" w:color="17202A"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Se sitúa en relación con: North (1990); Acemoglu et al. (2001); Presbitero (2009); Killick (2002); Dreher (2009).</w:t>
            </w:r>
          </w:p>
        </w:tc>
      </w:tr>
    </w:tbl>
    <w:p>
      <w:pPr>
        <w:spacing w:before="0" w:after="0" w:line="240"/>
      </w:pPr>
      <w:r>
        <w:t xml:space="preserve"/>
      </w:r>
    </w:p>
    <w:p>
      <w:pPr>
        <w:spacing w:before="0" w:after="0" w:line="240"/>
      </w:pPr>
      <w:r>
        <w:t xml:space="preserve"/>
      </w:r>
    </w:p>
    <w:p>
      <w:pPr>
        <w:pStyle w:val="Heading2"/>
        <w:spacing w:before="320" w:after="160"/>
      </w:pPr>
      <w:r>
        <w:rPr>
          <w:rFonts w:ascii="Times New Roman" w:cs="Times New Roman" w:eastAsia="Times New Roman" w:hAnsi="Times New Roman"/>
          <w:b/>
          <w:bCs/>
          <w:color w:val="2E5597"/>
          <w:sz w:val="24"/>
          <w:szCs w:val="24"/>
        </w:rPr>
        <w:t xml:space="preserve">1.4.4 Contribución en la dimensión de política económica</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7202A" w:sz="6"/>
              <w:left w:val="single" w:color="17202A" w:sz="6"/>
              <w:bottom w:val="single" w:color="17202A" w:sz="6"/>
              <w:right w:val="single" w:color="17202A" w:sz="6"/>
            </w:tcBorders>
            <w:shd w:fill="17202A" w:val="clear"/>
            <w:tcMar>
              <w:top w:type="dxa" w:w="100"/>
              <w:left w:type="dxa" w:w="180"/>
              <w:bottom w:type="dxa" w:w="80"/>
              <w:right w:type="dxa" w:w="180"/>
            </w:tcMar>
          </w:tcPr>
          <w:p>
            <w:r>
              <w:rPr>
                <w:rFonts w:ascii="Times New Roman" w:cs="Times New Roman" w:eastAsia="Times New Roman" w:hAnsi="Times New Roman"/>
                <w:b/>
                <w:bCs/>
                <w:color w:val="AAB7B8"/>
                <w:sz w:val="20"/>
                <w:szCs w:val="20"/>
              </w:rPr>
              <w:t xml:space="preserve">C7 · POLÍTICA ECONÓMICA  ·  </w:t>
            </w:r>
            <w:r>
              <w:rPr>
                <w:rFonts w:ascii="Times New Roman" w:cs="Times New Roman" w:eastAsia="Times New Roman" w:hAnsi="Times New Roman"/>
                <w:b/>
                <w:bCs/>
                <w:color w:val="FFFFFF"/>
                <w:sz w:val="20"/>
                <w:szCs w:val="20"/>
              </w:rPr>
              <w:t xml:space="preserve">Evidencia empírica para el rediseño del G20 Common Framework</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Laguna que cubre</w:t>
            </w:r>
          </w:p>
        </w:tc>
        <w:tc>
          <w:tcPr>
            <w:tcW w:type="dxa" w:w="7560"/>
            <w:tcBorders>
              <w:top w:val="single" w:color="CCCCCC" w:sz="2"/>
              <w:left w:val="single" w:color="CCCCCC" w:sz="2"/>
              <w:bottom w:val="single" w:color="CCCCCC" w:sz="2"/>
              <w:right w:val="single" w:color="17202A" w:sz="6"/>
            </w:tcBorders>
            <w:shd w:fill="FDFEFE"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El G20 Common Framework, adoptado en noviembre de 2020 como mecanismo sucesor de la HIPC para la resolución de deuda soberana post-COVID, carece de evidencia empírica sistemática sobre qué elementos del diseño de la HIPC funcionaron y cuáles fallaron, en particular en lo relativo a las condicionalidades y al papel de la calidad institucional como factor de efectividad del alivio.</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Contribución</w:t>
            </w:r>
          </w:p>
        </w:tc>
        <w:tc>
          <w:tcPr>
            <w:tcW w:type="dxa" w:w="7560"/>
            <w:tcBorders>
              <w:top w:val="single" w:color="CCCCCC" w:sz="2"/>
              <w:left w:val="single" w:color="CCCCCC" w:sz="2"/>
              <w:bottom w:val="single" w:color="CCCCCC" w:sz="2"/>
              <w:right w:val="single" w:color="17202A"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Esta tesis proporciona, a partir de los hallazgos empíricos de H1 a H7, un conjunto de recomendaciones basadas en evidencia para el rediseño del G20 Common Framework, estructuradas en tres niveles: diseño del mecanismo (criterios de elegibilidad y umbrales de sostenibilidad), condicionalidades (tipología, número, monitoreo y consecuencias del incumplimiento) y monitoreo post-alivio (supervisión de uso de recursos y de trayectorias de reendeudamiento).</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Impacto esperado</w:t>
            </w:r>
          </w:p>
        </w:tc>
        <w:tc>
          <w:tcPr>
            <w:tcW w:type="dxa" w:w="7560"/>
            <w:tcBorders>
              <w:top w:val="single" w:color="CCCCCC" w:sz="2"/>
              <w:left w:val="single" w:color="CCCCCC" w:sz="2"/>
              <w:bottom w:val="single" w:color="CCCCCC" w:sz="2"/>
              <w:right w:val="single" w:color="17202A"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Informar el debate de política económica sobre la arquitectura multilateral de resolución de deuda soberana con evidencia empírica sistemática basada en el único precedente histórico comparable de alcance global. El informe final de la tesis tendrá versión policy brief dirigida a los grupos de trabajo del G20 y las instituciones de Bretton Woods.</w:t>
            </w:r>
          </w:p>
        </w:tc>
      </w:tr>
      <w:tr>
        <w:tc>
          <w:tcPr>
            <w:tcW w:type="dxa" w:w="1800"/>
            <w:tcBorders>
              <w:top w:val="single" w:color="CCCCCC" w:sz="2"/>
              <w:left w:val="single" w:color="17202A" w:sz="6"/>
              <w:bottom w:val="single" w:color="CCCCCC" w:sz="2"/>
              <w:right w:val="single" w:color="CCCCCC" w:sz="2"/>
            </w:tcBorders>
            <w:shd w:fill="F2F3F4" w:val="clear"/>
            <w:tcMar>
              <w:top w:type="dxa" w:w="70"/>
              <w:left w:type="dxa" w:w="120"/>
              <w:bottom w:type="dxa" w:w="70"/>
              <w:right w:type="dxa" w:w="80"/>
            </w:tcMar>
            <w:vAlign w:val="center"/>
          </w:tcPr>
          <w:p>
            <w:r>
              <w:rPr>
                <w:rFonts w:ascii="Times New Roman" w:cs="Times New Roman" w:eastAsia="Times New Roman" w:hAnsi="Times New Roman"/>
                <w:b/>
                <w:bCs/>
                <w:color w:val="17202A"/>
                <w:sz w:val="19"/>
                <w:szCs w:val="19"/>
              </w:rPr>
              <w:t xml:space="preserve">Referencias clave</w:t>
            </w:r>
          </w:p>
        </w:tc>
        <w:tc>
          <w:tcPr>
            <w:tcW w:type="dxa" w:w="7560"/>
            <w:tcBorders>
              <w:top w:val="single" w:color="CCCCCC" w:sz="2"/>
              <w:left w:val="single" w:color="CCCCCC" w:sz="2"/>
              <w:bottom w:val="single" w:color="CCCCCC" w:sz="2"/>
              <w:right w:val="single" w:color="17202A"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Se sitúa en relación con: G20 (2020); Sturzenegger &amp; Zettelmeyer (2006); Reinhart &amp; Rogoff (2009); Horn et al. (2021).</w:t>
            </w:r>
          </w:p>
        </w:tc>
      </w:tr>
    </w:tbl>
    <w:p>
      <w:pPr>
        <w:spacing w:before="0" w:after="0" w:line="240"/>
      </w:pPr>
      <w:r>
        <w:t xml:space="preserve"/>
      </w:r>
    </w:p>
    <w:p>
      <w:pPr>
        <w:spacing w:before="0" w:after="0" w:line="240"/>
      </w:pPr>
      <w:r>
        <w:t xml:space="preserve"/>
      </w:r>
    </w:p>
    <w:p>
      <w:r>
        <w:r>
          <w:br w:type="page"/>
        </w:r>
      </w:r>
    </w:p>
    <w:p>
      <w:pPr>
        <w:spacing w:before="200" w:after="80"/>
        <w:jc w:val="center"/>
      </w:pPr>
      <w:r>
        <w:rPr>
          <w:rFonts w:ascii="Times New Roman" w:cs="Times New Roman" w:eastAsia="Times New Roman" w:hAnsi="Times New Roman"/>
          <w:i/>
          <w:iCs/>
          <w:color w:val="2E5597"/>
          <w:sz w:val="22"/>
          <w:szCs w:val="22"/>
        </w:rPr>
        <w:t xml:space="preserve">Sección 1.5</w:t>
      </w:r>
    </w:p>
    <w:p>
      <w:pPr>
        <w:spacing w:before="0" w:after="400"/>
        <w:jc w:val="center"/>
      </w:pPr>
      <w:r>
        <w:rPr>
          <w:rFonts w:ascii="Times New Roman" w:cs="Times New Roman" w:eastAsia="Times New Roman" w:hAnsi="Times New Roman"/>
          <w:b/>
          <w:bCs/>
          <w:color w:val="1F3864"/>
          <w:sz w:val="28"/>
          <w:szCs w:val="28"/>
        </w:rPr>
        <w:t xml:space="preserve">Fuentes de datos y bases de datos</w:t>
      </w:r>
    </w:p>
    <w:p>
      <w:pPr>
        <w:spacing w:before="0" w:after="60" w:line="320"/>
        <w:ind w:left="3200"/>
        <w:jc w:val="right"/>
      </w:pPr>
      <w:r>
        <w:rPr>
          <w:rFonts w:ascii="Times New Roman" w:cs="Times New Roman" w:eastAsia="Times New Roman" w:hAnsi="Times New Roman"/>
          <w:i/>
          <w:iCs/>
          <w:color w:val="444444"/>
          <w:sz w:val="20"/>
          <w:szCs w:val="20"/>
        </w:rPr>
        <w:t xml:space="preserve">«La calidad de una investigación cuantitativa no puede superar la calidad de los datos en que se fundamenta. Conocer las limitaciones de los datos es conocer los límites de las conclusiones.»</w:t>
      </w:r>
    </w:p>
    <w:p>
      <w:pPr>
        <w:spacing w:before="0" w:after="500"/>
        <w:ind w:left="3200"/>
        <w:jc w:val="right"/>
      </w:pPr>
      <w:r>
        <w:rPr>
          <w:rFonts w:ascii="Times New Roman" w:cs="Times New Roman" w:eastAsia="Times New Roman" w:hAnsi="Times New Roman"/>
          <w:color w:val="666666"/>
          <w:sz w:val="20"/>
          <w:szCs w:val="20"/>
        </w:rPr>
        <w:t xml:space="preserve">Wooldridge (2010, p. 8)</w:t>
      </w:r>
    </w:p>
    <w:p>
      <w:pPr>
        <w:pStyle w:val="Heading1"/>
        <w:spacing w:before="480" w:after="200"/>
      </w:pPr>
      <w:r>
        <w:rPr>
          <w:rFonts w:ascii="Times New Roman" w:cs="Times New Roman" w:eastAsia="Times New Roman" w:hAnsi="Times New Roman"/>
          <w:b/>
          <w:bCs/>
          <w:color w:val="1F3864"/>
          <w:sz w:val="28"/>
          <w:szCs w:val="28"/>
        </w:rPr>
        <w:t xml:space="preserve">1.5 Fuentes de datos y bases de datos</w:t>
      </w:r>
    </w:p>
    <w:p>
      <w:pPr>
        <w:spacing w:before="0" w:after="200" w:line="360" w:lineRule="auto"/>
        <w:ind w:firstLine="720"/>
        <w:jc w:val="both"/>
      </w:pPr>
      <w:r>
        <w:rPr>
          <w:rFonts w:ascii="Times New Roman" w:cs="Times New Roman" w:eastAsia="Times New Roman" w:hAnsi="Times New Roman"/>
          <w:sz w:val="24"/>
          <w:szCs w:val="24"/>
        </w:rPr>
        <w:t xml:space="preserve">La credibilidad empírica de esta tesis descansa sobre nueve bases de datos principales cuya combinación es lo que hace posible el período de análisis 1996–2022 y la integración de las cuatro dimensiones analíticas. La estrategia de datos combina: (a) fuentes específicas de la Iniciativa HIPC; (b) bases de datos macroeconómicas y de gobernanza de cobertura global; y (c) bases de datos especializadas de nueva generación sobre financiamiento chino y arquitectura de la deuda soberana.</w:t>
      </w:r>
    </w:p>
    <w:p>
      <w:pPr>
        <w:pStyle w:val="Heading2"/>
        <w:spacing w:before="320" w:after="160"/>
      </w:pPr>
      <w:r>
        <w:rPr>
          <w:rFonts w:ascii="Times New Roman" w:cs="Times New Roman" w:eastAsia="Times New Roman" w:hAnsi="Times New Roman"/>
          <w:b/>
          <w:bCs/>
          <w:color w:val="2E5597"/>
          <w:sz w:val="24"/>
          <w:szCs w:val="24"/>
        </w:rPr>
        <w:t xml:space="preserve">1.5.1 Bases de datos primarias específicas de la Iniciativa HIPC</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A5276" w:sz="6"/>
              <w:left w:val="single" w:color="1A5276" w:sz="6"/>
              <w:bottom w:val="single" w:color="1A5276" w:sz="6"/>
              <w:right w:val="single" w:color="1A5276" w:sz="6"/>
            </w:tcBorders>
            <w:shd w:fill="1A5276" w:val="clear"/>
            <w:tcMar>
              <w:top w:type="dxa" w:w="100"/>
              <w:left w:type="dxa" w:w="180"/>
              <w:bottom w:type="dxa" w:w="80"/>
              <w:right w:type="dxa" w:w="180"/>
            </w:tcMar>
          </w:tcPr>
          <w:p>
            <w:r>
              <w:rPr>
                <w:rFonts w:ascii="Times New Roman" w:cs="Times New Roman" w:eastAsia="Times New Roman" w:hAnsi="Times New Roman"/>
                <w:b/>
                <w:bCs/>
                <w:color w:val="A9CCE3"/>
                <w:sz w:val="20"/>
                <w:szCs w:val="20"/>
              </w:rPr>
              <w:t xml:space="preserve">BD1  ·  </w:t>
            </w:r>
            <w:r>
              <w:rPr>
                <w:rFonts w:ascii="Times New Roman" w:cs="Times New Roman" w:eastAsia="Times New Roman" w:hAnsi="Times New Roman"/>
                <w:b/>
                <w:bCs/>
                <w:color w:val="FFFFFF"/>
                <w:sz w:val="20"/>
                <w:szCs w:val="20"/>
              </w:rPr>
              <w:t xml:space="preserve">HIPC Country Progress Reports (HIPC CBP Database) — Banco Mundial / FMI</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Cobertura</w:t>
            </w:r>
          </w:p>
        </w:tc>
        <w:tc>
          <w:tcPr>
            <w:tcW w:type="dxa" w:w="7560"/>
            <w:tcBorders>
              <w:top w:val="single" w:color="CCCCCC" w:sz="2"/>
              <w:left w:val="single" w:color="CCCCCC" w:sz="2"/>
              <w:bottom w:val="single" w:color="CCCCCC" w:sz="2"/>
              <w:right w:val="single" w:color="1A5276" w:sz="6"/>
            </w:tcBorders>
            <w:shd w:fill="FAFFFD"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39 países HIPC post-culminación · Período: 1996–2022 · Actualización: anual.</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Variables clave</w:t>
            </w:r>
          </w:p>
        </w:tc>
        <w:tc>
          <w:tcPr>
            <w:tcW w:type="dxa" w:w="7560"/>
            <w:tcBorders>
              <w:top w:val="single" w:color="CCCCCC" w:sz="2"/>
              <w:left w:val="single" w:color="CCCCCC" w:sz="2"/>
              <w:bottom w:val="single" w:color="CCCCCC" w:sz="2"/>
              <w:right w:val="single" w:color="1A5276"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Monto del alivio comprometido (VAN); fechas de puntos de decisión y culminación; compromisos de gasto social protegido derivados de los PRSP; estado de implementación de medidas estructurales; desembolsos efectivos del alivio por acreedor.</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Hipótesis vinculada</w:t>
            </w:r>
          </w:p>
        </w:tc>
        <w:tc>
          <w:tcPr>
            <w:tcW w:type="dxa" w:w="7560"/>
            <w:tcBorders>
              <w:top w:val="single" w:color="CCCCCC" w:sz="2"/>
              <w:left w:val="single" w:color="CCCCCC" w:sz="2"/>
              <w:bottom w:val="single" w:color="CCCCCC" w:sz="2"/>
              <w:right w:val="single" w:color="1A5276"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H1 (monto del alivio como variable de tratamiento); H3 (fechas para análisis de duración); H6 (VAN como variable independiente en análisis de dominancia); H7 (stock del alivio como punto de partida para análisis de reendeudamiento).</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Limitaciones</w:t>
            </w:r>
          </w:p>
        </w:tc>
        <w:tc>
          <w:tcPr>
            <w:tcW w:type="dxa" w:w="7560"/>
            <w:tcBorders>
              <w:top w:val="single" w:color="CCCCCC" w:sz="2"/>
              <w:left w:val="single" w:color="CCCCCC" w:sz="2"/>
              <w:bottom w:val="single" w:color="CCCCCC" w:sz="2"/>
              <w:right w:val="single" w:color="1A5276"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La variable de gasto social protegido presenta valores faltantes para 8 países en el período 1996–2003. Los datos de desembolsos efectivos del alivio bilateral son menos fiables que los multilaterales.</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Acceso</w:t>
            </w:r>
          </w:p>
        </w:tc>
        <w:tc>
          <w:tcPr>
            <w:tcW w:type="dxa" w:w="7560"/>
            <w:tcBorders>
              <w:top w:val="single" w:color="CCCCCC" w:sz="2"/>
              <w:left w:val="single" w:color="CCCCCC" w:sz="2"/>
              <w:bottom w:val="single" w:color="CCCCCC" w:sz="2"/>
              <w:right w:val="single" w:color="1A5276" w:sz="6"/>
            </w:tcBorders>
            <w:shd w:fill="FAFFFD"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https://www.worldbank.org/en/topic/debt/brief/hipc — Acceso público.</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A5276" w:sz="6"/>
              <w:left w:val="single" w:color="1A5276" w:sz="6"/>
              <w:bottom w:val="single" w:color="1A5276" w:sz="6"/>
              <w:right w:val="single" w:color="1A5276" w:sz="6"/>
            </w:tcBorders>
            <w:shd w:fill="1A5276" w:val="clear"/>
            <w:tcMar>
              <w:top w:type="dxa" w:w="100"/>
              <w:left w:type="dxa" w:w="180"/>
              <w:bottom w:type="dxa" w:w="80"/>
              <w:right w:type="dxa" w:w="180"/>
            </w:tcMar>
          </w:tcPr>
          <w:p>
            <w:r>
              <w:rPr>
                <w:rFonts w:ascii="Times New Roman" w:cs="Times New Roman" w:eastAsia="Times New Roman" w:hAnsi="Times New Roman"/>
                <w:b/>
                <w:bCs/>
                <w:color w:val="A9CCE3"/>
                <w:sz w:val="20"/>
                <w:szCs w:val="20"/>
              </w:rPr>
              <w:t xml:space="preserve">BD2  ·  </w:t>
            </w:r>
            <w:r>
              <w:rPr>
                <w:rFonts w:ascii="Times New Roman" w:cs="Times New Roman" w:eastAsia="Times New Roman" w:hAnsi="Times New Roman"/>
                <w:b/>
                <w:bCs/>
                <w:color w:val="FFFFFF"/>
                <w:sz w:val="20"/>
                <w:szCs w:val="20"/>
              </w:rPr>
              <w:t xml:space="preserve">International Debt Statistics (IDS) / World Development Indicators (WDI) — Banco Mundial</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Cobertura</w:t>
            </w:r>
          </w:p>
        </w:tc>
        <w:tc>
          <w:tcPr>
            <w:tcW w:type="dxa" w:w="7560"/>
            <w:tcBorders>
              <w:top w:val="single" w:color="CCCCCC" w:sz="2"/>
              <w:left w:val="single" w:color="CCCCCC" w:sz="2"/>
              <w:bottom w:val="single" w:color="CCCCCC" w:sz="2"/>
              <w:right w:val="single" w:color="1A5276" w:sz="6"/>
            </w:tcBorders>
            <w:shd w:fill="FAFFFD"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189 países · Período: 1970–2022 (IDS desde 1990) · Actualización: anual.</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Variables clave</w:t>
            </w:r>
          </w:p>
        </w:tc>
        <w:tc>
          <w:tcPr>
            <w:tcW w:type="dxa" w:w="7560"/>
            <w:tcBorders>
              <w:top w:val="single" w:color="CCCCCC" w:sz="2"/>
              <w:left w:val="single" w:color="CCCCCC" w:sz="2"/>
              <w:bottom w:val="single" w:color="CCCCCC" w:sz="2"/>
              <w:right w:val="single" w:color="1A5276"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Ratio deuda externa total/PIB (dxp); ratio deuda/exportaciones; servicio de deuda/ingresos fiscales; PIB per cápita; apertura comercial; inflación; inversión extranjera directa; indicadores sociales (mortalidad infantil, gasto educación y salud).</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Hipótesis vinculada</w:t>
            </w:r>
          </w:p>
        </w:tc>
        <w:tc>
          <w:tcPr>
            <w:tcW w:type="dxa" w:w="7560"/>
            <w:tcBorders>
              <w:top w:val="single" w:color="CCCCCC" w:sz="2"/>
              <w:left w:val="single" w:color="CCCCCC" w:sz="2"/>
              <w:bottom w:val="single" w:color="CCCCCC" w:sz="2"/>
              <w:right w:val="single" w:color="1A5276"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H1 y H2 (variable dependiente principal dxp); H5 (indicadores sociales); H6 (PIB per cápita, apertura, inflación como predictores en análisis de dominancia).</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Limitaciones</w:t>
            </w:r>
          </w:p>
        </w:tc>
        <w:tc>
          <w:tcPr>
            <w:tcW w:type="dxa" w:w="7560"/>
            <w:tcBorders>
              <w:top w:val="single" w:color="CCCCCC" w:sz="2"/>
              <w:left w:val="single" w:color="CCCCCC" w:sz="2"/>
              <w:bottom w:val="single" w:color="CCCCCC" w:sz="2"/>
              <w:right w:val="single" w:color="1A5276"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Cobertura de dxp incompleta para algunos países en conflicto (Somalia, Sudán) en el período 1990–2000.</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Acceso</w:t>
            </w:r>
          </w:p>
        </w:tc>
        <w:tc>
          <w:tcPr>
            <w:tcW w:type="dxa" w:w="7560"/>
            <w:tcBorders>
              <w:top w:val="single" w:color="CCCCCC" w:sz="2"/>
              <w:left w:val="single" w:color="CCCCCC" w:sz="2"/>
              <w:bottom w:val="single" w:color="CCCCCC" w:sz="2"/>
              <w:right w:val="single" w:color="1A5276" w:sz="6"/>
            </w:tcBorders>
            <w:shd w:fill="FAFFFD"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https://databank.worldbank.org/source/world-development-indicators — Acceso público vía API wdi de R.</w:t>
            </w:r>
          </w:p>
        </w:tc>
      </w:tr>
    </w:tbl>
    <w:p>
      <w:pPr>
        <w:spacing w:before="0" w:after="0" w:line="240"/>
      </w:pPr>
      <w:r>
        <w:t xml:space="preserve"/>
      </w:r>
    </w:p>
    <w:p>
      <w:pPr>
        <w:spacing w:before="0" w:after="0" w:line="240"/>
      </w:pPr>
      <w:r>
        <w:t xml:space="preserve"/>
      </w:r>
    </w:p>
    <w:p>
      <w:pPr>
        <w:pStyle w:val="Heading2"/>
        <w:spacing w:before="320" w:after="160"/>
      </w:pPr>
      <w:r>
        <w:rPr>
          <w:rFonts w:ascii="Times New Roman" w:cs="Times New Roman" w:eastAsia="Times New Roman" w:hAnsi="Times New Roman"/>
          <w:b/>
          <w:bCs/>
          <w:color w:val="2E5597"/>
          <w:sz w:val="24"/>
          <w:szCs w:val="24"/>
        </w:rPr>
        <w:t xml:space="preserve">1.5.2 Bases de datos macroeconómicas y de gobernanza</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A5276" w:sz="6"/>
              <w:left w:val="single" w:color="1A5276" w:sz="6"/>
              <w:bottom w:val="single" w:color="1A5276" w:sz="6"/>
              <w:right w:val="single" w:color="1A5276" w:sz="6"/>
            </w:tcBorders>
            <w:shd w:fill="1A5276" w:val="clear"/>
            <w:tcMar>
              <w:top w:type="dxa" w:w="100"/>
              <w:left w:type="dxa" w:w="180"/>
              <w:bottom w:type="dxa" w:w="80"/>
              <w:right w:type="dxa" w:w="180"/>
            </w:tcMar>
          </w:tcPr>
          <w:p>
            <w:r>
              <w:rPr>
                <w:rFonts w:ascii="Times New Roman" w:cs="Times New Roman" w:eastAsia="Times New Roman" w:hAnsi="Times New Roman"/>
                <w:b/>
                <w:bCs/>
                <w:color w:val="A9CCE3"/>
                <w:sz w:val="20"/>
                <w:szCs w:val="20"/>
              </w:rPr>
              <w:t xml:space="preserve">BD3  ·  </w:t>
            </w:r>
            <w:r>
              <w:rPr>
                <w:rFonts w:ascii="Times New Roman" w:cs="Times New Roman" w:eastAsia="Times New Roman" w:hAnsi="Times New Roman"/>
                <w:b/>
                <w:bCs/>
                <w:color w:val="FFFFFF"/>
                <w:sz w:val="20"/>
                <w:szCs w:val="20"/>
              </w:rPr>
              <w:t xml:space="preserve">Worldwide Governance Indicators (WGI) — Banco Mundial (Kaufmann et al., 2010)</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Cobertura</w:t>
            </w:r>
          </w:p>
        </w:tc>
        <w:tc>
          <w:tcPr>
            <w:tcW w:type="dxa" w:w="7560"/>
            <w:tcBorders>
              <w:top w:val="single" w:color="CCCCCC" w:sz="2"/>
              <w:left w:val="single" w:color="CCCCCC" w:sz="2"/>
              <w:bottom w:val="single" w:color="CCCCCC" w:sz="2"/>
              <w:right w:val="single" w:color="1A5276" w:sz="6"/>
            </w:tcBorders>
            <w:shd w:fill="FAFFFD"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215 países · Período: 1996–2022 · Actualización: anual.</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Variables clave</w:t>
            </w:r>
          </w:p>
        </w:tc>
        <w:tc>
          <w:tcPr>
            <w:tcW w:type="dxa" w:w="7560"/>
            <w:tcBorders>
              <w:top w:val="single" w:color="CCCCCC" w:sz="2"/>
              <w:left w:val="single" w:color="CCCCCC" w:sz="2"/>
              <w:bottom w:val="single" w:color="CCCCCC" w:sz="2"/>
              <w:right w:val="single" w:color="1A5276"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Seis dimensiones: voz y rendición de cuentas, estabilidad política, efectividad gubernamental, calidad regulatoria, Estado de derecho, control de la corrupción. Índice compuesto wgi_comp construido por ACP.</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Hipótesis vinculada</w:t>
            </w:r>
          </w:p>
        </w:tc>
        <w:tc>
          <w:tcPr>
            <w:tcW w:type="dxa" w:w="7560"/>
            <w:tcBorders>
              <w:top w:val="single" w:color="CCCCCC" w:sz="2"/>
              <w:left w:val="single" w:color="CCCCCC" w:sz="2"/>
              <w:bottom w:val="single" w:color="CCCCCC" w:sz="2"/>
              <w:right w:val="single" w:color="1A5276"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H5 (moderador gasto social × wgi_comp); H6 (especificación de robustez); variable de control wgi_comp_lag en H1.</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Limitaciones</w:t>
            </w:r>
          </w:p>
        </w:tc>
        <w:tc>
          <w:tcPr>
            <w:tcW w:type="dxa" w:w="7560"/>
            <w:tcBorders>
              <w:top w:val="single" w:color="CCCCCC" w:sz="2"/>
              <w:left w:val="single" w:color="CCCCCC" w:sz="2"/>
              <w:bottom w:val="single" w:color="CCCCCC" w:sz="2"/>
              <w:right w:val="single" w:color="1A5276"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Cobertura desde 1996: no permite medir gobernanza 'previa' al programa para países que culminaron en 2000–2004. Por ello la tesis construye IGC e IGA a partir del QoG Institute con series desde 1900.</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Acceso</w:t>
            </w:r>
          </w:p>
        </w:tc>
        <w:tc>
          <w:tcPr>
            <w:tcW w:type="dxa" w:w="7560"/>
            <w:tcBorders>
              <w:top w:val="single" w:color="CCCCCC" w:sz="2"/>
              <w:left w:val="single" w:color="CCCCCC" w:sz="2"/>
              <w:bottom w:val="single" w:color="CCCCCC" w:sz="2"/>
              <w:right w:val="single" w:color="1A5276" w:sz="6"/>
            </w:tcBorders>
            <w:shd w:fill="FAFFFD"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https://info.worldbank.org/governance/wgi/ — Acceso público.</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A5276" w:sz="6"/>
              <w:left w:val="single" w:color="1A5276" w:sz="6"/>
              <w:bottom w:val="single" w:color="1A5276" w:sz="6"/>
              <w:right w:val="single" w:color="1A5276" w:sz="6"/>
            </w:tcBorders>
            <w:shd w:fill="1A5276" w:val="clear"/>
            <w:tcMar>
              <w:top w:type="dxa" w:w="100"/>
              <w:left w:type="dxa" w:w="180"/>
              <w:bottom w:type="dxa" w:w="80"/>
              <w:right w:type="dxa" w:w="180"/>
            </w:tcMar>
          </w:tcPr>
          <w:p>
            <w:r>
              <w:rPr>
                <w:rFonts w:ascii="Times New Roman" w:cs="Times New Roman" w:eastAsia="Times New Roman" w:hAnsi="Times New Roman"/>
                <w:b/>
                <w:bCs/>
                <w:color w:val="A9CCE3"/>
                <w:sz w:val="20"/>
                <w:szCs w:val="20"/>
              </w:rPr>
              <w:t xml:space="preserve">BD4  ·  </w:t>
            </w:r>
            <w:r>
              <w:rPr>
                <w:rFonts w:ascii="Times New Roman" w:cs="Times New Roman" w:eastAsia="Times New Roman" w:hAnsi="Times New Roman"/>
                <w:b/>
                <w:bCs/>
                <w:color w:val="FFFFFF"/>
                <w:sz w:val="20"/>
                <w:szCs w:val="20"/>
              </w:rPr>
              <w:t xml:space="preserve">QoG Standard Time-Series Dataset — Quality of Government Institute (Teorell et al., 2021)</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Cobertura</w:t>
            </w:r>
          </w:p>
        </w:tc>
        <w:tc>
          <w:tcPr>
            <w:tcW w:type="dxa" w:w="7560"/>
            <w:tcBorders>
              <w:top w:val="single" w:color="CCCCCC" w:sz="2"/>
              <w:left w:val="single" w:color="CCCCCC" w:sz="2"/>
              <w:bottom w:val="single" w:color="CCCCCC" w:sz="2"/>
              <w:right w:val="single" w:color="1A5276" w:sz="6"/>
            </w:tcBorders>
            <w:shd w:fill="FAFFFD"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204 países · Período: 1946–2025 · 1.813 variables · Actualización: anual.</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Variables clave</w:t>
            </w:r>
          </w:p>
        </w:tc>
        <w:tc>
          <w:tcPr>
            <w:tcW w:type="dxa" w:w="7560"/>
            <w:tcBorders>
              <w:top w:val="single" w:color="CCCCCC" w:sz="2"/>
              <w:left w:val="single" w:color="CCCCCC" w:sz="2"/>
              <w:bottom w:val="single" w:color="CCCCCC" w:sz="2"/>
              <w:right w:val="single" w:color="1A5276"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IGC (construido de vdem_corr, vdem_execorr, vdem_pubcorr): cobertura 99.1%. IGA (construido de vdem_libdem, vdem_polyarchy, fh_cl, fh_pr, p_polity2): cobertura 83.9%. Instrumento ajr_settmort: cobertura 79.5%. Instrumento ht_colonial: cobertura 100%. Control ross_oil_prod: cobertura 73.7%.</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Hipótesis vinculada</w:t>
            </w:r>
          </w:p>
        </w:tc>
        <w:tc>
          <w:tcPr>
            <w:tcW w:type="dxa" w:w="7560"/>
            <w:tcBorders>
              <w:top w:val="single" w:color="CCCCCC" w:sz="2"/>
              <w:left w:val="single" w:color="CCCCCC" w:sz="2"/>
              <w:bottom w:val="single" w:color="CCCCCC" w:sz="2"/>
              <w:right w:val="single" w:color="1A5276"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H6 (IGC e IGA como determinantes principales); H4 (ht_colonial como instrumento colonial); H1 (ross_oil_prod como control de shocks); H6 (ajr_settmort como instrumento exógeno de gobernanza).</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Limitaciones</w:t>
            </w:r>
          </w:p>
        </w:tc>
        <w:tc>
          <w:tcPr>
            <w:tcW w:type="dxa" w:w="7560"/>
            <w:tcBorders>
              <w:top w:val="single" w:color="CCCCCC" w:sz="2"/>
              <w:left w:val="single" w:color="CCCCCC" w:sz="2"/>
              <w:bottom w:val="single" w:color="CCCCCC" w:sz="2"/>
              <w:right w:val="single" w:color="1A5276"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p_polity2 tiene cobertura del 84.5% en los países HIPC 1990–2022, lo que reduce la cobertura de IGA respecto a IGC. icrg_qog tiene cobertura del 73.5% y se usa solo en análisis de sensibilidad.</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Acceso</w:t>
            </w:r>
          </w:p>
        </w:tc>
        <w:tc>
          <w:tcPr>
            <w:tcW w:type="dxa" w:w="7560"/>
            <w:tcBorders>
              <w:top w:val="single" w:color="CCCCCC" w:sz="2"/>
              <w:left w:val="single" w:color="CCCCCC" w:sz="2"/>
              <w:bottom w:val="single" w:color="CCCCCC" w:sz="2"/>
              <w:right w:val="single" w:color="1A5276" w:sz="6"/>
            </w:tcBorders>
            <w:shd w:fill="FAFFFD"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https://www.gu.se/en/quality-government/qog-data — Acceso libre. Versión jan26 utilizada: qog_std_ts_jan26.csv.</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A5276" w:sz="6"/>
              <w:left w:val="single" w:color="1A5276" w:sz="6"/>
              <w:bottom w:val="single" w:color="1A5276" w:sz="6"/>
              <w:right w:val="single" w:color="1A5276" w:sz="6"/>
            </w:tcBorders>
            <w:shd w:fill="1A5276" w:val="clear"/>
            <w:tcMar>
              <w:top w:type="dxa" w:w="100"/>
              <w:left w:type="dxa" w:w="180"/>
              <w:bottom w:type="dxa" w:w="80"/>
              <w:right w:type="dxa" w:w="180"/>
            </w:tcMar>
          </w:tcPr>
          <w:p>
            <w:r>
              <w:rPr>
                <w:rFonts w:ascii="Times New Roman" w:cs="Times New Roman" w:eastAsia="Times New Roman" w:hAnsi="Times New Roman"/>
                <w:b/>
                <w:bCs/>
                <w:color w:val="A9CCE3"/>
                <w:sz w:val="20"/>
                <w:szCs w:val="20"/>
              </w:rPr>
              <w:t xml:space="preserve">BD5  ·  </w:t>
            </w:r>
            <w:r>
              <w:rPr>
                <w:rFonts w:ascii="Times New Roman" w:cs="Times New Roman" w:eastAsia="Times New Roman" w:hAnsi="Times New Roman"/>
                <w:b/>
                <w:bCs/>
                <w:color w:val="FFFFFF"/>
                <w:sz w:val="20"/>
                <w:szCs w:val="20"/>
              </w:rPr>
              <w:t xml:space="preserve">DSA Database — FMI (Debt Sustainability Analysis, Low-Income Countries)</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Cobertura</w:t>
            </w:r>
          </w:p>
        </w:tc>
        <w:tc>
          <w:tcPr>
            <w:tcW w:type="dxa" w:w="7560"/>
            <w:tcBorders>
              <w:top w:val="single" w:color="CCCCCC" w:sz="2"/>
              <w:left w:val="single" w:color="CCCCCC" w:sz="2"/>
              <w:bottom w:val="single" w:color="CCCCCC" w:sz="2"/>
              <w:right w:val="single" w:color="1A5276" w:sz="6"/>
            </w:tcBorders>
            <w:shd w:fill="FAFFFD"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69 países de bajos ingresos (incluye los 39 países HIPC) · Período: 2006–2022 · Actualización: anual.</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Variables clave</w:t>
            </w:r>
          </w:p>
        </w:tc>
        <w:tc>
          <w:tcPr>
            <w:tcW w:type="dxa" w:w="7560"/>
            <w:tcBorders>
              <w:top w:val="single" w:color="CCCCCC" w:sz="2"/>
              <w:left w:val="single" w:color="CCCCCC" w:sz="2"/>
              <w:bottom w:val="single" w:color="CCCCCC" w:sz="2"/>
              <w:right w:val="single" w:color="1A5276"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Clasificación de riesgo DSF: bajo/moderado/alto/en dificultades (dsf_high); proyecciones de deuda bajo distintos escenarios de shock; umbrales de sostenibilidad por estructura exportadora.</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Hipótesis vinculada</w:t>
            </w:r>
          </w:p>
        </w:tc>
        <w:tc>
          <w:tcPr>
            <w:tcW w:type="dxa" w:w="7560"/>
            <w:tcBorders>
              <w:top w:val="single" w:color="CCCCCC" w:sz="2"/>
              <w:left w:val="single" w:color="CCCCCC" w:sz="2"/>
              <w:bottom w:val="single" w:color="CCCCCC" w:sz="2"/>
              <w:right w:val="single" w:color="1A5276"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H2 (evento de reversión dsf_high=1 por dos años consecutivos); H7 (reingreso en clasificación de alto riesgo como variable de supervivencia).</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Limitaciones</w:t>
            </w:r>
          </w:p>
        </w:tc>
        <w:tc>
          <w:tcPr>
            <w:tcW w:type="dxa" w:w="7560"/>
            <w:tcBorders>
              <w:top w:val="single" w:color="CCCCCC" w:sz="2"/>
              <w:left w:val="single" w:color="CCCCCC" w:sz="2"/>
              <w:bottom w:val="single" w:color="CCCCCC" w:sz="2"/>
              <w:right w:val="single" w:color="1A5276"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La clasificación DSF solo existe desde 2006, lo que limita el análisis de reversión para países que culminaron antes de 2000.</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Acceso</w:t>
            </w:r>
          </w:p>
        </w:tc>
        <w:tc>
          <w:tcPr>
            <w:tcW w:type="dxa" w:w="7560"/>
            <w:tcBorders>
              <w:top w:val="single" w:color="CCCCCC" w:sz="2"/>
              <w:left w:val="single" w:color="CCCCCC" w:sz="2"/>
              <w:bottom w:val="single" w:color="CCCCCC" w:sz="2"/>
              <w:right w:val="single" w:color="1A5276" w:sz="6"/>
            </w:tcBorders>
            <w:shd w:fill="FAFFFD"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https://www.imf.org/en/Publications/DSA — Acceso público.</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A5276" w:sz="6"/>
              <w:left w:val="single" w:color="1A5276" w:sz="6"/>
              <w:bottom w:val="single" w:color="1A5276" w:sz="6"/>
              <w:right w:val="single" w:color="1A5276" w:sz="6"/>
            </w:tcBorders>
            <w:shd w:fill="1A5276" w:val="clear"/>
            <w:tcMar>
              <w:top w:type="dxa" w:w="100"/>
              <w:left w:type="dxa" w:w="180"/>
              <w:bottom w:type="dxa" w:w="80"/>
              <w:right w:type="dxa" w:w="180"/>
            </w:tcMar>
          </w:tcPr>
          <w:p>
            <w:r>
              <w:rPr>
                <w:rFonts w:ascii="Times New Roman" w:cs="Times New Roman" w:eastAsia="Times New Roman" w:hAnsi="Times New Roman"/>
                <w:b/>
                <w:bCs/>
                <w:color w:val="A9CCE3"/>
                <w:sz w:val="20"/>
                <w:szCs w:val="20"/>
              </w:rPr>
              <w:t xml:space="preserve">BD6  ·  </w:t>
            </w:r>
            <w:r>
              <w:rPr>
                <w:rFonts w:ascii="Times New Roman" w:cs="Times New Roman" w:eastAsia="Times New Roman" w:hAnsi="Times New Roman"/>
                <w:b/>
                <w:bCs/>
                <w:color w:val="FFFFFF"/>
                <w:sz w:val="20"/>
                <w:szCs w:val="20"/>
              </w:rPr>
              <w:t xml:space="preserve">AidData's Global Chinese Development Finance Dataset v2.0 (AidData, 2023)</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Cobertura</w:t>
            </w:r>
          </w:p>
        </w:tc>
        <w:tc>
          <w:tcPr>
            <w:tcW w:type="dxa" w:w="7560"/>
            <w:tcBorders>
              <w:top w:val="single" w:color="CCCCCC" w:sz="2"/>
              <w:left w:val="single" w:color="CCCCCC" w:sz="2"/>
              <w:bottom w:val="single" w:color="CCCCCC" w:sz="2"/>
              <w:right w:val="single" w:color="1A5276" w:sz="6"/>
            </w:tcBorders>
            <w:shd w:fill="FAFFFD"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165 países · Período: 2000–2021 · Actualización: periódica.</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Variables clave</w:t>
            </w:r>
          </w:p>
        </w:tc>
        <w:tc>
          <w:tcPr>
            <w:tcW w:type="dxa" w:w="7560"/>
            <w:tcBorders>
              <w:top w:val="single" w:color="CCCCCC" w:sz="2"/>
              <w:left w:val="single" w:color="CCCCCC" w:sz="2"/>
              <w:bottom w:val="single" w:color="CCCCCC" w:sz="2"/>
              <w:right w:val="single" w:color="1A5276"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Stock de deuda bilateral con China (CHINA_LOAN_MUSD); número de proyectos financiados; condiciones financieras (tasa de interés, vencimiento, cláusulas de garantía) de los contratos de deuda china.</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Hipótesis vinculada</w:t>
            </w:r>
          </w:p>
        </w:tc>
        <w:tc>
          <w:tcPr>
            <w:tcW w:type="dxa" w:w="7560"/>
            <w:tcBorders>
              <w:top w:val="single" w:color="CCCCCC" w:sz="2"/>
              <w:left w:val="single" w:color="CCCCCC" w:sz="2"/>
              <w:bottom w:val="single" w:color="CCCCCC" w:sz="2"/>
              <w:right w:val="single" w:color="1A5276"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H7 (reendeudamiento con acreedores no tradicionales); H2 (H7 en versión anterior) para documentar la aceleración del endeudamiento chino post-completion.</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Limitaciones</w:t>
            </w:r>
          </w:p>
        </w:tc>
        <w:tc>
          <w:tcPr>
            <w:tcW w:type="dxa" w:w="7560"/>
            <w:tcBorders>
              <w:top w:val="single" w:color="CCCCCC" w:sz="2"/>
              <w:left w:val="single" w:color="CCCCCC" w:sz="2"/>
              <w:bottom w:val="single" w:color="CCCCCC" w:sz="2"/>
              <w:right w:val="single" w:color="1A5276"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Los datos de AidData v2.0 cubren hasta 2021. Para 2022 se complementa con datos del Banco Mundial IDS. La identificación de préstamos versus donaciones puede presentar errores de clasificación.</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Acceso</w:t>
            </w:r>
          </w:p>
        </w:tc>
        <w:tc>
          <w:tcPr>
            <w:tcW w:type="dxa" w:w="7560"/>
            <w:tcBorders>
              <w:top w:val="single" w:color="CCCCCC" w:sz="2"/>
              <w:left w:val="single" w:color="CCCCCC" w:sz="2"/>
              <w:bottom w:val="single" w:color="CCCCCC" w:sz="2"/>
              <w:right w:val="single" w:color="1A5276" w:sz="6"/>
            </w:tcBorders>
            <w:shd w:fill="FAFFFD"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https://www.aiddata.org/data/aiddatas-global-chinese-development-finance-dataset-version-2-0 — Acceso público.</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A5276" w:sz="6"/>
              <w:left w:val="single" w:color="1A5276" w:sz="6"/>
              <w:bottom w:val="single" w:color="1A5276" w:sz="6"/>
              <w:right w:val="single" w:color="1A5276" w:sz="6"/>
            </w:tcBorders>
            <w:shd w:fill="1A5276" w:val="clear"/>
            <w:tcMar>
              <w:top w:type="dxa" w:w="100"/>
              <w:left w:type="dxa" w:w="180"/>
              <w:bottom w:type="dxa" w:w="80"/>
              <w:right w:type="dxa" w:w="180"/>
            </w:tcMar>
          </w:tcPr>
          <w:p>
            <w:r>
              <w:rPr>
                <w:rFonts w:ascii="Times New Roman" w:cs="Times New Roman" w:eastAsia="Times New Roman" w:hAnsi="Times New Roman"/>
                <w:b/>
                <w:bCs/>
                <w:color w:val="A9CCE3"/>
                <w:sz w:val="20"/>
                <w:szCs w:val="20"/>
              </w:rPr>
              <w:t xml:space="preserve">BD7  ·  </w:t>
            </w:r>
            <w:r>
              <w:rPr>
                <w:rFonts w:ascii="Times New Roman" w:cs="Times New Roman" w:eastAsia="Times New Roman" w:hAnsi="Times New Roman"/>
                <w:b/>
                <w:bCs/>
                <w:color w:val="FFFFFF"/>
                <w:sz w:val="20"/>
                <w:szCs w:val="20"/>
              </w:rPr>
              <w:t xml:space="preserve">IMF MONA Database / Kentikelenis et al. (2016) — Condicionalidades</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Cobertura</w:t>
            </w:r>
          </w:p>
        </w:tc>
        <w:tc>
          <w:tcPr>
            <w:tcW w:type="dxa" w:w="7560"/>
            <w:tcBorders>
              <w:top w:val="single" w:color="CCCCCC" w:sz="2"/>
              <w:left w:val="single" w:color="CCCCCC" w:sz="2"/>
              <w:bottom w:val="single" w:color="CCCCCC" w:sz="2"/>
              <w:right w:val="single" w:color="1A5276" w:sz="6"/>
            </w:tcBorders>
            <w:shd w:fill="FAFFFD"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Kentikelenis et al.: programas FMI 1985–2014. MONA-FMI: hasta 2022 (acceso institucional).</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Variables clave</w:t>
            </w:r>
          </w:p>
        </w:tc>
        <w:tc>
          <w:tcPr>
            <w:tcW w:type="dxa" w:w="7560"/>
            <w:tcBorders>
              <w:top w:val="single" w:color="CCCCCC" w:sz="2"/>
              <w:left w:val="single" w:color="CCCCCC" w:sz="2"/>
              <w:bottom w:val="single" w:color="CCCCCC" w:sz="2"/>
              <w:right w:val="single" w:color="1A5276"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Número y tipo de condicionalidades por programa (estructurales vs. cuantitativas); grado de cumplimiento individual por condicionalidad; número de waivers otorgados; estado de implementación.</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Hipótesis vinculada</w:t>
            </w:r>
          </w:p>
        </w:tc>
        <w:tc>
          <w:tcPr>
            <w:tcW w:type="dxa" w:w="7560"/>
            <w:tcBorders>
              <w:top w:val="single" w:color="CCCCCC" w:sz="2"/>
              <w:left w:val="single" w:color="CCCCCC" w:sz="2"/>
              <w:bottom w:val="single" w:color="CCCCCC" w:sz="2"/>
              <w:right w:val="single" w:color="1A5276"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H3 (índice ICP de brecha condicionalidades-cumplimiento); H4 (determinantes geopolíticos de la brecha).</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Limitaciones</w:t>
            </w:r>
          </w:p>
        </w:tc>
        <w:tc>
          <w:tcPr>
            <w:tcW w:type="dxa" w:w="7560"/>
            <w:tcBorders>
              <w:top w:val="single" w:color="CCCCCC" w:sz="2"/>
              <w:left w:val="single" w:color="CCCCCC" w:sz="2"/>
              <w:bottom w:val="single" w:color="CCCCCC" w:sz="2"/>
              <w:right w:val="single" w:color="1A5276"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Kentikelenis et al. (2016) cubre hasta 2014. Para países que culminaron después de esa fecha (Costa de Marfil, Guinea, Islas Salomón, Myanmar) se complementa con datos directos de MONA-FMI.</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Acceso</w:t>
            </w:r>
          </w:p>
        </w:tc>
        <w:tc>
          <w:tcPr>
            <w:tcW w:type="dxa" w:w="7560"/>
            <w:tcBorders>
              <w:top w:val="single" w:color="CCCCCC" w:sz="2"/>
              <w:left w:val="single" w:color="CCCCCC" w:sz="2"/>
              <w:bottom w:val="single" w:color="CCCCCC" w:sz="2"/>
              <w:right w:val="single" w:color="1A5276" w:sz="6"/>
            </w:tcBorders>
            <w:shd w:fill="FAFFFD"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Kentikelenis et al.: doi:10.1016/j.worlddev.2016.01.005. MONA-FMI: acceso institucional vía API del FMI.</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A5276" w:sz="6"/>
              <w:left w:val="single" w:color="1A5276" w:sz="6"/>
              <w:bottom w:val="single" w:color="1A5276" w:sz="6"/>
              <w:right w:val="single" w:color="1A5276" w:sz="6"/>
            </w:tcBorders>
            <w:shd w:fill="1A5276" w:val="clear"/>
            <w:tcMar>
              <w:top w:type="dxa" w:w="100"/>
              <w:left w:type="dxa" w:w="180"/>
              <w:bottom w:type="dxa" w:w="80"/>
              <w:right w:type="dxa" w:w="180"/>
            </w:tcMar>
          </w:tcPr>
          <w:p>
            <w:r>
              <w:rPr>
                <w:rFonts w:ascii="Times New Roman" w:cs="Times New Roman" w:eastAsia="Times New Roman" w:hAnsi="Times New Roman"/>
                <w:b/>
                <w:bCs/>
                <w:color w:val="A9CCE3"/>
                <w:sz w:val="20"/>
                <w:szCs w:val="20"/>
              </w:rPr>
              <w:t xml:space="preserve">BD8  ·  </w:t>
            </w:r>
            <w:r>
              <w:rPr>
                <w:rFonts w:ascii="Times New Roman" w:cs="Times New Roman" w:eastAsia="Times New Roman" w:hAnsi="Times New Roman"/>
                <w:b/>
                <w:bCs/>
                <w:color w:val="FFFFFF"/>
                <w:sz w:val="20"/>
                <w:szCs w:val="20"/>
              </w:rPr>
              <w:t xml:space="preserve">UN Comtrade / BACI — Comercio bilateral internacional</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Cobertura</w:t>
            </w:r>
          </w:p>
        </w:tc>
        <w:tc>
          <w:tcPr>
            <w:tcW w:type="dxa" w:w="7560"/>
            <w:tcBorders>
              <w:top w:val="single" w:color="CCCCCC" w:sz="2"/>
              <w:left w:val="single" w:color="CCCCCC" w:sz="2"/>
              <w:bottom w:val="single" w:color="CCCCCC" w:sz="2"/>
              <w:right w:val="single" w:color="1A5276" w:sz="6"/>
            </w:tcBorders>
            <w:shd w:fill="FAFFFD"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200+ países · Período: 1988–presente · Actualización: anual.</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Variables clave</w:t>
            </w:r>
          </w:p>
        </w:tc>
        <w:tc>
          <w:tcPr>
            <w:tcW w:type="dxa" w:w="7560"/>
            <w:tcBorders>
              <w:top w:val="single" w:color="CCCCCC" w:sz="2"/>
              <w:left w:val="single" w:color="CCCCCC" w:sz="2"/>
              <w:bottom w:val="single" w:color="CCCCCC" w:sz="2"/>
              <w:right w:val="single" w:color="1A5276"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Exportaciones bilaterales país HIPC i → accionista FMI j por categoría de producto (HS6); participación de recursos estratégicos (petróleo, minerales críticos, cacao, café) en las exportaciones totales.</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Hipótesis vinculada</w:t>
            </w:r>
          </w:p>
        </w:tc>
        <w:tc>
          <w:tcPr>
            <w:tcW w:type="dxa" w:w="7560"/>
            <w:tcBorders>
              <w:top w:val="single" w:color="CCCCCC" w:sz="2"/>
              <w:left w:val="single" w:color="CCCCCC" w:sz="2"/>
              <w:bottom w:val="single" w:color="CCCCCC" w:sz="2"/>
              <w:right w:val="single" w:color="1A5276"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H4 (construcción del instrumento TradeSaliency_ij para la estimación 2SLS de la proximidad geopolítica).</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Limitaciones</w:t>
            </w:r>
          </w:p>
        </w:tc>
        <w:tc>
          <w:tcPr>
            <w:tcW w:type="dxa" w:w="7560"/>
            <w:tcBorders>
              <w:top w:val="single" w:color="CCCCCC" w:sz="2"/>
              <w:left w:val="single" w:color="CCCCCC" w:sz="2"/>
              <w:bottom w:val="single" w:color="CCCCCC" w:sz="2"/>
              <w:right w:val="single" w:color="1A5276"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La clasificación de 'recursos estratégicos' requiere una definición operacional específica; se adopta la clasificación de commodities de alto valor estratégico de Gelpern et al. (2021) como referencia.</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Acceso</w:t>
            </w:r>
          </w:p>
        </w:tc>
        <w:tc>
          <w:tcPr>
            <w:tcW w:type="dxa" w:w="7560"/>
            <w:tcBorders>
              <w:top w:val="single" w:color="CCCCCC" w:sz="2"/>
              <w:left w:val="single" w:color="CCCCCC" w:sz="2"/>
              <w:bottom w:val="single" w:color="CCCCCC" w:sz="2"/>
              <w:right w:val="single" w:color="1A5276" w:sz="6"/>
            </w:tcBorders>
            <w:shd w:fill="FAFFFD"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https://comtradeplus.un.org/ — Acceso público. Base BACI: http://www.cepii.fr/CEPII/en/bdd_modele/bdd_modele_item.asp?id=37</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A5276" w:sz="6"/>
              <w:left w:val="single" w:color="1A5276" w:sz="6"/>
              <w:bottom w:val="single" w:color="1A5276" w:sz="6"/>
              <w:right w:val="single" w:color="1A5276" w:sz="6"/>
            </w:tcBorders>
            <w:shd w:fill="1A5276" w:val="clear"/>
            <w:tcMar>
              <w:top w:type="dxa" w:w="100"/>
              <w:left w:type="dxa" w:w="180"/>
              <w:bottom w:type="dxa" w:w="80"/>
              <w:right w:type="dxa" w:w="180"/>
            </w:tcMar>
          </w:tcPr>
          <w:p>
            <w:r>
              <w:rPr>
                <w:rFonts w:ascii="Times New Roman" w:cs="Times New Roman" w:eastAsia="Times New Roman" w:hAnsi="Times New Roman"/>
                <w:b/>
                <w:bCs/>
                <w:color w:val="A9CCE3"/>
                <w:sz w:val="20"/>
                <w:szCs w:val="20"/>
              </w:rPr>
              <w:t xml:space="preserve">BD9  ·  </w:t>
            </w:r>
            <w:r>
              <w:rPr>
                <w:rFonts w:ascii="Times New Roman" w:cs="Times New Roman" w:eastAsia="Times New Roman" w:hAnsi="Times New Roman"/>
                <w:b/>
                <w:bCs/>
                <w:color w:val="FFFFFF"/>
                <w:sz w:val="20"/>
                <w:szCs w:val="20"/>
              </w:rPr>
              <w:t xml:space="preserve">UNDP Human Development Data Center — PNUD (2023)</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Cobertura</w:t>
            </w:r>
          </w:p>
        </w:tc>
        <w:tc>
          <w:tcPr>
            <w:tcW w:type="dxa" w:w="7560"/>
            <w:tcBorders>
              <w:top w:val="single" w:color="CCCCCC" w:sz="2"/>
              <w:left w:val="single" w:color="CCCCCC" w:sz="2"/>
              <w:bottom w:val="single" w:color="CCCCCC" w:sz="2"/>
              <w:right w:val="single" w:color="1A5276" w:sz="6"/>
            </w:tcBorders>
            <w:shd w:fill="FAFFFD"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191 países · Período: 1990–2022 · Actualización: anual.</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Variables clave</w:t>
            </w:r>
          </w:p>
        </w:tc>
        <w:tc>
          <w:tcPr>
            <w:tcW w:type="dxa" w:w="7560"/>
            <w:tcBorders>
              <w:top w:val="single" w:color="CCCCCC" w:sz="2"/>
              <w:left w:val="single" w:color="CCCCCC" w:sz="2"/>
              <w:bottom w:val="single" w:color="CCCCCC" w:sz="2"/>
              <w:right w:val="single" w:color="1A5276"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Índice de Desarrollo Humano (IDH) y sus componentes; índice de desigualdad de género; esperanza de vida al nacer; años de escolarización.</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Hipótesis vinculada</w:t>
            </w:r>
          </w:p>
        </w:tc>
        <w:tc>
          <w:tcPr>
            <w:tcW w:type="dxa" w:w="7560"/>
            <w:tcBorders>
              <w:top w:val="single" w:color="CCCCCC" w:sz="2"/>
              <w:left w:val="single" w:color="CCCCCC" w:sz="2"/>
              <w:bottom w:val="single" w:color="CCCCCC" w:sz="2"/>
              <w:right w:val="single" w:color="1A5276" w:sz="6"/>
            </w:tcBorders>
            <w:shd w:fill="F0F4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H5 (IDH como variable dependiente en análisis de impacto social del alivio sobre desarrollo humano).</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Limitaciones</w:t>
            </w:r>
          </w:p>
        </w:tc>
        <w:tc>
          <w:tcPr>
            <w:tcW w:type="dxa" w:w="7560"/>
            <w:tcBorders>
              <w:top w:val="single" w:color="CCCCCC" w:sz="2"/>
              <w:left w:val="single" w:color="CCCCCC" w:sz="2"/>
              <w:bottom w:val="single" w:color="CCCCCC" w:sz="2"/>
              <w:right w:val="single" w:color="1A5276" w:sz="6"/>
            </w:tcBorders>
            <w:shd w:fill="FFFFFF"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El IDH es un índice compuesto que puede enmascarar heterogeneidad en las dimensiones individuales. Se complementa con indicadores sectoriales del WDI.</w:t>
            </w:r>
          </w:p>
        </w:tc>
      </w:tr>
      <w:tr>
        <w:tc>
          <w:tcPr>
            <w:tcW w:type="dxa" w:w="1800"/>
            <w:tcBorders>
              <w:top w:val="single" w:color="CCCCCC" w:sz="2"/>
              <w:left w:val="single" w:color="1A5276" w:sz="6"/>
              <w:bottom w:val="single" w:color="CCCCCC" w:sz="2"/>
              <w:right w:val="single" w:color="CCCCCC" w:sz="2"/>
            </w:tcBorders>
            <w:shd w:fill="E8F8F5" w:val="clear"/>
            <w:tcMar>
              <w:top w:type="dxa" w:w="70"/>
              <w:left w:type="dxa" w:w="120"/>
              <w:bottom w:type="dxa" w:w="70"/>
              <w:right w:type="dxa" w:w="80"/>
            </w:tcMar>
            <w:vAlign w:val="center"/>
          </w:tcPr>
          <w:p>
            <w:r>
              <w:rPr>
                <w:rFonts w:ascii="Times New Roman" w:cs="Times New Roman" w:eastAsia="Times New Roman" w:hAnsi="Times New Roman"/>
                <w:b/>
                <w:bCs/>
                <w:color w:val="1A5276"/>
                <w:sz w:val="19"/>
                <w:szCs w:val="19"/>
              </w:rPr>
              <w:t xml:space="preserve">Acceso</w:t>
            </w:r>
          </w:p>
        </w:tc>
        <w:tc>
          <w:tcPr>
            <w:tcW w:type="dxa" w:w="7560"/>
            <w:tcBorders>
              <w:top w:val="single" w:color="CCCCCC" w:sz="2"/>
              <w:left w:val="single" w:color="CCCCCC" w:sz="2"/>
              <w:bottom w:val="single" w:color="CCCCCC" w:sz="2"/>
              <w:right w:val="single" w:color="1A5276" w:sz="6"/>
            </w:tcBorders>
            <w:shd w:fill="FAFFFD" w:val="clear"/>
            <w:tcMar>
              <w:top w:type="dxa" w:w="70"/>
              <w:left w:type="dxa" w:w="120"/>
              <w:bottom w:type="dxa" w:w="70"/>
              <w:right w:type="dxa" w:w="120"/>
            </w:tcMar>
          </w:tcPr>
          <w:p>
            <w:pPr>
              <w:jc w:val="both"/>
            </w:pPr>
            <w:r>
              <w:rPr>
                <w:rFonts w:ascii="Times New Roman" w:cs="Times New Roman" w:eastAsia="Times New Roman" w:hAnsi="Times New Roman"/>
                <w:color w:val="222222"/>
                <w:sz w:val="19"/>
                <w:szCs w:val="19"/>
              </w:rPr>
              <w:t xml:space="preserve">https://hdr.undp.org/data-center — Acceso público.</w:t>
            </w:r>
          </w:p>
        </w:tc>
      </w:tr>
    </w:tbl>
    <w:p>
      <w:pPr>
        <w:spacing w:before="0" w:after="0" w:line="240"/>
      </w:pPr>
      <w:r>
        <w:t xml:space="preserve"/>
      </w:r>
    </w:p>
    <w:p>
      <w:pPr>
        <w:spacing w:before="0" w:after="0" w:line="240"/>
      </w:pPr>
      <w:r>
        <w:t xml:space="preserve"/>
      </w:r>
    </w:p>
    <w:p>
      <w:r>
        <w:r>
          <w:br w:type="page"/>
        </w:r>
      </w:r>
    </w:p>
    <w:p>
      <w:pPr>
        <w:spacing w:before="200" w:after="80"/>
        <w:jc w:val="center"/>
      </w:pPr>
      <w:r>
        <w:rPr>
          <w:rFonts w:ascii="Times New Roman" w:cs="Times New Roman" w:eastAsia="Times New Roman" w:hAnsi="Times New Roman"/>
          <w:i/>
          <w:iCs/>
          <w:color w:val="2E5597"/>
          <w:sz w:val="22"/>
          <w:szCs w:val="22"/>
        </w:rPr>
        <w:t xml:space="preserve">Sección 1.6</w:t>
      </w:r>
    </w:p>
    <w:p>
      <w:pPr>
        <w:spacing w:before="0" w:after="400"/>
        <w:jc w:val="center"/>
      </w:pPr>
      <w:r>
        <w:rPr>
          <w:rFonts w:ascii="Times New Roman" w:cs="Times New Roman" w:eastAsia="Times New Roman" w:hAnsi="Times New Roman"/>
          <w:b/>
          <w:bCs/>
          <w:color w:val="1F3864"/>
          <w:sz w:val="28"/>
          <w:szCs w:val="28"/>
        </w:rPr>
        <w:t xml:space="preserve">Estructura de la tesis</w:t>
      </w:r>
    </w:p>
    <w:p>
      <w:pPr>
        <w:spacing w:before="0" w:after="60" w:line="320"/>
        <w:ind w:left="3200"/>
        <w:jc w:val="right"/>
      </w:pPr>
      <w:r>
        <w:rPr>
          <w:rFonts w:ascii="Times New Roman" w:cs="Times New Roman" w:eastAsia="Times New Roman" w:hAnsi="Times New Roman"/>
          <w:i/>
          <w:iCs/>
          <w:color w:val="444444"/>
          <w:sz w:val="20"/>
          <w:szCs w:val="20"/>
        </w:rPr>
        <w:t xml:space="preserve">«La estructura de una tesis doctoral no es un índice: es la arquitectura lógica de un argumento. Cada capítulo debe responder a una pregunta que el anterior ha dejado abierta.»</w:t>
      </w:r>
    </w:p>
    <w:p>
      <w:pPr>
        <w:spacing w:before="0" w:after="500"/>
        <w:ind w:left="3200"/>
        <w:jc w:val="right"/>
      </w:pPr>
      <w:r>
        <w:rPr>
          <w:rFonts w:ascii="Times New Roman" w:cs="Times New Roman" w:eastAsia="Times New Roman" w:hAnsi="Times New Roman"/>
          <w:color w:val="666666"/>
          <w:sz w:val="20"/>
          <w:szCs w:val="20"/>
        </w:rPr>
        <w:t xml:space="preserve">Eco (2001, p. 148)</w:t>
      </w:r>
    </w:p>
    <w:p>
      <w:pPr>
        <w:pStyle w:val="Heading1"/>
        <w:spacing w:before="480" w:after="200"/>
      </w:pPr>
      <w:r>
        <w:rPr>
          <w:rFonts w:ascii="Times New Roman" w:cs="Times New Roman" w:eastAsia="Times New Roman" w:hAnsi="Times New Roman"/>
          <w:b/>
          <w:bCs/>
          <w:color w:val="1F3864"/>
          <w:sz w:val="28"/>
          <w:szCs w:val="28"/>
        </w:rPr>
        <w:t xml:space="preserve">1.6 Estructura de la tesis</w:t>
      </w:r>
    </w:p>
    <w:p>
      <w:pPr>
        <w:spacing w:before="0" w:after="200" w:line="360" w:lineRule="auto"/>
        <w:ind w:firstLine="720"/>
        <w:jc w:val="both"/>
      </w:pPr>
      <w:r>
        <w:rPr>
          <w:rFonts w:ascii="Times New Roman" w:cs="Times New Roman" w:eastAsia="Times New Roman" w:hAnsi="Times New Roman"/>
          <w:sz w:val="24"/>
          <w:szCs w:val="24"/>
        </w:rPr>
        <w:t xml:space="preserve">La estructura de la tesis refleja la arquitectura lógica del problema de investigación: cada capítulo responde a una pregunta que el anterior ha dejado planteada, y el conjunto forma una cadena argumentativa que va desde la formulación del problema hasta las conclusiones de política económica. La tesis se organiza en siete capítulos distribuidos en tres bloques funcionales: el bloque teórico-metodológico (Capítulos 1, 2 y 3), el bloque empírico (Capítulos 4 y 5), y el bloque comparado y conclusivo (Capítulos 6 y 7). La extensión estimada es de aproximadamente 420–460 páginas, incluyendo tablas, figuras, bibliografía y anexos.</w:t>
      </w:r>
    </w:p>
    <w:p>
      <w:pPr>
        <w:pStyle w:val="Heading2"/>
        <w:spacing w:before="320" w:after="160"/>
      </w:pPr>
      <w:r>
        <w:rPr>
          <w:rFonts w:ascii="Times New Roman" w:cs="Times New Roman" w:eastAsia="Times New Roman" w:hAnsi="Times New Roman"/>
          <w:b/>
          <w:bCs/>
          <w:color w:val="2E5597"/>
          <w:sz w:val="24"/>
          <w:szCs w:val="24"/>
        </w:rPr>
        <w:t xml:space="preserve">1.6.1 Visión de conjunto: el hilo argumentativo de la tesis</w:t>
      </w:r>
    </w:p>
    <w:p>
      <w:pPr>
        <w:spacing w:before="0" w:after="200" w:line="360" w:lineRule="auto"/>
        <w:ind w:firstLine="720"/>
        <w:jc w:val="both"/>
      </w:pPr>
      <w:r>
        <w:rPr>
          <w:rFonts w:ascii="Times New Roman" w:cs="Times New Roman" w:eastAsia="Times New Roman" w:hAnsi="Times New Roman"/>
          <w:sz w:val="24"/>
          <w:szCs w:val="24"/>
        </w:rPr>
        <w:t xml:space="preserve">La tesis construye su argumento central en cinco pasos lógicos que se corresponden con los cinco capítulos posteriores a esta introducción:</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2E5597" w:sz="4"/>
              <w:left w:val="single" w:color="2E5597" w:sz="4"/>
              <w:bottom w:val="single" w:color="2E5597" w:sz="4"/>
              <w:right w:val="single" w:color="DDDDDD" w:sz="2"/>
            </w:tcBorders>
            <w:shd w:fill="2E5597" w:val="clear"/>
            <w:tcMar>
              <w:top w:type="dxa" w:w="100"/>
              <w:left w:type="dxa" w:w="120"/>
              <w:bottom w:type="dxa" w:w="100"/>
              <w:right w:type="dxa" w:w="100"/>
            </w:tcMar>
            <w:vAlign w:val="center"/>
          </w:tcPr>
          <w:p>
            <w:pPr>
              <w:jc w:val="center"/>
            </w:pPr>
            <w:r>
              <w:rPr>
                <w:rFonts w:ascii="Times New Roman" w:cs="Times New Roman" w:eastAsia="Times New Roman" w:hAnsi="Times New Roman"/>
                <w:b/>
                <w:bCs/>
                <w:color w:val="FFFFFF"/>
                <w:sz w:val="20"/>
                <w:szCs w:val="20"/>
              </w:rPr>
              <w:t xml:space="preserve">Paso 1</w:t>
            </w:r>
          </w:p>
          <w:p>
            <w:pPr>
              <w:jc w:val="center"/>
            </w:pPr>
            <w:r>
              <w:rPr>
                <w:rFonts w:ascii="Times New Roman" w:cs="Times New Roman" w:eastAsia="Times New Roman" w:hAnsi="Times New Roman"/>
                <w:color w:val="AACCFF"/>
                <w:sz w:val="18"/>
                <w:szCs w:val="18"/>
              </w:rPr>
              <w:t xml:space="preserve">Cap. 2</w:t>
            </w:r>
          </w:p>
        </w:tc>
        <w:tc>
          <w:tcPr>
            <w:tcBorders>
              <w:top w:val="single" w:color="2E5597" w:sz="4"/>
              <w:left w:val="single" w:color="DDDDDD" w:sz="2"/>
              <w:bottom w:val="single" w:color="2E5597" w:sz="4"/>
              <w:right w:val="single" w:color="2E5597" w:sz="4"/>
            </w:tcBorders>
            <w:shd w:fill="F7FAFF" w:val="clear"/>
            <w:tcMar>
              <w:top w:type="dxa" w:w="100"/>
              <w:left w:type="dxa" w:w="160"/>
              <w:bottom w:type="dxa" w:w="100"/>
              <w:right w:type="dxa" w:w="160"/>
            </w:tcMar>
          </w:tcPr>
          <w:p>
            <w:r>
              <w:rPr>
                <w:rFonts w:ascii="Times New Roman" w:cs="Times New Roman" w:eastAsia="Times New Roman" w:hAnsi="Times New Roman"/>
                <w:b/>
                <w:bCs/>
                <w:color w:val="1F3864"/>
                <w:sz w:val="20"/>
                <w:szCs w:val="20"/>
              </w:rPr>
              <w:t xml:space="preserve">¿Qué dice la teoría?</w:t>
            </w:r>
          </w:p>
          <w:p>
            <w:pPr>
              <w:spacing w:before="60"/>
              <w:jc w:val="both"/>
            </w:pPr>
            <w:r>
              <w:rPr>
                <w:rFonts w:ascii="Times New Roman" w:cs="Times New Roman" w:eastAsia="Times New Roman" w:hAnsi="Times New Roman"/>
                <w:color w:val="444444"/>
                <w:sz w:val="19"/>
                <w:szCs w:val="19"/>
              </w:rPr>
              <w:t xml:space="preserve">El marco institucionalista predice que la calidad de las reglas del juego determina los resultados económicos de largo plazo. La literatura sobre la HIPC muestra resultados heterogéneos e inconclusos. La brecha entre teoría y evidencia justifica la investigación.</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2E5597" w:sz="4"/>
              <w:left w:val="single" w:color="2E5597" w:sz="4"/>
              <w:bottom w:val="single" w:color="2E5597" w:sz="4"/>
              <w:right w:val="single" w:color="DDDDDD" w:sz="2"/>
            </w:tcBorders>
            <w:shd w:fill="2E5597" w:val="clear"/>
            <w:tcMar>
              <w:top w:type="dxa" w:w="100"/>
              <w:left w:type="dxa" w:w="120"/>
              <w:bottom w:type="dxa" w:w="100"/>
              <w:right w:type="dxa" w:w="100"/>
            </w:tcMar>
            <w:vAlign w:val="center"/>
          </w:tcPr>
          <w:p>
            <w:pPr>
              <w:jc w:val="center"/>
            </w:pPr>
            <w:r>
              <w:rPr>
                <w:rFonts w:ascii="Times New Roman" w:cs="Times New Roman" w:eastAsia="Times New Roman" w:hAnsi="Times New Roman"/>
                <w:b/>
                <w:bCs/>
                <w:color w:val="FFFFFF"/>
                <w:sz w:val="20"/>
                <w:szCs w:val="20"/>
              </w:rPr>
              <w:t xml:space="preserve">Paso 2</w:t>
            </w:r>
          </w:p>
          <w:p>
            <w:pPr>
              <w:jc w:val="center"/>
            </w:pPr>
            <w:r>
              <w:rPr>
                <w:rFonts w:ascii="Times New Roman" w:cs="Times New Roman" w:eastAsia="Times New Roman" w:hAnsi="Times New Roman"/>
                <w:color w:val="AACCFF"/>
                <w:sz w:val="18"/>
                <w:szCs w:val="18"/>
              </w:rPr>
              <w:t xml:space="preserve">Cap. 4</w:t>
            </w:r>
          </w:p>
        </w:tc>
        <w:tc>
          <w:tcPr>
            <w:tcBorders>
              <w:top w:val="single" w:color="2E5597" w:sz="4"/>
              <w:left w:val="single" w:color="DDDDDD" w:sz="2"/>
              <w:bottom w:val="single" w:color="2E5597" w:sz="4"/>
              <w:right w:val="single" w:color="2E5597" w:sz="4"/>
            </w:tcBorders>
            <w:shd w:fill="F7FAFF" w:val="clear"/>
            <w:tcMar>
              <w:top w:type="dxa" w:w="100"/>
              <w:left w:type="dxa" w:w="160"/>
              <w:bottom w:type="dxa" w:w="100"/>
              <w:right w:type="dxa" w:w="160"/>
            </w:tcMar>
          </w:tcPr>
          <w:p>
            <w:r>
              <w:rPr>
                <w:rFonts w:ascii="Times New Roman" w:cs="Times New Roman" w:eastAsia="Times New Roman" w:hAnsi="Times New Roman"/>
                <w:b/>
                <w:bCs/>
                <w:color w:val="1F3864"/>
                <w:sz w:val="20"/>
                <w:szCs w:val="20"/>
              </w:rPr>
              <w:t xml:space="preserve">¿Qué producen los datos de largo plazo?</w:t>
            </w:r>
          </w:p>
          <w:p>
            <w:pPr>
              <w:spacing w:before="60"/>
              <w:jc w:val="both"/>
            </w:pPr>
            <w:r>
              <w:rPr>
                <w:rFonts w:ascii="Times New Roman" w:cs="Times New Roman" w:eastAsia="Times New Roman" w:hAnsi="Times New Roman"/>
                <w:color w:val="444444"/>
                <w:sz w:val="19"/>
                <w:szCs w:val="19"/>
              </w:rPr>
              <w:t xml:space="preserve">El alivio HIPC redujo los ratios de deuda en el corto plazo (H1 no rechazada), pero el efecto se diluyó heterogéneamente (H2). Los países post-HIPC muestran en 2022 niveles de riesgo comparables o superiores a los previos al alivio, impulsados por nuevo endeudamiento con China y mercados de bonos (H7).</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2E5597" w:sz="4"/>
              <w:left w:val="single" w:color="2E5597" w:sz="4"/>
              <w:bottom w:val="single" w:color="2E5597" w:sz="4"/>
              <w:right w:val="single" w:color="DDDDDD" w:sz="2"/>
            </w:tcBorders>
            <w:shd w:fill="2E5597" w:val="clear"/>
            <w:tcMar>
              <w:top w:type="dxa" w:w="100"/>
              <w:left w:type="dxa" w:w="120"/>
              <w:bottom w:type="dxa" w:w="100"/>
              <w:right w:type="dxa" w:w="100"/>
            </w:tcMar>
            <w:vAlign w:val="center"/>
          </w:tcPr>
          <w:p>
            <w:pPr>
              <w:jc w:val="center"/>
            </w:pPr>
            <w:r>
              <w:rPr>
                <w:rFonts w:ascii="Times New Roman" w:cs="Times New Roman" w:eastAsia="Times New Roman" w:hAnsi="Times New Roman"/>
                <w:b/>
                <w:bCs/>
                <w:color w:val="FFFFFF"/>
                <w:sz w:val="20"/>
                <w:szCs w:val="20"/>
              </w:rPr>
              <w:t xml:space="preserve">Paso 3</w:t>
            </w:r>
          </w:p>
          <w:p>
            <w:pPr>
              <w:jc w:val="center"/>
            </w:pPr>
            <w:r>
              <w:rPr>
                <w:rFonts w:ascii="Times New Roman" w:cs="Times New Roman" w:eastAsia="Times New Roman" w:hAnsi="Times New Roman"/>
                <w:color w:val="AACCFF"/>
                <w:sz w:val="18"/>
                <w:szCs w:val="18"/>
              </w:rPr>
              <w:t xml:space="preserve">Cap. 5</w:t>
            </w:r>
          </w:p>
        </w:tc>
        <w:tc>
          <w:tcPr>
            <w:tcBorders>
              <w:top w:val="single" w:color="2E5597" w:sz="4"/>
              <w:left w:val="single" w:color="DDDDDD" w:sz="2"/>
              <w:bottom w:val="single" w:color="2E5597" w:sz="4"/>
              <w:right w:val="single" w:color="2E5597" w:sz="4"/>
            </w:tcBorders>
            <w:shd w:fill="F7FAFF" w:val="clear"/>
            <w:tcMar>
              <w:top w:type="dxa" w:w="100"/>
              <w:left w:type="dxa" w:w="160"/>
              <w:bottom w:type="dxa" w:w="100"/>
              <w:right w:type="dxa" w:w="160"/>
            </w:tcMar>
          </w:tcPr>
          <w:p>
            <w:r>
              <w:rPr>
                <w:rFonts w:ascii="Times New Roman" w:cs="Times New Roman" w:eastAsia="Times New Roman" w:hAnsi="Times New Roman"/>
                <w:b/>
                <w:bCs/>
                <w:color w:val="1F3864"/>
                <w:sz w:val="20"/>
                <w:szCs w:val="20"/>
              </w:rPr>
              <w:t xml:space="preserve">¿Qué explica los resultados?</w:t>
            </w:r>
          </w:p>
          <w:p>
            <w:pPr>
              <w:spacing w:before="60"/>
              <w:jc w:val="both"/>
            </w:pPr>
            <w:r>
              <w:rPr>
                <w:rFonts w:ascii="Times New Roman" w:cs="Times New Roman" w:eastAsia="Times New Roman" w:hAnsi="Times New Roman"/>
                <w:color w:val="444444"/>
                <w:sz w:val="19"/>
                <w:szCs w:val="19"/>
              </w:rPr>
              <w:t xml:space="preserve">Las condicionalidades se incumplieron sistemáticamente (H3), y esa brecha respondió a consideraciones geopolíticas (H4). La calidad institucional previa —no el monto del alivio— es el determinante dominante de los resultados (H6). El gasto social tuvo efectos mayores donde las instituciones eran más fuertes (H5).</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2E5597" w:sz="4"/>
              <w:left w:val="single" w:color="2E5597" w:sz="4"/>
              <w:bottom w:val="single" w:color="2E5597" w:sz="4"/>
              <w:right w:val="single" w:color="DDDDDD" w:sz="2"/>
            </w:tcBorders>
            <w:shd w:fill="2E5597" w:val="clear"/>
            <w:tcMar>
              <w:top w:type="dxa" w:w="100"/>
              <w:left w:type="dxa" w:w="120"/>
              <w:bottom w:type="dxa" w:w="100"/>
              <w:right w:type="dxa" w:w="100"/>
            </w:tcMar>
            <w:vAlign w:val="center"/>
          </w:tcPr>
          <w:p>
            <w:pPr>
              <w:jc w:val="center"/>
            </w:pPr>
            <w:r>
              <w:rPr>
                <w:rFonts w:ascii="Times New Roman" w:cs="Times New Roman" w:eastAsia="Times New Roman" w:hAnsi="Times New Roman"/>
                <w:b/>
                <w:bCs/>
                <w:color w:val="FFFFFF"/>
                <w:sz w:val="20"/>
                <w:szCs w:val="20"/>
              </w:rPr>
              <w:t xml:space="preserve">Paso 4</w:t>
            </w:r>
          </w:p>
          <w:p>
            <w:pPr>
              <w:jc w:val="center"/>
            </w:pPr>
            <w:r>
              <w:rPr>
                <w:rFonts w:ascii="Times New Roman" w:cs="Times New Roman" w:eastAsia="Times New Roman" w:hAnsi="Times New Roman"/>
                <w:color w:val="AACCFF"/>
                <w:sz w:val="18"/>
                <w:szCs w:val="18"/>
              </w:rPr>
              <w:t xml:space="preserve">Cap. 6</w:t>
            </w:r>
          </w:p>
        </w:tc>
        <w:tc>
          <w:tcPr>
            <w:tcBorders>
              <w:top w:val="single" w:color="2E5597" w:sz="4"/>
              <w:left w:val="single" w:color="DDDDDD" w:sz="2"/>
              <w:bottom w:val="single" w:color="2E5597" w:sz="4"/>
              <w:right w:val="single" w:color="2E5597" w:sz="4"/>
            </w:tcBorders>
            <w:shd w:fill="F7FAFF" w:val="clear"/>
            <w:tcMar>
              <w:top w:type="dxa" w:w="100"/>
              <w:left w:type="dxa" w:w="160"/>
              <w:bottom w:type="dxa" w:w="100"/>
              <w:right w:type="dxa" w:w="160"/>
            </w:tcMar>
          </w:tcPr>
          <w:p>
            <w:r>
              <w:rPr>
                <w:rFonts w:ascii="Times New Roman" w:cs="Times New Roman" w:eastAsia="Times New Roman" w:hAnsi="Times New Roman"/>
                <w:b/>
                <w:bCs/>
                <w:color w:val="1F3864"/>
                <w:sz w:val="20"/>
                <w:szCs w:val="20"/>
              </w:rPr>
              <w:t xml:space="preserve">¿Es uniforme el patrón o hay heterogeneidad?</w:t>
            </w:r>
          </w:p>
          <w:p>
            <w:pPr>
              <w:spacing w:before="60"/>
              <w:jc w:val="both"/>
            </w:pPr>
            <w:r>
              <w:rPr>
                <w:rFonts w:ascii="Times New Roman" w:cs="Times New Roman" w:eastAsia="Times New Roman" w:hAnsi="Times New Roman"/>
                <w:color w:val="444444"/>
                <w:sz w:val="19"/>
                <w:szCs w:val="19"/>
              </w:rPr>
              <w:t xml:space="preserve">Los estudios de caso revelan varianza significativa dentro de la muestra: Uganda y Tanzania muestran mejoras institucionales sostenidas; Ghana y Zambia ilustran la paradoja del reendeudamiento; Bolivia y Honduras presentan trayectorias intermedias. La heterogeneidad valida la primacía institucional de H6.</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2E5597" w:sz="4"/>
              <w:left w:val="single" w:color="2E5597" w:sz="4"/>
              <w:bottom w:val="single" w:color="2E5597" w:sz="4"/>
              <w:right w:val="single" w:color="DDDDDD" w:sz="2"/>
            </w:tcBorders>
            <w:shd w:fill="2E5597" w:val="clear"/>
            <w:tcMar>
              <w:top w:type="dxa" w:w="100"/>
              <w:left w:type="dxa" w:w="120"/>
              <w:bottom w:type="dxa" w:w="100"/>
              <w:right w:type="dxa" w:w="100"/>
            </w:tcMar>
            <w:vAlign w:val="center"/>
          </w:tcPr>
          <w:p>
            <w:pPr>
              <w:jc w:val="center"/>
            </w:pPr>
            <w:r>
              <w:rPr>
                <w:rFonts w:ascii="Times New Roman" w:cs="Times New Roman" w:eastAsia="Times New Roman" w:hAnsi="Times New Roman"/>
                <w:b/>
                <w:bCs/>
                <w:color w:val="FFFFFF"/>
                <w:sz w:val="20"/>
                <w:szCs w:val="20"/>
              </w:rPr>
              <w:t xml:space="preserve">Paso 5</w:t>
            </w:r>
          </w:p>
          <w:p>
            <w:pPr>
              <w:jc w:val="center"/>
            </w:pPr>
            <w:r>
              <w:rPr>
                <w:rFonts w:ascii="Times New Roman" w:cs="Times New Roman" w:eastAsia="Times New Roman" w:hAnsi="Times New Roman"/>
                <w:color w:val="AACCFF"/>
                <w:sz w:val="18"/>
                <w:szCs w:val="18"/>
              </w:rPr>
              <w:t xml:space="preserve">Cap. 7</w:t>
            </w:r>
          </w:p>
        </w:tc>
        <w:tc>
          <w:tcPr>
            <w:tcBorders>
              <w:top w:val="single" w:color="2E5597" w:sz="4"/>
              <w:left w:val="single" w:color="DDDDDD" w:sz="2"/>
              <w:bottom w:val="single" w:color="2E5597" w:sz="4"/>
              <w:right w:val="single" w:color="2E5597" w:sz="4"/>
            </w:tcBorders>
            <w:shd w:fill="F7FAFF" w:val="clear"/>
            <w:tcMar>
              <w:top w:type="dxa" w:w="100"/>
              <w:left w:type="dxa" w:w="160"/>
              <w:bottom w:type="dxa" w:w="100"/>
              <w:right w:type="dxa" w:w="160"/>
            </w:tcMar>
          </w:tcPr>
          <w:p>
            <w:r>
              <w:rPr>
                <w:rFonts w:ascii="Times New Roman" w:cs="Times New Roman" w:eastAsia="Times New Roman" w:hAnsi="Times New Roman"/>
                <w:b/>
                <w:bCs/>
                <w:color w:val="1F3864"/>
                <w:sz w:val="20"/>
                <w:szCs w:val="20"/>
              </w:rPr>
              <w:t xml:space="preserve">¿Qué implica para el futuro?</w:t>
            </w:r>
          </w:p>
          <w:p>
            <w:pPr>
              <w:spacing w:before="60"/>
              <w:jc w:val="both"/>
            </w:pPr>
            <w:r>
              <w:rPr>
                <w:rFonts w:ascii="Times New Roman" w:cs="Times New Roman" w:eastAsia="Times New Roman" w:hAnsi="Times New Roman"/>
                <w:color w:val="444444"/>
                <w:sz w:val="19"/>
                <w:szCs w:val="19"/>
              </w:rPr>
              <w:t xml:space="preserve">El diseño del G20 Common Framework debería priorizar el fortalecimiento institucional como condición de efectividad —no solo de acceso— al alivio, y exigir participación de todos los acreedores, incluida China, como condición de sostenibilidad.</w:t>
            </w:r>
          </w:p>
        </w:tc>
      </w:tr>
    </w:tbl>
    <w:p>
      <w:pPr>
        <w:spacing w:before="0" w:after="0" w:line="240"/>
      </w:pPr>
      <w:r>
        <w:t xml:space="preserve"/>
      </w:r>
    </w:p>
    <w:p>
      <w:pPr>
        <w:spacing w:before="0" w:after="0" w:line="240"/>
      </w:pPr>
      <w:r>
        <w:t xml:space="preserve"/>
      </w:r>
    </w:p>
    <w:p>
      <w:pPr>
        <w:pStyle w:val="Heading2"/>
        <w:spacing w:before="320" w:after="160"/>
      </w:pPr>
      <w:r>
        <w:rPr>
          <w:rFonts w:ascii="Times New Roman" w:cs="Times New Roman" w:eastAsia="Times New Roman" w:hAnsi="Times New Roman"/>
          <w:b/>
          <w:bCs/>
          <w:color w:val="2E5597"/>
          <w:sz w:val="24"/>
          <w:szCs w:val="24"/>
        </w:rPr>
        <w:t xml:space="preserve">1.6.2 Descripción de los capítulos</w:t>
      </w:r>
    </w:p>
    <w:p>
      <w:pPr>
        <w:spacing w:before="0" w:after="200" w:line="360" w:lineRule="auto"/>
        <w:ind w:firstLine="720"/>
        <w:jc w:val="both"/>
      </w:pPr>
      <w:r>
        <w:rPr>
          <w:rFonts w:ascii="Times New Roman" w:cs="Times New Roman" w:eastAsia="Times New Roman" w:hAnsi="Times New Roman"/>
          <w:b/>
          <w:bCs/>
          <w:sz w:val="24"/>
          <w:szCs w:val="24"/>
        </w:rPr>
        <w:t xml:space="preserve">Capítulo 1 — Introducción general</w:t>
      </w:r>
      <w:r>
        <w:rPr>
          <w:rFonts w:ascii="Times New Roman" w:cs="Times New Roman" w:eastAsia="Times New Roman" w:hAnsi="Times New Roman"/>
          <w:sz w:val="24"/>
          <w:szCs w:val="24"/>
        </w:rPr>
        <w:t xml:space="preserve"> (este capítulo): plantea el problema de investigación, formula la pregunta central y las siete hipótesis, establece los objetivos, identifica las contribuciones originales, describe las fuentes de datos y presenta la estructura de la tesis. También incluye el prefacio personal que explica la motivación del autor.</w:t>
      </w:r>
    </w:p>
    <w:p>
      <w:pPr>
        <w:spacing w:before="0" w:after="200" w:line="360" w:lineRule="auto"/>
        <w:ind w:firstLine="720"/>
        <w:jc w:val="both"/>
      </w:pPr>
      <w:r>
        <w:rPr>
          <w:rFonts w:ascii="Times New Roman" w:cs="Times New Roman" w:eastAsia="Times New Roman" w:hAnsi="Times New Roman"/>
          <w:b/>
          <w:bCs/>
          <w:sz w:val="24"/>
          <w:szCs w:val="24"/>
        </w:rPr>
        <w:t xml:space="preserve">Capítulo 2 — Marco teórico e histórico: </w:t>
      </w:r>
      <w:r>
        <w:rPr>
          <w:rFonts w:ascii="Times New Roman" w:cs="Times New Roman" w:eastAsia="Times New Roman" w:hAnsi="Times New Roman"/>
          <w:sz w:val="24"/>
          <w:szCs w:val="24"/>
        </w:rPr>
        <w:t xml:space="preserve">reconstruye el marco teórico integrando la economía institucional (North, 1990; Acemoglu et al., 2001), la literatura sobre debt overhang (Krugman, 1988; Sachs, 1989) y los ciclos históricos de crisis y alivio (Reinhart &amp; Rogoff, 2009). Sistematiza la literatura empírica sobre la HIPC e identifica las tres brechas que justifican la investigación. Desarrolla el análisis estructural MICMAC como herramienta de especificación de variables.</w:t>
      </w:r>
    </w:p>
    <w:p>
      <w:pPr>
        <w:spacing w:before="0" w:after="200" w:line="360" w:lineRule="auto"/>
        <w:ind w:firstLine="720"/>
        <w:jc w:val="both"/>
      </w:pPr>
      <w:r>
        <w:rPr>
          <w:rFonts w:ascii="Times New Roman" w:cs="Times New Roman" w:eastAsia="Times New Roman" w:hAnsi="Times New Roman"/>
          <w:b/>
          <w:bCs/>
          <w:sz w:val="24"/>
          <w:szCs w:val="24"/>
        </w:rPr>
        <w:t xml:space="preserve">Capítulo 3 — Diseño metodológico y estrategia de identificación causal: caracteriza el panel de datos (39 países HIPC, 1990–2022, 1.287 observaciones, 72 variables), construye los índices IGC e IGA mediante ACP sobre datos V-Dem, presenta el DAG formal que articula las relaciones causales entre H1–H7, desarrolla el análisis MICMAC previo a H6, y detalla la estrategia de identificación de cada hipótesis con sus criterios de falsación, instrumentos IV y estimadores principales.
Capítulo 4 — Análisis cuantitativo de la sostenibilidad de la deuda: </w:t>
      </w:r>
      <w:r>
        <w:rPr>
          <w:rFonts w:ascii="Times New Roman" w:cs="Times New Roman" w:eastAsia="Times New Roman" w:hAnsi="Times New Roman"/>
          <w:sz w:val="24"/>
          <w:szCs w:val="24"/>
        </w:rPr>
        <w:t xml:space="preserve">contrasta H1 y H2 mediante DiD TWFE, Callaway &amp; Sant'Anna (2021), DDD con grupo de control no-HIPC y control sintético. Documenta y analiza el reendeudamiento post-HIPC (H7) mediante modelos de supervivencia de Cox y DDD. Presenta los resultados del event-study dinámico y del análisis de Bai-Perron por país.</w:t>
      </w:r>
    </w:p>
    <w:p>
      <w:pPr>
        <w:spacing w:before="0" w:after="200" w:line="360" w:lineRule="auto"/>
        <w:ind w:firstLine="720"/>
        <w:jc w:val="both"/>
      </w:pPr>
      <w:r>
        <w:rPr>
          <w:rFonts w:ascii="Times New Roman" w:cs="Times New Roman" w:eastAsia="Times New Roman" w:hAnsi="Times New Roman"/>
          <w:b/>
          <w:bCs/>
          <w:sz w:val="24"/>
          <w:szCs w:val="24"/>
        </w:rPr>
        <w:t xml:space="preserve">Capítulo 5 — Condicionalidades, gobernanza e impacto social: </w:t>
      </w:r>
      <w:r>
        <w:rPr>
          <w:rFonts w:ascii="Times New Roman" w:cs="Times New Roman" w:eastAsia="Times New Roman" w:hAnsi="Times New Roman"/>
          <w:sz w:val="24"/>
          <w:szCs w:val="24"/>
        </w:rPr>
        <w:t xml:space="preserve">contrasta H3 y H4 mediante análisis de supervivencia, regresión logística y 2SLS con instrumentos colonial (ht_colonial) y comercial (TradeSaliency). Contrasta H5 mediante modelos de panel con interacciones y análisis de mediación de Imai et al. (2010). Contrasta H6 mediante análisis de dominancia con IGC e IGA.</w:t>
      </w:r>
    </w:p>
    <w:p>
      <w:pPr>
        <w:spacing w:before="0" w:after="200" w:line="360" w:lineRule="auto"/>
        <w:ind w:firstLine="720"/>
        <w:jc w:val="both"/>
      </w:pPr>
      <w:r>
        <w:rPr>
          <w:rFonts w:ascii="Times New Roman" w:cs="Times New Roman" w:eastAsia="Times New Roman" w:hAnsi="Times New Roman"/>
          <w:b/>
          <w:bCs/>
          <w:sz w:val="24"/>
          <w:szCs w:val="24"/>
        </w:rPr>
        <w:t xml:space="preserve">Capítulo 6 — Análisis comparado y estudios de caso: </w:t>
      </w:r>
      <w:r>
        <w:rPr>
          <w:rFonts w:ascii="Times New Roman" w:cs="Times New Roman" w:eastAsia="Times New Roman" w:hAnsi="Times New Roman"/>
          <w:sz w:val="24"/>
          <w:szCs w:val="24"/>
        </w:rPr>
        <w:t xml:space="preserve">presenta el análisis comparativo regional a escala de África subsahariana, América Latina y Asia. Desarrolla siete fichas de estudio de caso en profundidad: Uganda, Tanzania, Mozambique, Bolivia, Honduras, Ghana y Zambia. Identifica los factores explicativos de la heterogeneidad de resultados dentro de la muestra.</w:t>
      </w:r>
    </w:p>
    <w:p>
      <w:pPr>
        <w:spacing w:before="0" w:after="200" w:line="360" w:lineRule="auto"/>
        <w:ind w:firstLine="720"/>
        <w:jc w:val="both"/>
      </w:pPr>
      <w:r>
        <w:rPr>
          <w:rFonts w:ascii="Times New Roman" w:cs="Times New Roman" w:eastAsia="Times New Roman" w:hAnsi="Times New Roman"/>
          <w:b/>
          <w:bCs/>
          <w:sz w:val="24"/>
          <w:szCs w:val="24"/>
        </w:rPr>
        <w:t xml:space="preserve">Capítulo 7 — Conclusiones e implicaciones de política económica: </w:t>
      </w:r>
      <w:r>
        <w:rPr>
          <w:rFonts w:ascii="Times New Roman" w:cs="Times New Roman" w:eastAsia="Times New Roman" w:hAnsi="Times New Roman"/>
          <w:sz w:val="24"/>
          <w:szCs w:val="24"/>
        </w:rPr>
        <w:t xml:space="preserve">sintetiza los hallazgos empíricos de los Capítulos 4 y 5, evalúa el grado de confirmación o rechazo de las siete hipótesis, discute las limitaciones de la investigación y propone recomendaciones de política económica para el rediseño del G20 Common Framework.</w:t>
      </w:r>
    </w:p>
    <w:p>
      <w:pPr>
        <w:spacing w:before="0" w:after="0" w:line="240"/>
      </w:pPr>
      <w:r>
        <w:t xml:space="preserve"/>
      </w:r>
    </w:p>
    <w:p>
      <w:pPr>
        <w:spacing w:before="0" w:after="0" w:line="240"/>
      </w:pPr>
      <w:r>
        <w:t xml:space="preserve"/>
      </w:r>
    </w:p>
    <w:p>
      <w:r>
        <w:r>
          <w:br w:type="page"/>
        </w:r>
      </w:r>
    </w:p>
    <w:p>
      <w:pPr>
        <w:pStyle w:val="Heading1"/>
        <w:spacing w:before="480" w:after="200"/>
      </w:pPr>
      <w:r>
        <w:rPr>
          <w:rFonts w:ascii="Times New Roman" w:cs="Times New Roman" w:eastAsia="Times New Roman" w:hAnsi="Times New Roman"/>
          <w:b/>
          <w:bCs/>
          <w:color w:val="1F3864"/>
          <w:sz w:val="28"/>
          <w:szCs w:val="28"/>
        </w:rPr>
        <w:t xml:space="preserve">Referencias citadas en el Capítulo 1</w:t>
      </w:r>
    </w:p>
    <w:p>
      <w:pPr>
        <w:spacing w:before="0" w:after="0" w:line="240"/>
      </w:pPr>
      <w:r>
        <w:t xml:space="preserve"/>
      </w:r>
    </w:p>
    <w:p>
      <w:pPr>
        <w:spacing w:before="0" w:after="140" w:line="300" w:lineRule="auto"/>
        <w:ind w:left="720" w:hanging="720"/>
        <w:jc w:val="both"/>
      </w:pPr>
      <w:r>
        <w:rPr>
          <w:rFonts w:ascii="Times New Roman" w:cs="Times New Roman" w:eastAsia="Times New Roman" w:hAnsi="Times New Roman"/>
          <w:sz w:val="20"/>
          <w:szCs w:val="20"/>
        </w:rPr>
        <w:t xml:space="preserve">Abadie, A., Diamond, A., &amp; Hainmueller, J. (2010). Synthetic control methods for comparative case studies: Estimating the effect of California's tobacco control program. Journal of the American Statistical Association, 105(490), 493–505. https://doi.org/10.1198/jasa.2009.ap08746</w:t>
      </w:r>
    </w:p>
    <w:p>
      <w:pPr>
        <w:spacing w:before="0" w:after="140" w:line="300" w:lineRule="auto"/>
        <w:ind w:left="720" w:hanging="720"/>
        <w:jc w:val="both"/>
      </w:pPr>
      <w:r>
        <w:rPr>
          <w:rFonts w:ascii="Times New Roman" w:cs="Times New Roman" w:eastAsia="Times New Roman" w:hAnsi="Times New Roman"/>
          <w:sz w:val="20"/>
          <w:szCs w:val="20"/>
        </w:rPr>
        <w:t xml:space="preserve">Acemoglu, D., Johnson, S., &amp; Robinson, J. A. (2001). The colonial origins of comparative development: An empirical investigation. American Economic Review, 91(5), 1369–1401. https://doi.org/10.1257/aer.91.5.1369</w:t>
      </w:r>
    </w:p>
    <w:p>
      <w:pPr>
        <w:spacing w:before="0" w:after="140" w:line="300" w:lineRule="auto"/>
        <w:ind w:left="720" w:hanging="720"/>
        <w:jc w:val="both"/>
      </w:pPr>
      <w:r>
        <w:rPr>
          <w:rFonts w:ascii="Times New Roman" w:cs="Times New Roman" w:eastAsia="Times New Roman" w:hAnsi="Times New Roman"/>
          <w:sz w:val="20"/>
          <w:szCs w:val="20"/>
        </w:rPr>
        <w:t xml:space="preserve">Acemoglu, D., &amp; Robinson, J. A. (2012). Why nations fail: The origins of power, prosperity and poverty. Crown Publishers.</w:t>
      </w:r>
    </w:p>
    <w:p>
      <w:pPr>
        <w:spacing w:before="0" w:after="140" w:line="300" w:lineRule="auto"/>
        <w:ind w:left="720" w:hanging="720"/>
        <w:jc w:val="both"/>
      </w:pPr>
      <w:r>
        <w:rPr>
          <w:rFonts w:ascii="Times New Roman" w:cs="Times New Roman" w:eastAsia="Times New Roman" w:hAnsi="Times New Roman"/>
          <w:sz w:val="20"/>
          <w:szCs w:val="20"/>
        </w:rPr>
        <w:t xml:space="preserve">AidData. (2023). AidData's global Chinese development finance dataset, version 2.0. William &amp; Mary. https://www.aiddata.org</w:t>
      </w:r>
    </w:p>
    <w:p>
      <w:pPr>
        <w:spacing w:before="0" w:after="140" w:line="300" w:lineRule="auto"/>
        <w:ind w:left="720" w:hanging="720"/>
        <w:jc w:val="both"/>
      </w:pPr>
      <w:r>
        <w:rPr>
          <w:rFonts w:ascii="Times New Roman" w:cs="Times New Roman" w:eastAsia="Times New Roman" w:hAnsi="Times New Roman"/>
          <w:sz w:val="20"/>
          <w:szCs w:val="20"/>
        </w:rPr>
        <w:t xml:space="preserve">Anderson, L. W., &amp; Krathwohl, D. R. (Eds.). (2001). A taxonomy for learning, teaching, and assessing: A revision of Bloom's taxonomy of educational objectives. Longman.</w:t>
      </w:r>
    </w:p>
    <w:p>
      <w:pPr>
        <w:spacing w:before="0" w:after="140" w:line="300" w:lineRule="auto"/>
        <w:ind w:left="720" w:hanging="720"/>
        <w:jc w:val="both"/>
      </w:pPr>
      <w:r>
        <w:rPr>
          <w:rFonts w:ascii="Times New Roman" w:cs="Times New Roman" w:eastAsia="Times New Roman" w:hAnsi="Times New Roman"/>
          <w:sz w:val="20"/>
          <w:szCs w:val="20"/>
        </w:rPr>
        <w:t xml:space="preserve">Azen, R., &amp; Budescu, D. V. (2003). The dominance analysis approach for comparing predictors in multiple regression. Psychological Methods, 8(2), 129–148. https://doi.org/10.1037/1082-989X.8.2.129</w:t>
      </w:r>
    </w:p>
    <w:p>
      <w:pPr>
        <w:spacing w:before="0" w:after="140" w:line="300" w:lineRule="auto"/>
        <w:ind w:left="720" w:hanging="720"/>
        <w:jc w:val="both"/>
      </w:pPr>
      <w:r>
        <w:rPr>
          <w:rFonts w:ascii="Times New Roman" w:cs="Times New Roman" w:eastAsia="Times New Roman" w:hAnsi="Times New Roman"/>
          <w:sz w:val="20"/>
          <w:szCs w:val="20"/>
        </w:rPr>
        <w:t xml:space="preserve">Bai, J., &amp; Perron, P. (1998). Estimating and testing linear models with multiple structural changes. Econometrica, 66(1), 47–78. https://doi.org/10.2307/2998540</w:t>
      </w:r>
    </w:p>
    <w:p>
      <w:pPr>
        <w:spacing w:before="0" w:after="140" w:line="300" w:lineRule="auto"/>
        <w:ind w:left="720" w:hanging="720"/>
        <w:jc w:val="both"/>
      </w:pPr>
      <w:r>
        <w:rPr>
          <w:rFonts w:ascii="Times New Roman" w:cs="Times New Roman" w:eastAsia="Times New Roman" w:hAnsi="Times New Roman"/>
          <w:sz w:val="20"/>
          <w:szCs w:val="20"/>
        </w:rPr>
        <w:t xml:space="preserve">Banco Mundial. (2022). HIPC country progress reports. HIPC CBP Database. https://www.worldbank.org/en/topic/debt/brief/hipc</w:t>
      </w:r>
    </w:p>
    <w:p>
      <w:pPr>
        <w:spacing w:before="0" w:after="140" w:line="300" w:lineRule="auto"/>
        <w:ind w:left="720" w:hanging="720"/>
        <w:jc w:val="both"/>
      </w:pPr>
      <w:r>
        <w:rPr>
          <w:rFonts w:ascii="Times New Roman" w:cs="Times New Roman" w:eastAsia="Times New Roman" w:hAnsi="Times New Roman"/>
          <w:sz w:val="20"/>
          <w:szCs w:val="20"/>
        </w:rPr>
        <w:t xml:space="preserve">Banco Mundial. (2023). International debt statistics. https://www.worldbank.org/en/programs/debt-statistics</w:t>
      </w:r>
    </w:p>
    <w:p>
      <w:pPr>
        <w:spacing w:before="0" w:after="140" w:line="300" w:lineRule="auto"/>
        <w:ind w:left="720" w:hanging="720"/>
        <w:jc w:val="both"/>
      </w:pPr>
      <w:r>
        <w:rPr>
          <w:rFonts w:ascii="Times New Roman" w:cs="Times New Roman" w:eastAsia="Times New Roman" w:hAnsi="Times New Roman"/>
          <w:sz w:val="20"/>
          <w:szCs w:val="20"/>
        </w:rPr>
        <w:t xml:space="preserve">Budescu, D. V. (1993). Dominance analysis: A new approach to the problem of relative importance of predictors in multiple regression. Psychological Bulletin, 114(3), 542–551. https://doi.org/10.1037/0033-2909.114.3.542</w:t>
      </w:r>
    </w:p>
    <w:p>
      <w:pPr>
        <w:spacing w:before="0" w:after="140" w:line="300" w:lineRule="auto"/>
        <w:ind w:left="720" w:hanging="720"/>
        <w:jc w:val="both"/>
      </w:pPr>
      <w:r>
        <w:rPr>
          <w:rFonts w:ascii="Times New Roman" w:cs="Times New Roman" w:eastAsia="Times New Roman" w:hAnsi="Times New Roman"/>
          <w:sz w:val="20"/>
          <w:szCs w:val="20"/>
        </w:rPr>
        <w:t xml:space="preserve">Burnside, C., &amp; Dollar, D. (2000). Aid, policies, and growth. American Economic Review, 90(4), 847–868. https://doi.org/10.1257/aer.90.4.847</w:t>
      </w:r>
    </w:p>
    <w:p>
      <w:pPr>
        <w:spacing w:before="0" w:after="140" w:line="300" w:lineRule="auto"/>
        <w:ind w:left="720" w:hanging="720"/>
        <w:jc w:val="both"/>
      </w:pPr>
      <w:r>
        <w:rPr>
          <w:rFonts w:ascii="Times New Roman" w:cs="Times New Roman" w:eastAsia="Times New Roman" w:hAnsi="Times New Roman"/>
          <w:sz w:val="20"/>
          <w:szCs w:val="20"/>
        </w:rPr>
        <w:t xml:space="preserve">Callaway, B., &amp; Sant'Anna, P. H. C. (2021). Difference-in-differences with multiple time periods. Journal of Econometrics, 225(2), 200–230. https://doi.org/10.1016/j.jeconom.2020.12.001</w:t>
      </w:r>
    </w:p>
    <w:p>
      <w:pPr>
        <w:spacing w:before="0" w:after="140" w:line="300" w:lineRule="auto"/>
        <w:ind w:left="720" w:hanging="720"/>
        <w:jc w:val="both"/>
      </w:pPr>
      <w:r>
        <w:rPr>
          <w:rFonts w:ascii="Times New Roman" w:cs="Times New Roman" w:eastAsia="Times New Roman" w:hAnsi="Times New Roman"/>
          <w:sz w:val="20"/>
          <w:szCs w:val="20"/>
        </w:rPr>
        <w:t xml:space="preserve">Coppedge, M., Gerring, J., Knutsen, C. H., Lindberg, S. I., Teorell, J., et al. (2023). V-Dem dataset version 13. Varieties of Democracy (V-Dem) Project. https://doi.org/10.23696/vdemds23</w:t>
      </w:r>
    </w:p>
    <w:p>
      <w:pPr>
        <w:spacing w:before="0" w:after="140" w:line="300" w:lineRule="auto"/>
        <w:ind w:left="720" w:hanging="720"/>
        <w:jc w:val="both"/>
      </w:pPr>
      <w:r>
        <w:rPr>
          <w:rFonts w:ascii="Times New Roman" w:cs="Times New Roman" w:eastAsia="Times New Roman" w:hAnsi="Times New Roman"/>
          <w:sz w:val="20"/>
          <w:szCs w:val="20"/>
        </w:rPr>
        <w:t xml:space="preserve">Cordella, T., Ricci, L. A., &amp; Ruiz-Arranz, M. (2010). Debt overhang or debt irrelevance? IMF Staff Papers, 57(1), 1–24. https://doi.org/10.1057/imfsp.2009.20</w:t>
      </w:r>
    </w:p>
    <w:p>
      <w:pPr>
        <w:spacing w:before="0" w:after="140" w:line="300" w:lineRule="auto"/>
        <w:ind w:left="720" w:hanging="720"/>
        <w:jc w:val="both"/>
      </w:pPr>
      <w:r>
        <w:rPr>
          <w:rFonts w:ascii="Times New Roman" w:cs="Times New Roman" w:eastAsia="Times New Roman" w:hAnsi="Times New Roman"/>
          <w:sz w:val="20"/>
          <w:szCs w:val="20"/>
        </w:rPr>
        <w:t xml:space="preserve">Cox, D. R. (1972). Regression models and life-tables. Journal of the Royal Statistical Society: Series B (Methodological), 34(2), 187–202.</w:t>
      </w:r>
    </w:p>
    <w:p>
      <w:pPr>
        <w:spacing w:before="0" w:after="140" w:line="300" w:lineRule="auto"/>
        <w:ind w:left="720" w:hanging="720"/>
        <w:jc w:val="both"/>
      </w:pPr>
      <w:r>
        <w:rPr>
          <w:rFonts w:ascii="Times New Roman" w:cs="Times New Roman" w:eastAsia="Times New Roman" w:hAnsi="Times New Roman"/>
          <w:sz w:val="20"/>
          <w:szCs w:val="20"/>
        </w:rPr>
        <w:t xml:space="preserve">Creswell, J. W., &amp; Creswell, J. D. (2018). Research design: Qualitative, quantitative, and mixed methods approaches (5.ª ed.). SAGE Publications.</w:t>
      </w:r>
    </w:p>
    <w:p>
      <w:pPr>
        <w:spacing w:before="0" w:after="140" w:line="300" w:lineRule="auto"/>
        <w:ind w:left="720" w:hanging="720"/>
        <w:jc w:val="both"/>
      </w:pPr>
      <w:r>
        <w:rPr>
          <w:rFonts w:ascii="Times New Roman" w:cs="Times New Roman" w:eastAsia="Times New Roman" w:hAnsi="Times New Roman"/>
          <w:sz w:val="20"/>
          <w:szCs w:val="20"/>
        </w:rPr>
        <w:t xml:space="preserve">Dijkstra, G. (2008). The PRSP approach and the illusion of improved aid effectiveness: Lessons from Bolivia, Honduras and Nicaragua. Development Policy Review, 26(2), 195–211. https://doi.org/10.1111/j.1467-7679.2008.00404.x</w:t>
      </w:r>
    </w:p>
    <w:p>
      <w:pPr>
        <w:spacing w:before="0" w:after="140" w:line="300" w:lineRule="auto"/>
        <w:ind w:left="720" w:hanging="720"/>
        <w:jc w:val="both"/>
      </w:pPr>
      <w:r>
        <w:rPr>
          <w:rFonts w:ascii="Times New Roman" w:cs="Times New Roman" w:eastAsia="Times New Roman" w:hAnsi="Times New Roman"/>
          <w:sz w:val="20"/>
          <w:szCs w:val="20"/>
        </w:rPr>
        <w:t xml:space="preserve">Dreher, A. (2009). IMF conditionality: Theory and evidence. Public Choice, 141(1–2), 233–267. https://doi.org/10.1007/s11127-009-9440-5</w:t>
      </w:r>
    </w:p>
    <w:p>
      <w:pPr>
        <w:spacing w:before="0" w:after="140" w:line="300" w:lineRule="auto"/>
        <w:ind w:left="720" w:hanging="720"/>
        <w:jc w:val="both"/>
      </w:pPr>
      <w:r>
        <w:rPr>
          <w:rFonts w:ascii="Times New Roman" w:cs="Times New Roman" w:eastAsia="Times New Roman" w:hAnsi="Times New Roman"/>
          <w:sz w:val="20"/>
          <w:szCs w:val="20"/>
        </w:rPr>
        <w:t xml:space="preserve">Dreher, A., Sturm, J. E., &amp; Vreeland, J. R. (2009). Development aid and international politics: Does membership on the UN Security Council influence World Bank decisions? Journal of Development Economics, 88(1), 1–18. https://doi.org/10.1016/j.jdeveco.2008.02.003</w:t>
      </w:r>
    </w:p>
    <w:p>
      <w:pPr>
        <w:spacing w:before="0" w:after="140" w:line="300" w:lineRule="auto"/>
        <w:ind w:left="720" w:hanging="720"/>
        <w:jc w:val="both"/>
      </w:pPr>
      <w:r>
        <w:rPr>
          <w:rFonts w:ascii="Times New Roman" w:cs="Times New Roman" w:eastAsia="Times New Roman" w:hAnsi="Times New Roman"/>
          <w:sz w:val="20"/>
          <w:szCs w:val="20"/>
        </w:rPr>
        <w:t xml:space="preserve">Easterly, W. (2006). The white man's burden: Why the West's efforts to aid the rest have done so much ill and so little good. Penguin Press.</w:t>
      </w:r>
    </w:p>
    <w:p>
      <w:pPr>
        <w:spacing w:before="0" w:after="140" w:line="300" w:lineRule="auto"/>
        <w:ind w:left="720" w:hanging="720"/>
        <w:jc w:val="both"/>
      </w:pPr>
      <w:r>
        <w:rPr>
          <w:rFonts w:ascii="Times New Roman" w:cs="Times New Roman" w:eastAsia="Times New Roman" w:hAnsi="Times New Roman"/>
          <w:sz w:val="20"/>
          <w:szCs w:val="20"/>
        </w:rPr>
        <w:t xml:space="preserve">Eco, U. (2001). Cómo se hace una tesis. Gedisa. (Obra original publicada en 1977)</w:t>
      </w:r>
    </w:p>
    <w:p>
      <w:pPr>
        <w:spacing w:before="0" w:after="140" w:line="300" w:lineRule="auto"/>
        <w:ind w:left="720" w:hanging="720"/>
        <w:jc w:val="both"/>
      </w:pPr>
      <w:r>
        <w:rPr>
          <w:rFonts w:ascii="Times New Roman" w:cs="Times New Roman" w:eastAsia="Times New Roman" w:hAnsi="Times New Roman"/>
          <w:sz w:val="20"/>
          <w:szCs w:val="20"/>
        </w:rPr>
        <w:t xml:space="preserve">Fondo Monetario Internacional. (2022). Debt sustainability analysis — Low-income countries. DSA Database. https://www.imf.org/en/Publications/DSA</w:t>
      </w:r>
    </w:p>
    <w:p>
      <w:pPr>
        <w:spacing w:before="0" w:after="140" w:line="300" w:lineRule="auto"/>
        <w:ind w:left="720" w:hanging="720"/>
        <w:jc w:val="both"/>
      </w:pPr>
      <w:r>
        <w:rPr>
          <w:rFonts w:ascii="Times New Roman" w:cs="Times New Roman" w:eastAsia="Times New Roman" w:hAnsi="Times New Roman"/>
          <w:sz w:val="20"/>
          <w:szCs w:val="20"/>
        </w:rPr>
        <w:t xml:space="preserve">Fondo Monetario Internacional &amp; Banco Mundial. (2005). Operational framework for debt sustainability assessments in low-income countries: Further considerations. IMF/World Bank Paper.</w:t>
      </w:r>
    </w:p>
    <w:p>
      <w:pPr>
        <w:spacing w:before="0" w:after="140" w:line="300" w:lineRule="auto"/>
        <w:ind w:left="720" w:hanging="720"/>
        <w:jc w:val="both"/>
      </w:pPr>
      <w:r>
        <w:rPr>
          <w:rFonts w:ascii="Times New Roman" w:cs="Times New Roman" w:eastAsia="Times New Roman" w:hAnsi="Times New Roman"/>
          <w:sz w:val="20"/>
          <w:szCs w:val="20"/>
        </w:rPr>
        <w:t xml:space="preserve">Freytag, A., &amp; Pehnelt, G. (2009). Debt relief and governance quality in developing countries. World Development, 37(1), 62–74. https://doi.org/10.1016/j.worlddev.2008.01.017</w:t>
      </w:r>
    </w:p>
    <w:p>
      <w:pPr>
        <w:spacing w:before="0" w:after="140" w:line="300" w:lineRule="auto"/>
        <w:ind w:left="720" w:hanging="720"/>
        <w:jc w:val="both"/>
      </w:pPr>
      <w:r>
        <w:rPr>
          <w:rFonts w:ascii="Times New Roman" w:cs="Times New Roman" w:eastAsia="Times New Roman" w:hAnsi="Times New Roman"/>
          <w:sz w:val="20"/>
          <w:szCs w:val="20"/>
        </w:rPr>
        <w:t xml:space="preserve">G20. (2020). Common framework for debt treatments beyond the DSSI. G20 Finance Ministers and Central Bank Governors.</w:t>
      </w:r>
    </w:p>
    <w:p>
      <w:pPr>
        <w:spacing w:before="0" w:after="140" w:line="300" w:lineRule="auto"/>
        <w:ind w:left="720" w:hanging="720"/>
        <w:jc w:val="both"/>
      </w:pPr>
      <w:r>
        <w:rPr>
          <w:rFonts w:ascii="Times New Roman" w:cs="Times New Roman" w:eastAsia="Times New Roman" w:hAnsi="Times New Roman"/>
          <w:sz w:val="20"/>
          <w:szCs w:val="20"/>
        </w:rPr>
        <w:t xml:space="preserve">Gelpern, A., Horn, S., Morris, S., Parks, B., &amp; Trebesch, C. (2021). How China lends: A rare look at 100 debt contracts with foreign governments. AidData Working Paper No. 111. https://doi.org/10.48558/A7E5-A244</w:t>
      </w:r>
    </w:p>
    <w:p>
      <w:pPr>
        <w:spacing w:before="0" w:after="140" w:line="300" w:lineRule="auto"/>
        <w:ind w:left="720" w:hanging="720"/>
        <w:jc w:val="both"/>
      </w:pPr>
      <w:r>
        <w:rPr>
          <w:rFonts w:ascii="Times New Roman" w:cs="Times New Roman" w:eastAsia="Times New Roman" w:hAnsi="Times New Roman"/>
          <w:sz w:val="20"/>
          <w:szCs w:val="20"/>
        </w:rPr>
        <w:t xml:space="preserve">Godet, M. (1993). From anticipation to action: A handbook of strategic prospective. UNESCO Publishing.</w:t>
      </w:r>
    </w:p>
    <w:p>
      <w:pPr>
        <w:spacing w:before="0" w:after="140" w:line="300" w:lineRule="auto"/>
        <w:ind w:left="720" w:hanging="720"/>
        <w:jc w:val="both"/>
      </w:pPr>
      <w:r>
        <w:rPr>
          <w:rFonts w:ascii="Times New Roman" w:cs="Times New Roman" w:eastAsia="Times New Roman" w:hAnsi="Times New Roman"/>
          <w:sz w:val="20"/>
          <w:szCs w:val="20"/>
        </w:rPr>
        <w:t xml:space="preserve">Godet, M., &amp; Durance, P. (2011). La prospective stratégique pour les entreprises et les territoires. Dunod / Fondation pour l'innovation politique.</w:t>
      </w:r>
    </w:p>
    <w:p>
      <w:pPr>
        <w:spacing w:before="0" w:after="140" w:line="300" w:lineRule="auto"/>
        <w:ind w:left="720" w:hanging="720"/>
        <w:jc w:val="both"/>
      </w:pPr>
      <w:r>
        <w:rPr>
          <w:rFonts w:ascii="Times New Roman" w:cs="Times New Roman" w:eastAsia="Times New Roman" w:hAnsi="Times New Roman"/>
          <w:sz w:val="20"/>
          <w:szCs w:val="20"/>
        </w:rPr>
        <w:t xml:space="preserve">Hepp, R. (2005). Can debt relief buy growth? Fordham University Department of Economics Discussion Paper No. 2005-05.</w:t>
      </w:r>
    </w:p>
    <w:p>
      <w:pPr>
        <w:spacing w:before="0" w:after="140" w:line="300" w:lineRule="auto"/>
        <w:ind w:left="720" w:hanging="720"/>
        <w:jc w:val="both"/>
      </w:pPr>
      <w:r>
        <w:rPr>
          <w:rFonts w:ascii="Times New Roman" w:cs="Times New Roman" w:eastAsia="Times New Roman" w:hAnsi="Times New Roman"/>
          <w:sz w:val="20"/>
          <w:szCs w:val="20"/>
        </w:rPr>
        <w:t xml:space="preserve">Horn, S., Reinhart, C. M., &amp; Trebesch, C. (2021). China's overseas lending. Journal of International Economics, 133, Article 103538. https://doi.org/10.1016/j.jinteco.2021.103538</w:t>
      </w:r>
    </w:p>
    <w:p>
      <w:pPr>
        <w:spacing w:before="0" w:after="140" w:line="300" w:lineRule="auto"/>
        <w:ind w:left="720" w:hanging="720"/>
        <w:jc w:val="both"/>
      </w:pPr>
      <w:r>
        <w:rPr>
          <w:rFonts w:ascii="Times New Roman" w:cs="Times New Roman" w:eastAsia="Times New Roman" w:hAnsi="Times New Roman"/>
          <w:sz w:val="20"/>
          <w:szCs w:val="20"/>
        </w:rPr>
        <w:t xml:space="preserve">Imai, K., Keele, L., &amp; Tingley, D. (2010). A general approach to causal mediation analysis. Psychological Methods, 15(4), 309–334. https://doi.org/10.1037/a0020761</w:t>
      </w:r>
    </w:p>
    <w:p>
      <w:pPr>
        <w:spacing w:before="0" w:after="140" w:line="300" w:lineRule="auto"/>
        <w:ind w:left="720" w:hanging="720"/>
        <w:jc w:val="both"/>
      </w:pPr>
      <w:r>
        <w:rPr>
          <w:rFonts w:ascii="Times New Roman" w:cs="Times New Roman" w:eastAsia="Times New Roman" w:hAnsi="Times New Roman"/>
          <w:sz w:val="20"/>
          <w:szCs w:val="20"/>
        </w:rPr>
        <w:t xml:space="preserve">Imbens, G. W., &amp; Rubin, D. B. (2015). Causal inference for statistics, social, and biomedical sciences. Cambridge University Press.</w:t>
      </w:r>
    </w:p>
    <w:p>
      <w:pPr>
        <w:spacing w:before="0" w:after="140" w:line="300" w:lineRule="auto"/>
        <w:ind w:left="720" w:hanging="720"/>
        <w:jc w:val="both"/>
      </w:pPr>
      <w:r>
        <w:rPr>
          <w:rFonts w:ascii="Times New Roman" w:cs="Times New Roman" w:eastAsia="Times New Roman" w:hAnsi="Times New Roman"/>
          <w:sz w:val="20"/>
          <w:szCs w:val="20"/>
        </w:rPr>
        <w:t xml:space="preserve">Kaufmann, D., Kraay, A., &amp; Mastruzzi, M. (2010). The Worldwide Governance Indicators: Methodology and analytical issues. World Bank Policy Research Working Paper No. 5430.</w:t>
      </w:r>
    </w:p>
    <w:p>
      <w:pPr>
        <w:spacing w:before="0" w:after="140" w:line="300" w:lineRule="auto"/>
        <w:ind w:left="720" w:hanging="720"/>
        <w:jc w:val="both"/>
      </w:pPr>
      <w:r>
        <w:rPr>
          <w:rFonts w:ascii="Times New Roman" w:cs="Times New Roman" w:eastAsia="Times New Roman" w:hAnsi="Times New Roman"/>
          <w:sz w:val="20"/>
          <w:szCs w:val="20"/>
        </w:rPr>
        <w:t xml:space="preserve">Kentikelenis, A. E., Stubbs, T. H., &amp; King, L. P. (2016). IMF conditionality and development policy space, 1985–2014. Review of International Political Economy, 23(4), 543–582. https://doi.org/10.1080/09692290.2016.1174953</w:t>
      </w:r>
    </w:p>
    <w:p>
      <w:pPr>
        <w:spacing w:before="0" w:after="140" w:line="300" w:lineRule="auto"/>
        <w:ind w:left="720" w:hanging="720"/>
        <w:jc w:val="both"/>
      </w:pPr>
      <w:r>
        <w:rPr>
          <w:rFonts w:ascii="Times New Roman" w:cs="Times New Roman" w:eastAsia="Times New Roman" w:hAnsi="Times New Roman"/>
          <w:sz w:val="20"/>
          <w:szCs w:val="20"/>
        </w:rPr>
        <w:t xml:space="preserve">Killick, T. (2002). The streamlining of IMF conditionality: Aspirations, reality and repercussions. Overseas Development Institute Working Paper.</w:t>
      </w:r>
    </w:p>
    <w:p>
      <w:pPr>
        <w:spacing w:before="0" w:after="140" w:line="300" w:lineRule="auto"/>
        <w:ind w:left="720" w:hanging="720"/>
        <w:jc w:val="both"/>
      </w:pPr>
      <w:r>
        <w:rPr>
          <w:rFonts w:ascii="Times New Roman" w:cs="Times New Roman" w:eastAsia="Times New Roman" w:hAnsi="Times New Roman"/>
          <w:sz w:val="20"/>
          <w:szCs w:val="20"/>
        </w:rPr>
        <w:t xml:space="preserve">King, G., Keohane, R. O., &amp; Verba, S. (1994). Designing social inquiry: Scientific inference in qualitative research. Princeton University Press.</w:t>
      </w:r>
    </w:p>
    <w:p>
      <w:pPr>
        <w:spacing w:before="0" w:after="140" w:line="300" w:lineRule="auto"/>
        <w:ind w:left="720" w:hanging="720"/>
        <w:jc w:val="both"/>
      </w:pPr>
      <w:r>
        <w:rPr>
          <w:rFonts w:ascii="Times New Roman" w:cs="Times New Roman" w:eastAsia="Times New Roman" w:hAnsi="Times New Roman"/>
          <w:sz w:val="20"/>
          <w:szCs w:val="20"/>
        </w:rPr>
        <w:t xml:space="preserve">Kose, M. A., Ohnsorge, F., Reinhart, C., &amp; Rogoff, K. (2021). The aftermath of debt surges. NBER Working Paper No. 29266. https://doi.org/10.3386/w29266</w:t>
      </w:r>
    </w:p>
    <w:p>
      <w:pPr>
        <w:spacing w:before="0" w:after="140" w:line="300" w:lineRule="auto"/>
        <w:ind w:left="720" w:hanging="720"/>
        <w:jc w:val="both"/>
      </w:pPr>
      <w:r>
        <w:rPr>
          <w:rFonts w:ascii="Times New Roman" w:cs="Times New Roman" w:eastAsia="Times New Roman" w:hAnsi="Times New Roman"/>
          <w:sz w:val="20"/>
          <w:szCs w:val="20"/>
        </w:rPr>
        <w:t xml:space="preserve">Krugman, P. (1988). Financing versus forgiving a debt overhang. Journal of Development Economics, 29(3), 253–268. https://doi.org/10.1016/0304-3878(88)90044-2</w:t>
      </w:r>
    </w:p>
    <w:p>
      <w:pPr>
        <w:spacing w:before="0" w:after="140" w:line="300" w:lineRule="auto"/>
        <w:ind w:left="720" w:hanging="720"/>
        <w:jc w:val="both"/>
      </w:pPr>
      <w:r>
        <w:rPr>
          <w:rFonts w:ascii="Times New Roman" w:cs="Times New Roman" w:eastAsia="Times New Roman" w:hAnsi="Times New Roman"/>
          <w:sz w:val="20"/>
          <w:szCs w:val="20"/>
        </w:rPr>
        <w:t xml:space="preserve">Merton, R. K. (1973). The sociology of science: Theoretical and empirical investigations. University of Chicago Press.</w:t>
      </w:r>
    </w:p>
    <w:p>
      <w:pPr>
        <w:spacing w:before="0" w:after="140" w:line="300" w:lineRule="auto"/>
        <w:ind w:left="720" w:hanging="720"/>
        <w:jc w:val="both"/>
      </w:pPr>
      <w:r>
        <w:rPr>
          <w:rFonts w:ascii="Times New Roman" w:cs="Times New Roman" w:eastAsia="Times New Roman" w:hAnsi="Times New Roman"/>
          <w:sz w:val="20"/>
          <w:szCs w:val="20"/>
        </w:rPr>
        <w:t xml:space="preserve">Mishra, P., &amp; Newhouse, D. (2009). Does health aid matter? Journal of Health Economics, 28(4), 855–872. https://doi.org/10.1016/j.jhealeco.2009.05.004</w:t>
      </w:r>
    </w:p>
    <w:p>
      <w:pPr>
        <w:spacing w:before="0" w:after="140" w:line="300" w:lineRule="auto"/>
        <w:ind w:left="720" w:hanging="720"/>
        <w:jc w:val="both"/>
      </w:pPr>
      <w:r>
        <w:rPr>
          <w:rFonts w:ascii="Times New Roman" w:cs="Times New Roman" w:eastAsia="Times New Roman" w:hAnsi="Times New Roman"/>
          <w:sz w:val="20"/>
          <w:szCs w:val="20"/>
        </w:rPr>
        <w:t xml:space="preserve">North, D. C. (1990). Institutions, institutional change and economic performance. Cambridge University Press.</w:t>
      </w:r>
    </w:p>
    <w:p>
      <w:pPr>
        <w:spacing w:before="0" w:after="140" w:line="300" w:lineRule="auto"/>
        <w:ind w:left="720" w:hanging="720"/>
        <w:jc w:val="both"/>
      </w:pPr>
      <w:r>
        <w:rPr>
          <w:rFonts w:ascii="Times New Roman" w:cs="Times New Roman" w:eastAsia="Times New Roman" w:hAnsi="Times New Roman"/>
          <w:sz w:val="20"/>
          <w:szCs w:val="20"/>
        </w:rPr>
        <w:t xml:space="preserve">Phillips, E. M., &amp; Pugh, D. S. (2015). How to get a PhD: A handbook for students and their supervisors (5.ª ed.). Open University Press.</w:t>
      </w:r>
    </w:p>
    <w:p>
      <w:pPr>
        <w:spacing w:before="0" w:after="140" w:line="300" w:lineRule="auto"/>
        <w:ind w:left="720" w:hanging="720"/>
        <w:jc w:val="both"/>
      </w:pPr>
      <w:r>
        <w:rPr>
          <w:rFonts w:ascii="Times New Roman" w:cs="Times New Roman" w:eastAsia="Times New Roman" w:hAnsi="Times New Roman"/>
          <w:sz w:val="20"/>
          <w:szCs w:val="20"/>
        </w:rPr>
        <w:t xml:space="preserve">PNUD. (2023). Human development data center. https://hdr.undp.org/data-center</w:t>
      </w:r>
    </w:p>
    <w:p>
      <w:pPr>
        <w:spacing w:before="0" w:after="140" w:line="300" w:lineRule="auto"/>
        <w:ind w:left="720" w:hanging="720"/>
        <w:jc w:val="both"/>
      </w:pPr>
      <w:r>
        <w:rPr>
          <w:rFonts w:ascii="Times New Roman" w:cs="Times New Roman" w:eastAsia="Times New Roman" w:hAnsi="Times New Roman"/>
          <w:sz w:val="20"/>
          <w:szCs w:val="20"/>
        </w:rPr>
        <w:t xml:space="preserve">Popper, K. R. (2002). The logic of scientific discovery. Routledge. (Obra original publicada en 1959)</w:t>
      </w:r>
    </w:p>
    <w:p>
      <w:pPr>
        <w:spacing w:before="0" w:after="140" w:line="300" w:lineRule="auto"/>
        <w:ind w:left="720" w:hanging="720"/>
        <w:jc w:val="both"/>
      </w:pPr>
      <w:r>
        <w:rPr>
          <w:rFonts w:ascii="Times New Roman" w:cs="Times New Roman" w:eastAsia="Times New Roman" w:hAnsi="Times New Roman"/>
          <w:sz w:val="20"/>
          <w:szCs w:val="20"/>
        </w:rPr>
        <w:t xml:space="preserve">Presbitero, A. F. (2009). Debt relief effectiveness and institution-building. Development Policy Review, 27(5), 529–559. https://doi.org/10.1111/j.1467-7679.2009.00460.x</w:t>
      </w:r>
    </w:p>
    <w:p>
      <w:pPr>
        <w:spacing w:before="0" w:after="140" w:line="300" w:lineRule="auto"/>
        <w:ind w:left="720" w:hanging="720"/>
        <w:jc w:val="both"/>
      </w:pPr>
      <w:r>
        <w:rPr>
          <w:rFonts w:ascii="Times New Roman" w:cs="Times New Roman" w:eastAsia="Times New Roman" w:hAnsi="Times New Roman"/>
          <w:sz w:val="20"/>
          <w:szCs w:val="20"/>
        </w:rPr>
        <w:t xml:space="preserve">Prizzon, A., &amp; Mustapha, S. (2014). Debt sustainability in heavily indebted poor countries in a new age of choice. Overseas Development Institute Working Paper No. 397.</w:t>
      </w:r>
    </w:p>
    <w:p>
      <w:pPr>
        <w:spacing w:before="0" w:after="140" w:line="300" w:lineRule="auto"/>
        <w:ind w:left="720" w:hanging="720"/>
        <w:jc w:val="both"/>
      </w:pPr>
      <w:r>
        <w:rPr>
          <w:rFonts w:ascii="Times New Roman" w:cs="Times New Roman" w:eastAsia="Times New Roman" w:hAnsi="Times New Roman"/>
          <w:sz w:val="20"/>
          <w:szCs w:val="20"/>
        </w:rPr>
        <w:t xml:space="preserve">Reinhart, C. M., &amp; Rogoff, K. S. (2009). This time is different: Eight centuries of financial folly. Princeton University Press.</w:t>
      </w:r>
    </w:p>
    <w:p>
      <w:pPr>
        <w:spacing w:before="0" w:after="140" w:line="300" w:lineRule="auto"/>
        <w:ind w:left="720" w:hanging="720"/>
        <w:jc w:val="both"/>
      </w:pPr>
      <w:r>
        <w:rPr>
          <w:rFonts w:ascii="Times New Roman" w:cs="Times New Roman" w:eastAsia="Times New Roman" w:hAnsi="Times New Roman"/>
          <w:sz w:val="20"/>
          <w:szCs w:val="20"/>
        </w:rPr>
        <w:t xml:space="preserve">Reinhart, C. M., Reinhart, V., &amp; Trebesch, C. (2016). Global cycles: Capital flows, commodities, and sovereign defaults, 1815–2015. American Economic Review, 106(5), 574–580. https://doi.org/10.1257/aer.p20161014</w:t>
      </w:r>
    </w:p>
    <w:p>
      <w:pPr>
        <w:spacing w:before="0" w:after="140" w:line="300" w:lineRule="auto"/>
        <w:ind w:left="720" w:hanging="720"/>
        <w:jc w:val="both"/>
      </w:pPr>
      <w:r>
        <w:rPr>
          <w:rFonts w:ascii="Times New Roman" w:cs="Times New Roman" w:eastAsia="Times New Roman" w:hAnsi="Times New Roman"/>
          <w:sz w:val="20"/>
          <w:szCs w:val="20"/>
        </w:rPr>
        <w:t xml:space="preserve">Rodrik, D., Subramanian, A., &amp; Trebbi, F. (2004). Institutions rule: The primacy of institutions over geography and integration in economic development. Journal of Economic Growth, 9(2), 131–165. https://doi.org/10.1023/B:JOEG.0000031425.72248.85</w:t>
      </w:r>
    </w:p>
    <w:p>
      <w:pPr>
        <w:spacing w:before="0" w:after="140" w:line="300" w:lineRule="auto"/>
        <w:ind w:left="720" w:hanging="720"/>
        <w:jc w:val="both"/>
      </w:pPr>
      <w:r>
        <w:rPr>
          <w:rFonts w:ascii="Times New Roman" w:cs="Times New Roman" w:eastAsia="Times New Roman" w:hAnsi="Times New Roman"/>
          <w:sz w:val="20"/>
          <w:szCs w:val="20"/>
        </w:rPr>
        <w:t xml:space="preserve">Sachs, J. D. (1989). The debt overhang of developing countries. En G. A. Calvo, R. Findlay, P. Kouri, &amp; J. B. de Macedo (Eds.), Debt, stabilization and development (pp. 80–102). Blackwell.</w:t>
      </w:r>
    </w:p>
    <w:p>
      <w:pPr>
        <w:spacing w:before="0" w:after="140" w:line="300" w:lineRule="auto"/>
        <w:ind w:left="720" w:hanging="720"/>
        <w:jc w:val="both"/>
      </w:pPr>
      <w:r>
        <w:rPr>
          <w:rFonts w:ascii="Times New Roman" w:cs="Times New Roman" w:eastAsia="Times New Roman" w:hAnsi="Times New Roman"/>
          <w:sz w:val="20"/>
          <w:szCs w:val="20"/>
        </w:rPr>
        <w:t xml:space="preserve">Stiglitz, J. E. (2002). Globalization and its discontents. W. W. Norton.</w:t>
      </w:r>
    </w:p>
    <w:p>
      <w:pPr>
        <w:spacing w:before="0" w:after="140" w:line="300" w:lineRule="auto"/>
        <w:ind w:left="720" w:hanging="720"/>
        <w:jc w:val="both"/>
      </w:pPr>
      <w:r>
        <w:rPr>
          <w:rFonts w:ascii="Times New Roman" w:cs="Times New Roman" w:eastAsia="Times New Roman" w:hAnsi="Times New Roman"/>
          <w:sz w:val="20"/>
          <w:szCs w:val="20"/>
        </w:rPr>
        <w:t xml:space="preserve">Stone, R. W. (2008). The scope of IMF conditionality. International Organization, 62(4), 589–620. https://doi.org/10.1017/S0020818308080211</w:t>
      </w:r>
    </w:p>
    <w:p>
      <w:pPr>
        <w:spacing w:before="0" w:after="140" w:line="300" w:lineRule="auto"/>
        <w:ind w:left="720" w:hanging="720"/>
        <w:jc w:val="both"/>
      </w:pPr>
      <w:r>
        <w:rPr>
          <w:rFonts w:ascii="Times New Roman" w:cs="Times New Roman" w:eastAsia="Times New Roman" w:hAnsi="Times New Roman"/>
          <w:sz w:val="20"/>
          <w:szCs w:val="20"/>
        </w:rPr>
        <w:t xml:space="preserve">Sturzenegger, F., &amp; Zettelmeyer, J. (2006). Debt defaults and lessons from a decade of crises. MIT Press.</w:t>
      </w:r>
    </w:p>
    <w:p>
      <w:pPr>
        <w:spacing w:before="0" w:after="140" w:line="300" w:lineRule="auto"/>
        <w:ind w:left="720" w:hanging="720"/>
        <w:jc w:val="both"/>
      </w:pPr>
      <w:r>
        <w:rPr>
          <w:rFonts w:ascii="Times New Roman" w:cs="Times New Roman" w:eastAsia="Times New Roman" w:hAnsi="Times New Roman"/>
          <w:sz w:val="20"/>
          <w:szCs w:val="20"/>
        </w:rPr>
        <w:t xml:space="preserve">Teorell, J., Sundström, A., Holmberg, S., Rothstein, B., Alvarado Pacheco, N., &amp; Dahl, M. (2021). The Quality of Government Standard Dataset, version Jan21. University of Gothenburg: The Quality of Government Institute. https://doi.org/10.18157/qogstdjan21</w:t>
      </w:r>
    </w:p>
    <w:p>
      <w:pPr>
        <w:spacing w:before="0" w:after="140" w:line="300" w:lineRule="auto"/>
        <w:ind w:left="720" w:hanging="720"/>
        <w:jc w:val="both"/>
      </w:pPr>
      <w:r>
        <w:rPr>
          <w:rFonts w:ascii="Times New Roman" w:cs="Times New Roman" w:eastAsia="Times New Roman" w:hAnsi="Times New Roman"/>
          <w:sz w:val="20"/>
          <w:szCs w:val="20"/>
        </w:rPr>
        <w:t xml:space="preserve">Wooldridge, J. M. (2010). Econometric analysis of cross section and panel data (2.ª ed.). MIT Press.</w:t>
      </w:r>
    </w:p>
    <w:p>
      <w:pPr>
        <w:spacing w:before="0" w:after="140" w:line="300" w:lineRule="auto"/>
        <w:ind w:left="720" w:hanging="720"/>
        <w:jc w:val="both"/>
      </w:pPr>
      <w:r>
        <w:rPr>
          <w:rFonts w:ascii="Times New Roman" w:cs="Times New Roman" w:eastAsia="Times New Roman" w:hAnsi="Times New Roman"/>
          <w:sz w:val="20"/>
          <w:szCs w:val="20"/>
        </w:rPr>
        <w:t xml:space="preserve">World Bank. (1996). The HIPC debt initiative: A progress report. World Bank Development Committee Paper.</w:t>
      </w:r>
    </w:p>
    <w:p>
      <w:pPr>
        <w:spacing w:before="0" w:after="0" w:line="240"/>
      </w:pPr>
      <w:r>
        <w:t xml:space="preserve"/>
      </w:r>
    </w:p>
    <w:sectPr>
      <w:headerReference w:type="default" r:id="rId6"/>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597" w:sz="4" w:space="1"/>
      </w:pBd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7" w:sz="4" w:space="1"/>
      </w:pBdr>
      <w:spacing w:after="80"/>
      <w:jc w:val="right"/>
    </w:pPr>
    <w:r>
      <w:rPr>
        <w:rFonts w:ascii="Times New Roman" w:cs="Times New Roman" w:eastAsia="Times New Roman" w:hAnsi="Times New Roman"/>
        <w:color w:val="666666"/>
        <w:sz w:val="18"/>
        <w:szCs w:val="18"/>
      </w:rPr>
      <w:t xml:space="preserve">Tesis doctoral — Iniciativa HIPC y sostenibilidad de la deuda externa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before="320" w:after="160"/>
      <w:outlineLvl w:val="1"/>
    </w:pPr>
    <w:rPr>
      <w:rFonts w:ascii="Times New Roman" w:cs="Times New Roman" w:eastAsia="Times New Roman" w:hAnsi="Times New Roman"/>
      <w:b/>
      <w:bCs/>
      <w:color w:val="2E5597"/>
      <w:sz w:val="24"/>
      <w:szCs w:val="24"/>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2026-03-25T13:36:26.875Z</dcterms:created>
  <dcterms:modified xsi:type="dcterms:W3CDTF">2026-03-25T13:36:26.876Z</dcterms:modified>
</cp:coreProperties>
</file>

<file path=docProps/custom.xml><?xml version="1.0" encoding="utf-8"?>
<Properties xmlns="http://schemas.openxmlformats.org/officeDocument/2006/custom-properties" xmlns:vt="http://schemas.openxmlformats.org/officeDocument/2006/docPropsVTypes"/>
</file>