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t xml:space="preserve"/>
      </w:r>
    </w:p>
    <w:p>
      <w:pPr>
        <w:spacing w:before="0" w:after="0" w:line="240"/>
      </w:pPr>
      <w:r>
        <w:t xml:space="preserve"/>
      </w:r>
    </w:p>
    <w:p>
      <w:pPr>
        <w:spacing w:before="400" w:after="100"/>
        <w:jc w:val="center"/>
      </w:pPr>
      <w:r>
        <w:rPr>
          <w:rFonts w:ascii="Times New Roman" w:cs="Times New Roman" w:eastAsia="Times New Roman" w:hAnsi="Times New Roman"/>
          <w:caps/>
          <w:color w:val="888888"/>
          <w:sz w:val="18"/>
          <w:szCs w:val="18"/>
        </w:rPr>
        <w:t xml:space="preserve">CAPÍTULO 2</w:t>
      </w:r>
    </w:p>
    <w:p>
      <w:pPr>
        <w:spacing w:before="0" w:after="80"/>
        <w:jc w:val="center"/>
      </w:pPr>
      <w:r>
        <w:rPr>
          <w:rFonts w:ascii="Times New Roman" w:cs="Times New Roman" w:eastAsia="Times New Roman" w:hAnsi="Times New Roman"/>
          <w:b/>
          <w:bCs/>
          <w:color w:val="1F3864"/>
          <w:sz w:val="34"/>
          <w:szCs w:val="34"/>
        </w:rPr>
        <w:t xml:space="preserve">Marco teórico e histórico</w:t>
      </w:r>
    </w:p>
    <w:p>
      <w:pPr>
        <w:spacing w:before="0" w:after="600"/>
        <w:jc w:val="center"/>
      </w:pPr>
      <w:r>
        <w:rPr>
          <w:rFonts w:ascii="Times New Roman" w:cs="Times New Roman" w:eastAsia="Times New Roman" w:hAnsi="Times New Roman"/>
          <w:i/>
          <w:iCs/>
          <w:color w:val="2E5597"/>
          <w:sz w:val="20"/>
          <w:szCs w:val="20"/>
        </w:rPr>
        <w:t xml:space="preserve">De la crisis de la deuda de los ochenta a la paradoja post-HIPC</w:t>
      </w:r>
    </w:p>
    <w:p>
      <w:pPr>
        <w:spacing w:before="0" w:after="0" w:line="240"/>
      </w:pPr>
      <w:r>
        <w:t xml:space="preserve"/>
      </w:r>
    </w:p>
    <w:p>
      <w:pPr>
        <w:spacing w:before="0" w:after="0" w:line="240"/>
      </w:pPr>
      <w:r>
        <w:t xml:space="preserve"/>
      </w:r>
    </w:p>
    <w:p>
      <w:pPr>
        <w:spacing w:before="0" w:after="0" w:line="240"/>
      </w:pPr>
      <w:r>
        <w:t xml:space="preserve"/>
      </w:r>
    </w:p>
    <w:p>
      <w:pPr>
        <w:spacing w:before="0" w:after="0" w:line="240"/>
      </w:pPr>
      <w:r>
        <w:t xml:space="preserve"/>
      </w:r>
    </w:p>
    <w:p>
      <w:r>
        <w:r>
          <w:br w:type="page"/>
        </w:r>
      </w:r>
    </w:p>
    <w:p>
      <w:pPr>
        <w:spacing w:before="0" w:after="60" w:line="320"/>
        <w:ind w:left="3200"/>
        <w:jc w:val="right"/>
      </w:pPr>
      <w:r>
        <w:rPr>
          <w:rFonts w:ascii="Times New Roman" w:cs="Times New Roman" w:eastAsia="Times New Roman" w:hAnsi="Times New Roman"/>
          <w:i/>
          <w:iCs/>
          <w:color w:val="444444"/>
          <w:sz w:val="20"/>
          <w:szCs w:val="20"/>
        </w:rPr>
        <w:t xml:space="preserve">«El estudio de las instituciones es la comprensión de las reglas del juego que dan forma a la interacción humana y, por ende, a las trayectorias del desarrollo económico.»</w:t>
      </w:r>
    </w:p>
    <w:p>
      <w:pPr>
        <w:spacing w:before="0" w:after="500"/>
        <w:ind w:left="3200"/>
        <w:jc w:val="right"/>
      </w:pPr>
      <w:r>
        <w:rPr>
          <w:rFonts w:ascii="Times New Roman" w:cs="Times New Roman" w:eastAsia="Times New Roman" w:hAnsi="Times New Roman"/>
          <w:color w:val="666666"/>
          <w:sz w:val="20"/>
          <w:szCs w:val="20"/>
        </w:rPr>
        <w:t xml:space="preserve">North (1990, p. 3)</w:t>
      </w:r>
    </w:p>
    <w:p>
      <w:pPr>
        <w:pStyle w:val="Heading1"/>
        <w:spacing w:before="480" w:after="200"/>
      </w:pPr>
      <w:r>
        <w:rPr>
          <w:rFonts w:ascii="Times New Roman" w:cs="Times New Roman" w:eastAsia="Times New Roman" w:hAnsi="Times New Roman"/>
          <w:b/>
          <w:bCs/>
          <w:color w:val="1F3864"/>
          <w:sz w:val="28"/>
          <w:szCs w:val="28"/>
        </w:rPr>
        <w:t xml:space="preserve">2. Marco teórico e histórico</w:t>
      </w:r>
    </w:p>
    <w:p>
      <w:pPr>
        <w:spacing w:before="0" w:after="200" w:line="360" w:lineRule="auto"/>
        <w:ind w:firstLine="720"/>
        <w:jc w:val="both"/>
      </w:pPr>
      <w:r>
        <w:rPr>
          <w:rFonts w:ascii="Times New Roman" w:cs="Times New Roman" w:eastAsia="Times New Roman" w:hAnsi="Times New Roman"/>
          <w:sz w:val="24"/>
          <w:szCs w:val="24"/>
        </w:rPr>
        <w:t xml:space="preserve">Este capítulo construye los cimientos conceptuales sobre los que descansa el análisis empírico de los Capítulos 4 y 5. Su propósito no es producir una enciclopedia del pensamiento sobre la deuda soberana, sino algo más específico y difícil: explicar </w:t>
      </w:r>
      <w:r>
        <w:rPr>
          <w:rFonts w:ascii="Times New Roman" w:cs="Times New Roman" w:eastAsia="Times New Roman" w:hAnsi="Times New Roman"/>
          <w:i/>
          <w:iCs/>
          <w:sz w:val="24"/>
          <w:szCs w:val="24"/>
        </w:rPr>
        <w:t xml:space="preserve">por qué</w:t>
      </w:r>
      <w:r>
        <w:rPr>
          <w:rFonts w:ascii="Times New Roman" w:cs="Times New Roman" w:eastAsia="Times New Roman" w:hAnsi="Times New Roman"/>
          <w:sz w:val="24"/>
          <w:szCs w:val="24"/>
        </w:rPr>
        <w:t xml:space="preserve"> una tesis que estudia una iniciativa financiera adopta un marco institucionalista, </w:t>
      </w:r>
      <w:r>
        <w:rPr>
          <w:rFonts w:ascii="Times New Roman" w:cs="Times New Roman" w:eastAsia="Times New Roman" w:hAnsi="Times New Roman"/>
          <w:i/>
          <w:iCs/>
          <w:sz w:val="24"/>
          <w:szCs w:val="24"/>
        </w:rPr>
        <w:t xml:space="preserve">qué</w:t>
      </w:r>
      <w:r>
        <w:rPr>
          <w:rFonts w:ascii="Times New Roman" w:cs="Times New Roman" w:eastAsia="Times New Roman" w:hAnsi="Times New Roman"/>
          <w:sz w:val="24"/>
          <w:szCs w:val="24"/>
        </w:rPr>
        <w:t xml:space="preserve"> dice ese marco que otros enfoques no pueden decir, y </w:t>
      </w:r>
      <w:r>
        <w:rPr>
          <w:rFonts w:ascii="Times New Roman" w:cs="Times New Roman" w:eastAsia="Times New Roman" w:hAnsi="Times New Roman"/>
          <w:i/>
          <w:iCs/>
          <w:sz w:val="24"/>
          <w:szCs w:val="24"/>
        </w:rPr>
        <w:t xml:space="preserve">cómo</w:t>
      </w:r>
      <w:r>
        <w:rPr>
          <w:rFonts w:ascii="Times New Roman" w:cs="Times New Roman" w:eastAsia="Times New Roman" w:hAnsi="Times New Roman"/>
          <w:sz w:val="24"/>
          <w:szCs w:val="24"/>
        </w:rPr>
        <w:t xml:space="preserve"> se traduce en herramientas de análisis concretas. La respuesta a estas tres preguntas estructura las cinco secciones del capítulo.</w:t>
      </w:r>
    </w:p>
    <w:p>
      <w:pPr>
        <w:spacing w:before="0" w:after="200" w:line="360" w:lineRule="auto"/>
        <w:ind w:firstLine="720"/>
        <w:jc w:val="both"/>
      </w:pPr>
      <w:r>
        <w:rPr>
          <w:rFonts w:ascii="Times New Roman" w:cs="Times New Roman" w:eastAsia="Times New Roman" w:hAnsi="Times New Roman"/>
          <w:sz w:val="24"/>
          <w:szCs w:val="24"/>
        </w:rPr>
        <w:t xml:space="preserve">La sección §2.1 reconstruye el contexto histórico con la profundidad que el problema requiere: desde los patrones seculares de crisis de deuda soberana identificados por Reinhart y Rogoff hasta la lógica específica del Consenso de Washington que moldeó las condicionalidades de la HIPC. La sección §2.2 presenta el debate teórico, no para ofrecer un catálogo neutral de escuelas sino para justificar argumentadamente por qué el enfoque institucional es el más adecuado para este problema. La sección §2.3 sistematiza la evidencia empírica existente. La sección §2.4 introduce el análisis MICMAC como herramienta de especificación. La sección §2.5 integra todo en la cadena causal que conecta con las hipótesis H1–H7.</w:t>
      </w:r>
    </w:p>
    <w:p>
      <w:pPr>
        <w:spacing w:before="0" w:after="200" w:line="360" w:lineRule="auto"/>
        <w:ind w:firstLine="720"/>
        <w:jc w:val="both"/>
      </w:pPr>
      <w:r>
        <w:rPr>
          <w:rFonts w:ascii="Times New Roman" w:cs="Times New Roman" w:eastAsia="Times New Roman" w:hAnsi="Times New Roman"/>
          <w:sz w:val="24"/>
          <w:szCs w:val="24"/>
        </w:rPr>
        <w:t xml:space="preserve">Una nota sobre el tono de este capítulo: la sección §2.5 presenta los métodos econométricos de manera deliberadamente narrativa y accesible, antes de su especificación técnica en el Capítulo 3 (Metodología). La razón es metodológicamente honesta: un método que no puede explicarse con palabras antes de traducirse a fórmulas es un método que no se comprende del todo. La explicación narrativa no reemplaza el rigor técnico; lo fundamenta.</w:t>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2.1</w:t>
      </w:r>
    </w:p>
    <w:p>
      <w:pPr>
        <w:spacing w:before="0" w:after="400"/>
        <w:jc w:val="center"/>
      </w:pPr>
      <w:r>
        <w:rPr>
          <w:rFonts w:ascii="Times New Roman" w:cs="Times New Roman" w:eastAsia="Times New Roman" w:hAnsi="Times New Roman"/>
          <w:b/>
          <w:bCs/>
          <w:color w:val="1F3864"/>
          <w:sz w:val="26"/>
          <w:szCs w:val="26"/>
        </w:rPr>
        <w:t xml:space="preserve">Historia de la deuda soberana y orígenes de la HIPC</w:t>
      </w:r>
    </w:p>
    <w:p>
      <w:pPr>
        <w:pStyle w:val="Heading1"/>
        <w:spacing w:before="480" w:after="200"/>
      </w:pPr>
      <w:r>
        <w:rPr>
          <w:rFonts w:ascii="Times New Roman" w:cs="Times New Roman" w:eastAsia="Times New Roman" w:hAnsi="Times New Roman"/>
          <w:b/>
          <w:bCs/>
          <w:color w:val="1F3864"/>
          <w:sz w:val="28"/>
          <w:szCs w:val="28"/>
        </w:rPr>
        <w:t xml:space="preserve">2.1 Historia de la deuda soberana y orígenes de la HIPC</w:t>
      </w:r>
    </w:p>
    <w:p>
      <w:pPr>
        <w:pStyle w:val="Heading2"/>
        <w:spacing w:before="320" w:after="160"/>
      </w:pPr>
      <w:r>
        <w:rPr>
          <w:rFonts w:ascii="Times New Roman" w:cs="Times New Roman" w:eastAsia="Times New Roman" w:hAnsi="Times New Roman"/>
          <w:b/>
          <w:bCs/>
          <w:color w:val="2E5597"/>
          <w:sz w:val="24"/>
          <w:szCs w:val="24"/>
        </w:rPr>
        <w:t xml:space="preserve">2.1.1 Ocho siglos de deuda soberana: los patrones de Reinhart y Rogoff</w:t>
      </w:r>
    </w:p>
    <w:p>
      <w:pPr>
        <w:spacing w:before="0" w:after="200" w:line="360" w:lineRule="auto"/>
        <w:ind w:firstLine="720"/>
        <w:jc w:val="both"/>
      </w:pPr>
      <w:r>
        <w:rPr>
          <w:rFonts w:ascii="Times New Roman" w:cs="Times New Roman" w:eastAsia="Times New Roman" w:hAnsi="Times New Roman"/>
          <w:sz w:val="24"/>
          <w:szCs w:val="24"/>
        </w:rPr>
        <w:t xml:space="preserve">La primera contribución intelectual indispensable para entender la Iniciativa HIPC no es un documento del FMI ni un paper sobre África: es un libro de historia económica. En </w:t>
      </w:r>
      <w:r>
        <w:rPr>
          <w:rFonts w:ascii="Times New Roman" w:cs="Times New Roman" w:eastAsia="Times New Roman" w:hAnsi="Times New Roman"/>
          <w:i/>
          <w:iCs/>
          <w:sz w:val="24"/>
          <w:szCs w:val="24"/>
        </w:rPr>
        <w:t xml:space="preserve">This Time Is Different: Eight Centuries of Financial Folly</w:t>
      </w:r>
      <w:r>
        <w:rPr>
          <w:rFonts w:ascii="Times New Roman" w:cs="Times New Roman" w:eastAsia="Times New Roman" w:hAnsi="Times New Roman"/>
          <w:sz w:val="24"/>
          <w:szCs w:val="24"/>
        </w:rPr>
        <w:t xml:space="preserve"> (2009), Carmen Reinhart y Kenneth Rogoff documentaron sistemáticamente los ciclos de endeudamiento y default soberano desde el siglo XIII hasta la crisis financiera global de 2008. Su hallazgo central es tan simple como perturbador: los episodios de sobreendeudamiento, crisis y reestructuración de la deuda soberana no son accidentes excepcionales sino un patrón estructural recurrente en la historia del sistema financiero internacional.</w:t>
      </w:r>
    </w:p>
    <w:p>
      <w:pPr>
        <w:spacing w:before="0" w:after="200" w:line="360" w:lineRule="auto"/>
        <w:ind w:firstLine="720"/>
        <w:jc w:val="both"/>
      </w:pPr>
      <w:r>
        <w:rPr>
          <w:rFonts w:ascii="Times New Roman" w:cs="Times New Roman" w:eastAsia="Times New Roman" w:hAnsi="Times New Roman"/>
          <w:sz w:val="24"/>
          <w:szCs w:val="24"/>
        </w:rPr>
        <w:t xml:space="preserve">Lo que Reinhart y Rogoff llaman el </w:t>
      </w:r>
      <w:r>
        <w:rPr>
          <w:rFonts w:ascii="Times New Roman" w:cs="Times New Roman" w:eastAsia="Times New Roman" w:hAnsi="Times New Roman"/>
          <w:i/>
          <w:iCs/>
          <w:sz w:val="24"/>
          <w:szCs w:val="24"/>
        </w:rPr>
        <w:t xml:space="preserve">síndrome de esta vez es diferente</w:t>
      </w:r>
      <w:r>
        <w:rPr>
          <w:rFonts w:ascii="Times New Roman" w:cs="Times New Roman" w:eastAsia="Times New Roman" w:hAnsi="Times New Roman"/>
          <w:sz w:val="24"/>
          <w:szCs w:val="24"/>
        </w:rPr>
        <w:t xml:space="preserve"> es la ilusión colectiva que acompaña a cada ciclo de endeudamiento: la creencia de que las condiciones actuales —el boom de commodities, el crecimiento acelerado, el acceso a nuevos acreedores— hacen que esta ronda de deuda sea diferente a las anteriores, más sostenible, menos propensa a terminar en crisis. Esta ilusión, documentada en más de sesenta países a lo largo de ocho siglos, es el mecanismo psicológico y político que alimenta cada nuevo ciclo.</w:t>
      </w:r>
    </w:p>
    <w:p>
      <w:pPr>
        <w:spacing w:before="0" w:after="200" w:line="360" w:lineRule="auto"/>
        <w:ind w:firstLine="720"/>
        <w:jc w:val="both"/>
      </w:pPr>
      <w:r>
        <w:rPr>
          <w:rFonts w:ascii="Times New Roman" w:cs="Times New Roman" w:eastAsia="Times New Roman" w:hAnsi="Times New Roman"/>
          <w:sz w:val="24"/>
          <w:szCs w:val="24"/>
        </w:rPr>
        <w:t xml:space="preserve">Para los países que años después se convertirían en los beneficiarios de la Iniciativa HIPC, el análisis de Reinhart y Rogoff es particularmente iluminador porque revela dos patrones específicos. El primero es el </w:t>
      </w:r>
      <w:r>
        <w:rPr>
          <w:rFonts w:ascii="Times New Roman" w:cs="Times New Roman" w:eastAsia="Times New Roman" w:hAnsi="Times New Roman"/>
          <w:i/>
          <w:iCs/>
          <w:sz w:val="24"/>
          <w:szCs w:val="24"/>
        </w:rPr>
        <w:t xml:space="preserve">sesgo de endeudamiento</w:t>
      </w:r>
      <w:r>
        <w:rPr>
          <w:rFonts w:ascii="Times New Roman" w:cs="Times New Roman" w:eastAsia="Times New Roman" w:hAnsi="Times New Roman"/>
          <w:sz w:val="24"/>
          <w:szCs w:val="24"/>
        </w:rPr>
        <w:t xml:space="preserve">: los gobiernos de países de bajos ingresos tienden sistemáticamente a subestimar el costo futuro del servicio de la deuda contraída en períodos de bonanza, en parte porque los plazos del ciclo político son más cortos que los plazos del ciclo de la deuda. El segundo es la </w:t>
      </w:r>
      <w:r>
        <w:rPr>
          <w:rFonts w:ascii="Times New Roman" w:cs="Times New Roman" w:eastAsia="Times New Roman" w:hAnsi="Times New Roman"/>
          <w:i/>
          <w:iCs/>
          <w:sz w:val="24"/>
          <w:szCs w:val="24"/>
        </w:rPr>
        <w:t xml:space="preserve">trampa de la serial default</w:t>
      </w:r>
      <w:r>
        <w:rPr>
          <w:rFonts w:ascii="Times New Roman" w:cs="Times New Roman" w:eastAsia="Times New Roman" w:hAnsi="Times New Roman"/>
          <w:sz w:val="24"/>
          <w:szCs w:val="24"/>
        </w:rPr>
        <w:t xml:space="preserve">: los países que han entrado en default una vez tienen una probabilidad significativamente mayor de volver a hacerlo, porque el episodio de crisis daña las instituciones de gestión de la deuda, deteriora la credibilidad fiscal y reduce la capacidad de generar los ingresos necesarios para el servicio futuro.</w:t>
      </w:r>
    </w:p>
    <w:p>
      <w:pPr>
        <w:spacing w:before="0" w:after="200" w:line="360" w:lineRule="auto"/>
        <w:ind w:firstLine="720"/>
        <w:jc w:val="both"/>
      </w:pPr>
      <w:r>
        <w:rPr>
          <w:rFonts w:ascii="Times New Roman" w:cs="Times New Roman" w:eastAsia="Times New Roman" w:hAnsi="Times New Roman"/>
          <w:sz w:val="24"/>
          <w:szCs w:val="24"/>
        </w:rPr>
        <w:t xml:space="preserve">Lo que Reinhart y Rogoff no resuelven —y que esta tesis intenta responder— es la siguiente pregunta: ¿por qué algunos países rompen el ciclo y otros no? Sus datos muestran que hay países que, tras una reestructuración de deuda, logran estabilizar sus finanzas públicas y no vuelven a entrar en crisis durante décadas. ¿Qué los distingue? La respuesta que emergerá a lo largo de este capítulo es: la calidad de sus instituciones. Pero para llegar a esa respuesta es necesario entender primero cómo se construyó la deuda que la HIPC intentó resolver.</w:t>
      </w:r>
    </w:p>
    <w:p>
      <w:pPr>
        <w:pStyle w:val="Heading2"/>
        <w:spacing w:before="320" w:after="160"/>
      </w:pPr>
      <w:r>
        <w:rPr>
          <w:rFonts w:ascii="Times New Roman" w:cs="Times New Roman" w:eastAsia="Times New Roman" w:hAnsi="Times New Roman"/>
          <w:b/>
          <w:bCs/>
          <w:color w:val="2E5597"/>
          <w:sz w:val="24"/>
          <w:szCs w:val="24"/>
        </w:rPr>
        <w:t xml:space="preserve">2.1.2 El origen estructural: economías coloniales y dependencia financiera</w:t>
      </w:r>
    </w:p>
    <w:p>
      <w:pPr>
        <w:spacing w:before="0" w:after="200" w:line="360" w:lineRule="auto"/>
        <w:ind w:firstLine="720"/>
        <w:jc w:val="both"/>
      </w:pPr>
      <w:r>
        <w:rPr>
          <w:rFonts w:ascii="Times New Roman" w:cs="Times New Roman" w:eastAsia="Times New Roman" w:hAnsi="Times New Roman"/>
          <w:sz w:val="24"/>
          <w:szCs w:val="24"/>
        </w:rPr>
        <w:t xml:space="preserve">La deuda soberana de los países más pobres del mundo no surgió en el vacío. Sus raíces se hunden en la estructura de las economías que el colonialismo construyó: economías diseñadas para exportar materias primas hacia las metrópolis, no para generar riqueza interna; economías con sistemas fiscales débiles, porque la tributación eficiente hubiera reducido la rentabilidad de las empresas coloniales; economías sin diversificación productiva, porque la especialización en commodities convenía a los intereses extractivos de las potencias coloniales.</w:t>
      </w:r>
    </w:p>
    <w:p>
      <w:pPr>
        <w:spacing w:before="0" w:after="200" w:line="360" w:lineRule="auto"/>
        <w:ind w:firstLine="720"/>
        <w:jc w:val="both"/>
      </w:pPr>
      <w:r>
        <w:rPr>
          <w:rFonts w:ascii="Times New Roman" w:cs="Times New Roman" w:eastAsia="Times New Roman" w:hAnsi="Times New Roman"/>
          <w:sz w:val="24"/>
          <w:szCs w:val="24"/>
        </w:rPr>
        <w:t xml:space="preserve">Esta herencia estructural creó, desde el momento de la independencia formal, una trampa de doble vulnerabilidad. Por un lado, la </w:t>
      </w:r>
      <w:r>
        <w:rPr>
          <w:rFonts w:ascii="Times New Roman" w:cs="Times New Roman" w:eastAsia="Times New Roman" w:hAnsi="Times New Roman"/>
          <w:i/>
          <w:iCs/>
          <w:sz w:val="24"/>
          <w:szCs w:val="24"/>
        </w:rPr>
        <w:t xml:space="preserve">trampa de la volatilidad de los términos de intercambio</w:t>
      </w:r>
      <w:r>
        <w:rPr>
          <w:rFonts w:ascii="Times New Roman" w:cs="Times New Roman" w:eastAsia="Times New Roman" w:hAnsi="Times New Roman"/>
          <w:sz w:val="24"/>
          <w:szCs w:val="24"/>
        </w:rPr>
        <w:t xml:space="preserve">: sin diversificación exportadora, los ingresos fiscales dependen del precio internacional de uno o dos productos primarios. Cuando el precio del cacao sube, el gobierno puede endeudarse para financiar la inversión pública. Cuando el precio cae —y siempre cae, porque los ciclos de commodities son inherentemente volátiles— el servicio de la deuda contraída durante el boom se vuelve inmanejable. Por otro lado, la </w:t>
      </w:r>
      <w:r>
        <w:rPr>
          <w:rFonts w:ascii="Times New Roman" w:cs="Times New Roman" w:eastAsia="Times New Roman" w:hAnsi="Times New Roman"/>
          <w:i/>
          <w:iCs/>
          <w:sz w:val="24"/>
          <w:szCs w:val="24"/>
        </w:rPr>
        <w:t xml:space="preserve">trampa de la debilidad institucional</w:t>
      </w:r>
      <w:r>
        <w:rPr>
          <w:rFonts w:ascii="Times New Roman" w:cs="Times New Roman" w:eastAsia="Times New Roman" w:hAnsi="Times New Roman"/>
          <w:sz w:val="24"/>
          <w:szCs w:val="24"/>
        </w:rPr>
        <w:t xml:space="preserve">: con aparatos estatales heredados del colonialismo —diseñados para el control, no para el servicio público— los gobiernos postcoloniales carecen de la capacidad administrativa necesaria para diseñar e implementar políticas fiscales responsables, gestionar eficientemente la inversión pública o resistir las presiones políticas que generan gasto deficitario.</w:t>
      </w:r>
    </w:p>
    <w:p>
      <w:pPr>
        <w:spacing w:before="0" w:after="200" w:line="360" w:lineRule="auto"/>
        <w:ind w:firstLine="720"/>
        <w:jc w:val="both"/>
      </w:pPr>
      <w:r>
        <w:rPr>
          <w:rFonts w:ascii="Times New Roman" w:cs="Times New Roman" w:eastAsia="Times New Roman" w:hAnsi="Times New Roman"/>
          <w:sz w:val="24"/>
          <w:szCs w:val="24"/>
        </w:rPr>
        <w:t xml:space="preserve">North (1990) formalizó esta dinámica en el concepto de </w:t>
      </w:r>
      <w:r>
        <w:rPr>
          <w:rFonts w:ascii="Times New Roman" w:cs="Times New Roman" w:eastAsia="Times New Roman" w:hAnsi="Times New Roman"/>
          <w:i/>
          <w:iCs/>
          <w:sz w:val="24"/>
          <w:szCs w:val="24"/>
        </w:rPr>
        <w:t xml:space="preserve">dependencia de trayectoria</w:t>
      </w:r>
      <w:r>
        <w:rPr>
          <w:rFonts w:ascii="Times New Roman" w:cs="Times New Roman" w:eastAsia="Times New Roman" w:hAnsi="Times New Roman"/>
          <w:sz w:val="24"/>
          <w:szCs w:val="24"/>
        </w:rPr>
        <w:t xml:space="preserve"> institucional: las reglas del juego heredadas del pasado —formales e informales— tienen una tendencia natural a perpetuarse, porque los actores que se benefician de ellas tienen incentivos para reproducirlas y porque el cambio institucional requiere coordinación entre múltiples actores con intereses divergentes. Esta es la razón por la que la debilidad institucional de los países postcoloniales no se resolvió con la independencia política: el mapa de relaciones de poder que sostenía las instituciones extractivas coloniales se adaptó a las nuevas formas del Estado independiente, pero en muchos casos conservó su lógica extractiva.</w:t>
      </w:r>
    </w:p>
    <w:p>
      <w:pPr>
        <w:pStyle w:val="Heading2"/>
        <w:spacing w:before="320" w:after="160"/>
      </w:pPr>
      <w:r>
        <w:rPr>
          <w:rFonts w:ascii="Times New Roman" w:cs="Times New Roman" w:eastAsia="Times New Roman" w:hAnsi="Times New Roman"/>
          <w:b/>
          <w:bCs/>
          <w:color w:val="2E5597"/>
          <w:sz w:val="24"/>
          <w:szCs w:val="24"/>
        </w:rPr>
        <w:t xml:space="preserve">2.1.3 Los años setenta: el endeudamiento masivo y sus condiciones</w:t>
      </w:r>
    </w:p>
    <w:p>
      <w:pPr>
        <w:spacing w:before="0" w:after="200" w:line="360" w:lineRule="auto"/>
        <w:ind w:firstLine="720"/>
        <w:jc w:val="both"/>
      </w:pPr>
      <w:r>
        <w:rPr>
          <w:rFonts w:ascii="Times New Roman" w:cs="Times New Roman" w:eastAsia="Times New Roman" w:hAnsi="Times New Roman"/>
          <w:sz w:val="24"/>
          <w:szCs w:val="24"/>
        </w:rPr>
        <w:t xml:space="preserve">La acumulación de deuda que eventualmente produciría la crisis de los ochenta comenzó en la década anterior, en condiciones que parecían favorables pero que contenían las semillas de la crisis futura.</w:t>
      </w:r>
    </w:p>
    <w:p>
      <w:pPr>
        <w:spacing w:before="0" w:after="200" w:line="360" w:lineRule="auto"/>
        <w:ind w:firstLine="720"/>
        <w:jc w:val="both"/>
      </w:pPr>
      <w:r>
        <w:rPr>
          <w:rFonts w:ascii="Times New Roman" w:cs="Times New Roman" w:eastAsia="Times New Roman" w:hAnsi="Times New Roman"/>
          <w:sz w:val="24"/>
          <w:szCs w:val="24"/>
        </w:rPr>
        <w:t xml:space="preserve">El primer factor fue la </w:t>
      </w:r>
      <w:r>
        <w:rPr>
          <w:rFonts w:ascii="Times New Roman" w:cs="Times New Roman" w:eastAsia="Times New Roman" w:hAnsi="Times New Roman"/>
          <w:i/>
          <w:iCs/>
          <w:sz w:val="24"/>
          <w:szCs w:val="24"/>
        </w:rPr>
        <w:t xml:space="preserve">bonanza de los petrodólares</w:t>
      </w:r>
      <w:r>
        <w:rPr>
          <w:rFonts w:ascii="Times New Roman" w:cs="Times New Roman" w:eastAsia="Times New Roman" w:hAnsi="Times New Roman"/>
          <w:sz w:val="24"/>
          <w:szCs w:val="24"/>
        </w:rPr>
        <w:t xml:space="preserve">. Tras el shock petrolero de 1973, los países productores de petróleo acumularon enormes excedentes de divisas que depositaron en los grandes bancos comerciales occidentales. Estos bancos, con grandes reservas de liquidez y tasas de interés reales bajas —el dólar estaba bajo presión inflacionaria—, necesitaban encontrar prestatarios. Los gobiernos de países en desarrollo, que veían la oportunidad de financiar sus programas de inversión, se convirtieron en los prestatarios ideales. Entre 1973 y 1981, la deuda externa de los países de bajos ingresos se multiplicó por un factor de cuatro (Reinhart &amp; Rogoff, 2009, p. 72).</w:t>
      </w:r>
    </w:p>
    <w:p>
      <w:pPr>
        <w:spacing w:before="0" w:after="200" w:line="360" w:lineRule="auto"/>
        <w:ind w:firstLine="720"/>
        <w:jc w:val="both"/>
      </w:pPr>
      <w:r>
        <w:rPr>
          <w:rFonts w:ascii="Times New Roman" w:cs="Times New Roman" w:eastAsia="Times New Roman" w:hAnsi="Times New Roman"/>
          <w:sz w:val="24"/>
          <w:szCs w:val="24"/>
        </w:rPr>
        <w:t xml:space="preserve">El segundo factor fue la </w:t>
      </w:r>
      <w:r>
        <w:rPr>
          <w:rFonts w:ascii="Times New Roman" w:cs="Times New Roman" w:eastAsia="Times New Roman" w:hAnsi="Times New Roman"/>
          <w:i/>
          <w:iCs/>
          <w:sz w:val="24"/>
          <w:szCs w:val="24"/>
        </w:rPr>
        <w:t xml:space="preserve">fe en el crecimiento como solucionador de deuda</w:t>
      </w:r>
      <w:r>
        <w:rPr>
          <w:rFonts w:ascii="Times New Roman" w:cs="Times New Roman" w:eastAsia="Times New Roman" w:hAnsi="Times New Roman"/>
          <w:sz w:val="24"/>
          <w:szCs w:val="24"/>
        </w:rPr>
        <w:t xml:space="preserve">. La teoría económica dominante en los años setenta —tanto en los organismos multilaterales como entre los gobiernos deudores— sostenía que el endeudamiento externo era justificable si el dinero se invertía en proyectos con retornos suficientemente altos para cubrir el servicio de la deuda. El problema es que muchos de esos proyectos —carreteras, centrales eléctricas, plantas industriales— tenían retornos sociales elevados pero retornos fiscales bajos, lo que significaba que no generaban directamente los ingresos tributarios necesarios para pagar la deuda. La brecha entre retorno social y retorno fiscal es el primer mecanismo que explica por qué las inversiones financiadas con deuda no resolvieron el problema fiscal.</w:t>
      </w:r>
    </w:p>
    <w:p>
      <w:pPr>
        <w:spacing w:before="0" w:after="200" w:line="360" w:lineRule="auto"/>
        <w:ind w:firstLine="720"/>
        <w:jc w:val="both"/>
      </w:pPr>
      <w:r>
        <w:rPr>
          <w:rFonts w:ascii="Times New Roman" w:cs="Times New Roman" w:eastAsia="Times New Roman" w:hAnsi="Times New Roman"/>
          <w:sz w:val="24"/>
          <w:szCs w:val="24"/>
        </w:rPr>
        <w:t xml:space="preserve">El tercer factor, quizá el más subestimado, fue la </w:t>
      </w:r>
      <w:r>
        <w:rPr>
          <w:rFonts w:ascii="Times New Roman" w:cs="Times New Roman" w:eastAsia="Times New Roman" w:hAnsi="Times New Roman"/>
          <w:i/>
          <w:iCs/>
          <w:sz w:val="24"/>
          <w:szCs w:val="24"/>
        </w:rPr>
        <w:t xml:space="preserve">voluntad política de los acreedores para prestar</w:t>
      </w:r>
      <w:r>
        <w:rPr>
          <w:rFonts w:ascii="Times New Roman" w:cs="Times New Roman" w:eastAsia="Times New Roman" w:hAnsi="Times New Roman"/>
          <w:sz w:val="24"/>
          <w:szCs w:val="24"/>
        </w:rPr>
        <w:t xml:space="preserve">. Los bancos comerciales occidentales estaban bajo presión regulatoria y competitiva para hacer crecer sus carteras. Los organismos multilaterales —el Banco Mundial especialmente— estaban en una fase de expansión programática que se medía en volumen de préstamos aprobados. Y los gobiernos de los países acreedores veían los préstamos a los países en desarrollo como un instrumento de política exterior durante la Guerra Fría: mantener a los países receptores dentro del bloque occidental o, al menos, alejados del bloque soviético. Esta confluencia de incentivos creó una oferta de crédito que superaba la capacidad de absorción de los países deudores.</w:t>
      </w:r>
    </w:p>
    <w:p>
      <w:pPr>
        <w:pStyle w:val="Heading2"/>
        <w:spacing w:before="320" w:after="160"/>
      </w:pPr>
      <w:r>
        <w:rPr>
          <w:rFonts w:ascii="Times New Roman" w:cs="Times New Roman" w:eastAsia="Times New Roman" w:hAnsi="Times New Roman"/>
          <w:b/>
          <w:bCs/>
          <w:color w:val="2E5597"/>
          <w:sz w:val="24"/>
          <w:szCs w:val="24"/>
        </w:rPr>
        <w:t xml:space="preserve">2.1.4 La crisis de la deuda de 1982: la «década perdida»</w:t>
      </w:r>
    </w:p>
    <w:p>
      <w:pPr>
        <w:spacing w:before="0" w:after="200" w:line="360" w:lineRule="auto"/>
        <w:ind w:firstLine="720"/>
        <w:jc w:val="both"/>
      </w:pPr>
      <w:r>
        <w:rPr>
          <w:rFonts w:ascii="Times New Roman" w:cs="Times New Roman" w:eastAsia="Times New Roman" w:hAnsi="Times New Roman"/>
          <w:sz w:val="24"/>
          <w:szCs w:val="24"/>
        </w:rPr>
        <w:t xml:space="preserve">El 12 de agosto de 1982, el Secretario de Hacienda de México, Jesús Silva Herzog, llamó a los directores del FMI, el Banco Mundial y la Reserva Federal para informarles que México no podría pagar el vencimiento de su deuda externa del lunes siguiente. Con esa llamada comenzó lo que la historia económica conoce como la crisis de la deuda del Tercer Mundo —un proceso que, en el caso de los países más pobres, se prolongó no cinco sino quince años, hasta el lanzamiento de la Iniciativa HIPC.</w:t>
      </w:r>
    </w:p>
    <w:p>
      <w:pPr>
        <w:spacing w:before="0" w:after="200" w:line="360" w:lineRule="auto"/>
        <w:ind w:firstLine="720"/>
        <w:jc w:val="both"/>
      </w:pPr>
      <w:r>
        <w:rPr>
          <w:rFonts w:ascii="Times New Roman" w:cs="Times New Roman" w:eastAsia="Times New Roman" w:hAnsi="Times New Roman"/>
          <w:sz w:val="24"/>
          <w:szCs w:val="24"/>
        </w:rPr>
        <w:t xml:space="preserve">Tres shocks simultáneos detonaron la crisis, y su concurrencia hace comprensible su severidad. El primero fue la política monetaria de la Reserva Federal: para combatir la inflación norteamericana, Paul Volcker elevó las tasas de interés de los fondos federales del 11% en 1979 al 20% en 1981. Dado que la mayor parte de la deuda de los países en desarrollo estaba denominada en dólares a tasa flotante, el servicio de la deuda se disparó automáticamente, sin que los países hubieran tomado ninguna decisión nueva. El segundo shock fue la caída de los precios de las materias primas: el mismo enfriamiento de la economía mundial que la Reserva Federal provocó con sus tasas altas redujo la demanda de commodities, derrumbando los ingresos de exportación precisamente cuando el servicio de la deuda se encarecía. El tercer shock fue la apreciación del dólar: la diferencia de tasas de interés atrajo capitales hacia Estados Unidos, haciendo que el dólar se apreciara frente a las monedas de los países deudores, lo que encareció aún más el servicio expresado en moneda local.</w:t>
      </w:r>
    </w:p>
    <w:p>
      <w:pPr>
        <w:spacing w:before="0" w:after="200" w:line="360" w:lineRule="auto"/>
        <w:ind w:firstLine="720"/>
        <w:jc w:val="both"/>
      </w:pPr>
      <w:r>
        <w:rPr>
          <w:rFonts w:ascii="Times New Roman" w:cs="Times New Roman" w:eastAsia="Times New Roman" w:hAnsi="Times New Roman"/>
          <w:sz w:val="24"/>
          <w:szCs w:val="24"/>
        </w:rPr>
        <w:t xml:space="preserve">Para los países de bajos ingresos de África subsahariana y América Latina y el Caribe, la crisis de 1982 marcó el inicio de lo que el PNUD bautizó como la </w:t>
      </w:r>
      <w:r>
        <w:rPr>
          <w:rFonts w:ascii="Times New Roman" w:cs="Times New Roman" w:eastAsia="Times New Roman" w:hAnsi="Times New Roman"/>
          <w:i/>
          <w:iCs/>
          <w:sz w:val="24"/>
          <w:szCs w:val="24"/>
        </w:rPr>
        <w:t xml:space="preserve">década perdida</w:t>
      </w:r>
      <w:r>
        <w:rPr>
          <w:rFonts w:ascii="Times New Roman" w:cs="Times New Roman" w:eastAsia="Times New Roman" w:hAnsi="Times New Roman"/>
          <w:sz w:val="24"/>
          <w:szCs w:val="24"/>
        </w:rPr>
        <w:t xml:space="preserve">: diez años —y en muchos casos más— en los que el PIB per cápita no solo se estancó sino que retrocedió, en los que la inversión pública se desplomó para liberar recursos destinados al servicio de la deuda, y en los que los indicadores sociales —educación, salud, nutrición— se deterioraron de manera sistemática. El gasto en educación como porcentaje del PIB cayó en promedio un 25% en los países africanos entre 1980 y 1990; el gasto en salud, un 20%. Estas cifras no son abstracciones estadísticas: se traducen en escuelas sin maestros, hospitales sin medicamentos y niños que no completaron su educación básica. Una generación entera que pagó el costo de una deuda que otros habían contraído.</w:t>
      </w:r>
    </w:p>
    <w:p>
      <w:pPr>
        <w:pStyle w:val="Heading2"/>
        <w:spacing w:before="320" w:after="160"/>
      </w:pPr>
      <w:r>
        <w:rPr>
          <w:rFonts w:ascii="Times New Roman" w:cs="Times New Roman" w:eastAsia="Times New Roman" w:hAnsi="Times New Roman"/>
          <w:b/>
          <w:bCs/>
          <w:color w:val="2E5597"/>
          <w:sz w:val="24"/>
          <w:szCs w:val="24"/>
        </w:rPr>
        <w:t xml:space="preserve">2.1.5 El Consenso de Washington y las condicionalidades de ajuste</w:t>
      </w:r>
    </w:p>
    <w:p>
      <w:pPr>
        <w:spacing w:before="0" w:after="200" w:line="360" w:lineRule="auto"/>
        <w:ind w:firstLine="720"/>
        <w:jc w:val="both"/>
      </w:pPr>
      <w:r>
        <w:rPr>
          <w:rFonts w:ascii="Times New Roman" w:cs="Times New Roman" w:eastAsia="Times New Roman" w:hAnsi="Times New Roman"/>
          <w:sz w:val="24"/>
          <w:szCs w:val="24"/>
        </w:rPr>
        <w:t xml:space="preserve">La respuesta de la comunidad financiera internacional a la crisis de la deuda fue articulada, con creciente coherencia ideológica, a lo largo de los años ochenta. En 1989, el economista John Williamson sistematizó esa respuesta en un conjunto de diez prescripciones de política económica que denominó </w:t>
      </w:r>
      <w:r>
        <w:rPr>
          <w:rFonts w:ascii="Times New Roman" w:cs="Times New Roman" w:eastAsia="Times New Roman" w:hAnsi="Times New Roman"/>
          <w:i/>
          <w:iCs/>
          <w:sz w:val="24"/>
          <w:szCs w:val="24"/>
        </w:rPr>
        <w:t xml:space="preserve">Consenso de Washington</w:t>
      </w:r>
      <w:r>
        <w:rPr>
          <w:rFonts w:ascii="Times New Roman" w:cs="Times New Roman" w:eastAsia="Times New Roman" w:hAnsi="Times New Roman"/>
          <w:sz w:val="24"/>
          <w:szCs w:val="24"/>
        </w:rPr>
        <w:t xml:space="preserve">: disciplina fiscal, reducción del gasto público, reforma tributaria, liberalización financiera, tipo de cambio competitivo, liberalización comercial, apertura a la inversión extranjera directa, privatización de empresas estatales, desregulación y protección de los derechos de propiedad. Williamson presentó estas medidas no como una ideología sino como el consenso técnico de los organismos multilaterales con sede en Washington —el FMI, el Banco Mundial y el Departamento del Tesoro de EE. UU.—, pero la denominación resultó más precisa de lo que él había pretendido: era, efectivamente, una visión del desarrollo profundamente moldeada por la hegemonía intelectual del liberalismo económico anglosajón de la época.</w:t>
      </w:r>
    </w:p>
    <w:p>
      <w:pPr>
        <w:spacing w:before="0" w:after="200" w:line="360" w:lineRule="auto"/>
        <w:ind w:firstLine="720"/>
        <w:jc w:val="both"/>
      </w:pPr>
      <w:r>
        <w:rPr>
          <w:rFonts w:ascii="Times New Roman" w:cs="Times New Roman" w:eastAsia="Times New Roman" w:hAnsi="Times New Roman"/>
          <w:sz w:val="24"/>
          <w:szCs w:val="24"/>
        </w:rPr>
        <w:t xml:space="preserve">Lo que importa para esta tesis es entender cómo el Consenso de Washington se tradujo en las condicionalidades de los programas de ajuste estructural que el FMI y el Banco Mundial impusieron como requisito para la renegociación de la deuda —y, años más tarde, como condición de acceso a la Iniciativa HIPC. La lógica era lineal: si el problema de la deuda era fiscal, la solución era el ajuste fiscal. Si el problema era la ineficiencia de las economías dirigidas, la solución era la liberalización. Si el Estado era el problema, la solución era reducirlo.</w:t>
      </w:r>
    </w:p>
    <w:p>
      <w:pPr>
        <w:spacing w:before="0" w:after="200" w:line="360" w:lineRule="auto"/>
        <w:ind w:firstLine="720"/>
        <w:jc w:val="both"/>
      </w:pPr>
      <w:r>
        <w:rPr>
          <w:rFonts w:ascii="Times New Roman" w:cs="Times New Roman" w:eastAsia="Times New Roman" w:hAnsi="Times New Roman"/>
          <w:sz w:val="24"/>
          <w:szCs w:val="24"/>
        </w:rPr>
        <w:t xml:space="preserve">Esta lógica tenía un atractivo intelectual innegable como modelo abstracto, y produjo resultados macroeconómicos visibles en algunos países: se redujeron los déficits fiscales, se controló la inflación, se modernizaron los sistemas de tipos de cambio. Pero tuvo tres fallos estructurales que la literatura crítica documentó sistemáticamente (Stiglitz, 2002; Rodrik, 2006; Easterly, 2006).</w:t>
      </w:r>
    </w:p>
    <w:p>
      <w:pPr>
        <w:spacing w:before="0" w:after="200" w:line="360" w:lineRule="auto"/>
        <w:ind w:firstLine="720"/>
        <w:jc w:val="both"/>
      </w:pPr>
      <w:r>
        <w:rPr>
          <w:rFonts w:ascii="Times New Roman" w:cs="Times New Roman" w:eastAsia="Times New Roman" w:hAnsi="Times New Roman"/>
          <w:b/>
          <w:bCs/>
          <w:sz w:val="24"/>
          <w:szCs w:val="24"/>
        </w:rPr>
        <w:t xml:space="preserve">El primer fallo fue la secuencia incorrecta. </w:t>
      </w:r>
      <w:r>
        <w:rPr>
          <w:rFonts w:ascii="Times New Roman" w:cs="Times New Roman" w:eastAsia="Times New Roman" w:hAnsi="Times New Roman"/>
          <w:sz w:val="24"/>
          <w:szCs w:val="24"/>
        </w:rPr>
        <w:t xml:space="preserve">Las reformas del Consenso de Washington asumían que los mercados podían funcionar eficientemente una vez liberados de las distorsiones del Estado. Pero en contextos de instituciones débiles —sin derechos de propiedad bien definidos, sin sistema judicial independiente, sin capacidad regulatoria— la liberalización rápida no produce mercados competitivos: produce mercados capturados por élites con acceso privilegiado a la información y a los recursos del Estado. Las privatizaciones de los años noventa en muchos países africanos y latinoamericanos son la ilustración más documentada de este fallo: en lugar de crear competencia, transfirieron monopolios públicos a monopolios privados.</w:t>
      </w:r>
    </w:p>
    <w:p>
      <w:pPr>
        <w:spacing w:before="0" w:after="200" w:line="360" w:lineRule="auto"/>
        <w:ind w:firstLine="720"/>
        <w:jc w:val="both"/>
      </w:pPr>
      <w:r>
        <w:rPr>
          <w:rFonts w:ascii="Times New Roman" w:cs="Times New Roman" w:eastAsia="Times New Roman" w:hAnsi="Times New Roman"/>
          <w:b/>
          <w:bCs/>
          <w:sz w:val="24"/>
          <w:szCs w:val="24"/>
        </w:rPr>
        <w:t xml:space="preserve">El segundo fallo fue la homogeneidad de las recetas. </w:t>
      </w:r>
      <w:r>
        <w:rPr>
          <w:rFonts w:ascii="Times New Roman" w:cs="Times New Roman" w:eastAsia="Times New Roman" w:hAnsi="Times New Roman"/>
          <w:sz w:val="24"/>
          <w:szCs w:val="24"/>
        </w:rPr>
        <w:t xml:space="preserve">El Consenso de Washington aplicaba las mismas prescripciones a contextos radicalmente diferentes. Una economía africana dependiente de la exportación de cacao, con un Estado postcolonial en construcción y sin instituciones fiscales funcionales, no tiene las mismas necesidades de política económica que una economía latinoamericana de renta media con industria manufacturera y clase media emergente. La imposición de recetas homogéneas a contextos heterogéneos produjo resultados heterogéneos —en el sentido de que las reformas funcionaron donde las condiciones ya eran favorables, y fracasaron donde no lo eran.</w:t>
      </w:r>
    </w:p>
    <w:p>
      <w:pPr>
        <w:spacing w:before="0" w:after="200" w:line="360" w:lineRule="auto"/>
        <w:ind w:firstLine="720"/>
        <w:jc w:val="both"/>
      </w:pPr>
      <w:r>
        <w:rPr>
          <w:rFonts w:ascii="Times New Roman" w:cs="Times New Roman" w:eastAsia="Times New Roman" w:hAnsi="Times New Roman"/>
          <w:b/>
          <w:bCs/>
          <w:sz w:val="24"/>
          <w:szCs w:val="24"/>
        </w:rPr>
        <w:t xml:space="preserve">El tercer fallo fue ignorar el costo social del ajuste. </w:t>
      </w:r>
      <w:r>
        <w:rPr>
          <w:rFonts w:ascii="Times New Roman" w:cs="Times New Roman" w:eastAsia="Times New Roman" w:hAnsi="Times New Roman"/>
          <w:sz w:val="24"/>
          <w:szCs w:val="24"/>
        </w:rPr>
        <w:t xml:space="preserve">La reducción del gasto público, bajo el paradigma del Consenso de Washington, significaba con frecuencia reducción del gasto social. Los subsidios a los alimentos básicos se eliminaron. Los salarios del sector público —incluidos maestros y enfermeros— se congelaron o redujeron en términos reales. Las inversiones en infraestructura básica se postergaron. El razonamiento era que el ajuste era doloroso a corto plazo pero necesario para la estabilidad a largo plazo. Lo que la evidencia empírica mostró es que en muchos casos el largo plazo nunca llegó, y que el costo a corto plazo fue una generación de deterioro del capital humano.</w:t>
      </w:r>
    </w:p>
    <w:p>
      <w:pPr>
        <w:spacing w:before="0" w:after="200" w:line="360" w:lineRule="auto"/>
        <w:ind w:firstLine="720"/>
        <w:jc w:val="both"/>
      </w:pPr>
      <w:r>
        <w:rPr>
          <w:rFonts w:ascii="Times New Roman" w:cs="Times New Roman" w:eastAsia="Times New Roman" w:hAnsi="Times New Roman"/>
          <w:sz w:val="24"/>
          <w:szCs w:val="24"/>
        </w:rPr>
        <w:t xml:space="preserve">Este tercer fallo es el que más directamente informa el diseño de la HIPC. El reconocimiento de que el ajuste había producido deterioro social llevó al FMI y al Banco Mundial a introducir, en la versión Enhanced de 1999, el requisito de elaborar un PRSP que vinculara el alivio de deuda a compromisos de gasto social protegido. Era, en cierto sentido, un reconocimiento tácito de los límites del Consenso de Washington. Pero —y aquí está la tensión que esta tesis documenta— las condicionalidades macroeconómicas de los programas PRGF seguían siendo en gran medida las del Consenso de Washington, ahora con un componente social añadido. El dilema no era nuevo: cómo asegurar la sostenibilidad fiscal sin sacrificar la inversión social.</w:t>
      </w:r>
    </w:p>
    <w:p>
      <w:pPr>
        <w:pStyle w:val="Heading2"/>
        <w:spacing w:before="320" w:after="160"/>
      </w:pPr>
      <w:r>
        <w:rPr>
          <w:rFonts w:ascii="Times New Roman" w:cs="Times New Roman" w:eastAsia="Times New Roman" w:hAnsi="Times New Roman"/>
          <w:b/>
          <w:bCs/>
          <w:color w:val="2E5597"/>
          <w:sz w:val="24"/>
          <w:szCs w:val="24"/>
        </w:rPr>
        <w:t xml:space="preserve">2.1.6 Las respuestas internacionales: del Plan Baker a la HIPC (1982–1996)</w:t>
      </w:r>
    </w:p>
    <w:p>
      <w:pPr>
        <w:spacing w:before="0" w:after="200" w:line="360" w:lineRule="auto"/>
        <w:ind w:firstLine="720"/>
        <w:jc w:val="both"/>
      </w:pPr>
      <w:r>
        <w:rPr>
          <w:rFonts w:ascii="Times New Roman" w:cs="Times New Roman" w:eastAsia="Times New Roman" w:hAnsi="Times New Roman"/>
          <w:sz w:val="24"/>
          <w:szCs w:val="24"/>
        </w:rPr>
        <w:t xml:space="preserve">Entre el anuncio mexicano de 1982 y el lanzamiento de la HIPC en 1996, la comunidad internacional ensayó tres respuestas sucesivas al problema de la deuda de los países en desarrollo. Cada una representó un aprendizaje parcial sobre los límites de la anterior, pero ninguna logró resolver el problema para los países más pobres.</w:t>
      </w:r>
    </w:p>
    <w:p>
      <w:pPr>
        <w:spacing w:before="0" w:after="200" w:line="360" w:lineRule="auto"/>
        <w:ind w:firstLine="720"/>
        <w:jc w:val="both"/>
      </w:pPr>
      <w:r>
        <w:rPr>
          <w:rFonts w:ascii="Times New Roman" w:cs="Times New Roman" w:eastAsia="Times New Roman" w:hAnsi="Times New Roman"/>
          <w:b/>
          <w:bCs/>
          <w:sz w:val="24"/>
          <w:szCs w:val="24"/>
        </w:rPr>
        <w:t xml:space="preserve">El Plan Baker (1985–1989): </w:t>
      </w:r>
      <w:r>
        <w:rPr>
          <w:rFonts w:ascii="Times New Roman" w:cs="Times New Roman" w:eastAsia="Times New Roman" w:hAnsi="Times New Roman"/>
          <w:sz w:val="24"/>
          <w:szCs w:val="24"/>
        </w:rPr>
        <w:t xml:space="preserve">James Baker, Secretario del Tesoro de Estados Unidos, propuso en 1985 que los grandes bancos comerciales y los organismos multilaterales incrementaran sus préstamos a los países deudores, condicionados a la adopción de reformas estructurales. La lógica era que el crecimiento generado por las reformas permitiría eventualmente servir la deuda sin necesidad de reestructurarla. El plan fracasó por dos razones. Primero, los bancos comerciales —que ya cargaban con grandes pérdidas en sus carteras latinoamericanas— no tenían ningún incentivo real para prestar más. Segundo, el crecimiento prometido por las reformas no se materializó en los plazos necesarios para cubrir el servicio creciente de la deuda.</w:t>
      </w:r>
    </w:p>
    <w:p>
      <w:pPr>
        <w:spacing w:before="0" w:after="200" w:line="360" w:lineRule="auto"/>
        <w:ind w:firstLine="720"/>
        <w:jc w:val="both"/>
      </w:pPr>
      <w:r>
        <w:rPr>
          <w:rFonts w:ascii="Times New Roman" w:cs="Times New Roman" w:eastAsia="Times New Roman" w:hAnsi="Times New Roman"/>
          <w:b/>
          <w:bCs/>
          <w:sz w:val="24"/>
          <w:szCs w:val="24"/>
        </w:rPr>
        <w:t xml:space="preserve">El Plan Brady (1989–1995): </w:t>
      </w:r>
      <w:r>
        <w:rPr>
          <w:rFonts w:ascii="Times New Roman" w:cs="Times New Roman" w:eastAsia="Times New Roman" w:hAnsi="Times New Roman"/>
          <w:sz w:val="24"/>
          <w:szCs w:val="24"/>
        </w:rPr>
        <w:t xml:space="preserve">Nicholas Brady, sucesor de Baker en el Tesoro, propuso en 1989 un cambio de paradigma: en lugar de seguir refinanciando la deuda existente, había que reducir su valor nominal. Los países deudores podrían intercambiar su deuda bancaria por bonos garantizados con colateral del Tesoro de EE. UU. —los llamados </w:t>
      </w:r>
      <w:r>
        <w:rPr>
          <w:rFonts w:ascii="Times New Roman" w:cs="Times New Roman" w:eastAsia="Times New Roman" w:hAnsi="Times New Roman"/>
          <w:i/>
          <w:iCs/>
          <w:sz w:val="24"/>
          <w:szCs w:val="24"/>
        </w:rPr>
        <w:t xml:space="preserve">Brady Bonds</w:t>
      </w:r>
      <w:r>
        <w:rPr>
          <w:rFonts w:ascii="Times New Roman" w:cs="Times New Roman" w:eastAsia="Times New Roman" w:hAnsi="Times New Roman"/>
          <w:sz w:val="24"/>
          <w:szCs w:val="24"/>
        </w:rPr>
        <w:t xml:space="preserve">—, a cambio de una quita del 30–50% del valor nominal. El plan funcionó para los países de renta media —México, Argentina, Brasil, Venezuela— que tenían acceso a los mercados de capitales y podían emitir los nuevos bonos. Pero dejó fuera exactamente a los países más pobres: aquellos cuya deuda no era con bancos comerciales sino con organismos multilaterales y gobiernos bilaterales, y que no tenían capacidad de emitir instrumentos de mercado.</w:t>
      </w:r>
    </w:p>
    <w:p>
      <w:pPr>
        <w:spacing w:before="0" w:after="200" w:line="360" w:lineRule="auto"/>
        <w:ind w:firstLine="720"/>
        <w:jc w:val="both"/>
      </w:pPr>
      <w:r>
        <w:rPr>
          <w:rFonts w:ascii="Times New Roman" w:cs="Times New Roman" w:eastAsia="Times New Roman" w:hAnsi="Times New Roman"/>
          <w:b/>
          <w:bCs/>
          <w:sz w:val="24"/>
          <w:szCs w:val="24"/>
        </w:rPr>
        <w:t xml:space="preserve">El reconocimiento del problema de los HIPC (1993–1996): </w:t>
      </w:r>
      <w:r>
        <w:rPr>
          <w:rFonts w:ascii="Times New Roman" w:cs="Times New Roman" w:eastAsia="Times New Roman" w:hAnsi="Times New Roman"/>
          <w:sz w:val="24"/>
          <w:szCs w:val="24"/>
        </w:rPr>
        <w:t xml:space="preserve">A principios de los noventa, el Banco Mundial publicó varios análisis que documentaban un fenómeno perturbador: un grupo de países —principalmente africanos— habían acumulado una deuda tan elevada respecto a sus exportaciones y su PIB que ningún nivel de ajuste o crecimiento realista podría volverla sostenible. No era un problema de liquidez —incapacidad temporal de pagar— sino de insolvencia: la deuda superaba el valor presente neto de todos los ingresos futuros que el país podía razonablemente esperar. Para esos países, la única solución era una condonación sustancial del principal, algo que los mecanismos existentes —Club de París, Club de Londres— no estaban diseñados para proporcionar.</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1973–1981</w:t>
            </w:r>
          </w:p>
        </w:tc>
        <w:tc>
          <w:tcPr>
            <w:tcW w:type="dxa" w:w="8160"/>
            <w:tcBorders>
              <w:top w:val="single" w:color="BBBBBB" w:sz="3"/>
              <w:left w:val="single" w:color="BBBBBB" w:sz="3"/>
              <w:bottom w:val="single" w:color="BBBBBB" w:sz="3"/>
              <w:right w:val="single" w:color="BBBBBB" w:sz="3"/>
            </w:tcBorders>
            <w:shd w:fill="FAFBFF"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Bonanza de petrodólares: los excedentes de los países productores de petróleo se reciclan como préstamos a países en desarrollo a tasas bajas. La deuda externa de los países pobres se cuadriplica.</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1982</w:t>
            </w:r>
          </w:p>
        </w:tc>
        <w:tc>
          <w:tcPr>
            <w:tcW w:type="dxa" w:w="8160"/>
            <w:tcBorders>
              <w:top w:val="single" w:color="BBBBBB" w:sz="3"/>
              <w:left w:val="single" w:color="BBBBBB" w:sz="3"/>
              <w:bottom w:val="single" w:color="BBBBBB" w:sz="3"/>
              <w:right w:val="single" w:color="BBBBBB" w:sz="3"/>
            </w:tcBorders>
            <w:shd w:fill="EEF3FB"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Crisis de la deuda: México anuncia que no puede pagar. La crisis se extiende a más de 40 países. Inicio de la «década perdida» para América Latina y África subsahariana.</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1985–1989</w:t>
            </w:r>
          </w:p>
        </w:tc>
        <w:tc>
          <w:tcPr>
            <w:tcW w:type="dxa" w:w="8160"/>
            <w:tcBorders>
              <w:top w:val="single" w:color="BBBBBB" w:sz="3"/>
              <w:left w:val="single" w:color="BBBBBB" w:sz="3"/>
              <w:bottom w:val="single" w:color="BBBBBB" w:sz="3"/>
              <w:right w:val="single" w:color="BBBBBB" w:sz="3"/>
            </w:tcBorders>
            <w:shd w:fill="E8EFF8"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Plan Baker: ajuste estructural condicionado a nuevos préstamos. Los bancos comerciales no responden. El ajuste produce reducción del gasto social sin resolver la deuda.</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1989–1995</w:t>
            </w:r>
          </w:p>
        </w:tc>
        <w:tc>
          <w:tcPr>
            <w:tcW w:type="dxa" w:w="8160"/>
            <w:tcBorders>
              <w:top w:val="single" w:color="BBBBBB" w:sz="3"/>
              <w:left w:val="single" w:color="BBBBBB" w:sz="3"/>
              <w:bottom w:val="single" w:color="BBBBBB" w:sz="3"/>
              <w:right w:val="single" w:color="BBBBBB" w:sz="3"/>
            </w:tcBorders>
            <w:shd w:fill="E0EAF5"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Plan Brady: quita del 30–50% para países de renta media. Excluye a los más pobres. Sus deudas con multilaterales y bilaterales no tienen solución en el marco Brady.</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1989–1999</w:t>
            </w:r>
          </w:p>
        </w:tc>
        <w:tc>
          <w:tcPr>
            <w:tcW w:type="dxa" w:w="8160"/>
            <w:tcBorders>
              <w:top w:val="single" w:color="BBBBBB" w:sz="3"/>
              <w:left w:val="single" w:color="BBBBBB" w:sz="3"/>
              <w:bottom w:val="single" w:color="BBBBBB" w:sz="3"/>
              <w:right w:val="single" w:color="BBBBBB" w:sz="3"/>
            </w:tcBorders>
            <w:shd w:fill="EEF3FB"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Consenso de Washington: el FMI y el BM condicionan los programas a liberalización, privatización y disciplina fiscal. Resultados macroeconómicos mixtos; costo social elevado.</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1996</w:t>
            </w:r>
          </w:p>
        </w:tc>
        <w:tc>
          <w:tcPr>
            <w:tcW w:type="dxa" w:w="8160"/>
            <w:tcBorders>
              <w:top w:val="single" w:color="BBBBBB" w:sz="3"/>
              <w:left w:val="single" w:color="BBBBBB" w:sz="3"/>
              <w:bottom w:val="single" w:color="BBBBBB" w:sz="3"/>
              <w:right w:val="single" w:color="BBBBBB" w:sz="3"/>
            </w:tcBorders>
            <w:shd w:fill="E4EDF8"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Lanzamiento HIPC I (Lyon, G7): primera iniciativa diseñada específicamente para los países más pobres. Umbral deuda/exportaciones 200–250%. Condicionalidad: 3+3 años de ajuste probado.</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1999</w:t>
            </w:r>
          </w:p>
        </w:tc>
        <w:tc>
          <w:tcPr>
            <w:tcW w:type="dxa" w:w="8160"/>
            <w:tcBorders>
              <w:top w:val="single" w:color="BBBBBB" w:sz="3"/>
              <w:left w:val="single" w:color="BBBBBB" w:sz="3"/>
              <w:bottom w:val="single" w:color="BBBBBB" w:sz="3"/>
              <w:right w:val="single" w:color="BBBBBB" w:sz="3"/>
            </w:tcBorders>
            <w:shd w:fill="DCE7F5"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HIPC Enhanced: umbrales reducidos (150%). Incorporación del PRSP como requisito. Énfasis explícito en reducción de pobreza como objetivo del alivio.</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2006</w:t>
            </w:r>
          </w:p>
        </w:tc>
        <w:tc>
          <w:tcPr>
            <w:tcW w:type="dxa" w:w="8160"/>
            <w:tcBorders>
              <w:top w:val="single" w:color="BBBBBB" w:sz="3"/>
              <w:left w:val="single" w:color="BBBBBB" w:sz="3"/>
              <w:bottom w:val="single" w:color="BBBBBB" w:sz="3"/>
              <w:right w:val="single" w:color="BBBBBB" w:sz="3"/>
            </w:tcBorders>
            <w:shd w:fill="D3E0F0"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MDRI: condonación del 100% de la deuda con FMI, BM y FAFD. Refuerzo del alivio para los países que completaron la HIPC.</w:t>
            </w:r>
          </w:p>
        </w:tc>
      </w:tr>
      <w:tr>
        <w:tc>
          <w:tcPr>
            <w:tcW w:type="dxa" w:w="1200"/>
            <w:tcBorders>
              <w:top w:val="single" w:color="BBBBBB" w:sz="3"/>
              <w:left w:val="single" w:color="BBBBBB" w:sz="3"/>
              <w:bottom w:val="single" w:color="BBBBBB" w:sz="3"/>
              <w:right w:val="single" w:color="BBBBBB" w:sz="3"/>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2015</w:t>
            </w:r>
          </w:p>
        </w:tc>
        <w:tc>
          <w:tcPr>
            <w:tcW w:type="dxa" w:w="8160"/>
            <w:tcBorders>
              <w:top w:val="single" w:color="BBBBBB" w:sz="3"/>
              <w:left w:val="single" w:color="BBBBBB" w:sz="3"/>
              <w:bottom w:val="single" w:color="BBBBBB" w:sz="3"/>
              <w:right w:val="single" w:color="BBBBBB" w:sz="3"/>
            </w:tcBorders>
            <w:shd w:fill="F0E8E8" w:val="clear"/>
            <w:tcMar>
              <w:top w:type="dxa" w:w="80"/>
              <w:left w:type="dxa" w:w="160"/>
              <w:bottom w:type="dxa" w:w="80"/>
              <w:right w:type="dxa" w:w="160"/>
            </w:tcMar>
          </w:tcPr>
          <w:p>
            <w:pPr>
              <w:jc w:val="both"/>
            </w:pPr>
            <w:r>
              <w:rPr>
                <w:rFonts w:ascii="Times New Roman" w:cs="Times New Roman" w:eastAsia="Times New Roman" w:hAnsi="Times New Roman"/>
                <w:color w:val="222222"/>
                <w:sz w:val="20"/>
                <w:szCs w:val="20"/>
              </w:rPr>
              <w:t xml:space="preserve">41 países han completado la HIPC. Alivio total: ~76.000 MUSD en VAN. 37 de 39 vuelven a riesgo alto de sobreendeudamiento en 2022.</w:t>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La tabla anterior sintetiza la cronología, pero la narración de los hechos revela algo que las fechas no transmiten: la angustiante lentitud con la que la comunidad internacional reconoció la magnitud del problema. Pasaron catorce años entre el anuncio de la crisis mexicana y el lanzamiento de la HIPC. Catorce años durante los cuales millones de personas en los países más pobres del mundo pagaron con sus condiciones de vida un servicio de deuda que sus gobiernos habían contraído, en muchos casos, sin su consentimiento y bajo presiones que escapaban completamente a su control.</w:t>
      </w:r>
    </w:p>
    <w:p>
      <w:pPr>
        <w:pStyle w:val="Heading2"/>
        <w:spacing w:before="320" w:after="160"/>
      </w:pPr>
      <w:r>
        <w:rPr>
          <w:rFonts w:ascii="Times New Roman" w:cs="Times New Roman" w:eastAsia="Times New Roman" w:hAnsi="Times New Roman"/>
          <w:b/>
          <w:bCs/>
          <w:color w:val="2E5597"/>
          <w:sz w:val="24"/>
          <w:szCs w:val="24"/>
        </w:rPr>
        <w:t xml:space="preserve">2.1.7 El diseño de la HIPC y sus decisiones fundacionales</w:t>
      </w:r>
    </w:p>
    <w:p>
      <w:pPr>
        <w:spacing w:before="0" w:after="200" w:line="360" w:lineRule="auto"/>
        <w:ind w:firstLine="720"/>
        <w:jc w:val="both"/>
      </w:pPr>
      <w:r>
        <w:rPr>
          <w:rFonts w:ascii="Times New Roman" w:cs="Times New Roman" w:eastAsia="Times New Roman" w:hAnsi="Times New Roman"/>
          <w:sz w:val="24"/>
          <w:szCs w:val="24"/>
        </w:rPr>
        <w:t xml:space="preserve">La Iniciativa HIPC se lanzó formalmente en septiembre de 1996 con el respaldo del G7 reunido en Lyon. Su arquitectura respondía a cuatro decisiones de diseño que resultarían determinantes tanto para su efectividad como para sus limitaciones —y que explican, en buena medida, los resultados que esta tesis documenta.</w:t>
      </w:r>
    </w:p>
    <w:p>
      <w:pPr>
        <w:spacing w:before="0" w:after="200" w:line="360" w:lineRule="auto"/>
        <w:ind w:firstLine="720"/>
        <w:jc w:val="both"/>
      </w:pPr>
      <w:r>
        <w:rPr>
          <w:rFonts w:ascii="Times New Roman" w:cs="Times New Roman" w:eastAsia="Times New Roman" w:hAnsi="Times New Roman"/>
          <w:b/>
          <w:bCs/>
          <w:sz w:val="24"/>
          <w:szCs w:val="24"/>
        </w:rPr>
        <w:t xml:space="preserve">Primera decisión: la condicionalidad como puerta de acceso. </w:t>
      </w:r>
      <w:r>
        <w:rPr>
          <w:rFonts w:ascii="Times New Roman" w:cs="Times New Roman" w:eastAsia="Times New Roman" w:hAnsi="Times New Roman"/>
          <w:sz w:val="24"/>
          <w:szCs w:val="24"/>
        </w:rPr>
        <w:t xml:space="preserve">El alivio no se concedía automáticamente. Para acceder al </w:t>
      </w:r>
      <w:r>
        <w:rPr>
          <w:rFonts w:ascii="Times New Roman" w:cs="Times New Roman" w:eastAsia="Times New Roman" w:hAnsi="Times New Roman"/>
          <w:i/>
          <w:iCs/>
          <w:sz w:val="24"/>
          <w:szCs w:val="24"/>
        </w:rPr>
        <w:t xml:space="preserve">punto de decisión</w:t>
      </w:r>
      <w:r>
        <w:rPr>
          <w:rFonts w:ascii="Times New Roman" w:cs="Times New Roman" w:eastAsia="Times New Roman" w:hAnsi="Times New Roman"/>
          <w:sz w:val="24"/>
          <w:szCs w:val="24"/>
        </w:rPr>
        <w:t xml:space="preserve"> —el momento en que se compromete el alivio provisional— el país debía demostrar seis años de historial de ajuste macroeconómico bajo programas del FMI y el Banco Mundial, y elaborar un Documento de Estrategia de Reducción de la Pobreza (PRSP). Para alcanzar el </w:t>
      </w:r>
      <w:r>
        <w:rPr>
          <w:rFonts w:ascii="Times New Roman" w:cs="Times New Roman" w:eastAsia="Times New Roman" w:hAnsi="Times New Roman"/>
          <w:i/>
          <w:iCs/>
          <w:sz w:val="24"/>
          <w:szCs w:val="24"/>
        </w:rPr>
        <w:t xml:space="preserve">punto de culminación</w:t>
      </w:r>
      <w:r>
        <w:rPr>
          <w:rFonts w:ascii="Times New Roman" w:cs="Times New Roman" w:eastAsia="Times New Roman" w:hAnsi="Times New Roman"/>
          <w:sz w:val="24"/>
          <w:szCs w:val="24"/>
        </w:rPr>
        <w:t xml:space="preserve"> —cuando se entrega el alivio definitivo— el país debía implementar reformas estructurales adicionales acordadas en el punto de decisión. Este diseño convirtió las condicionalidades en la bisagra del programa: sin cumplirlas, no había alivio. Con cumplirlas, el programa prometía sostenibilidad. Como H3 documenta, la brecha entre lo prometido y lo exigido fue sistemática.</w:t>
      </w:r>
    </w:p>
    <w:p>
      <w:pPr>
        <w:spacing w:before="0" w:after="200" w:line="360" w:lineRule="auto"/>
        <w:ind w:firstLine="720"/>
        <w:jc w:val="both"/>
      </w:pPr>
      <w:r>
        <w:rPr>
          <w:rFonts w:ascii="Times New Roman" w:cs="Times New Roman" w:eastAsia="Times New Roman" w:hAnsi="Times New Roman"/>
          <w:b/>
          <w:bCs/>
          <w:sz w:val="24"/>
          <w:szCs w:val="24"/>
        </w:rPr>
        <w:t xml:space="preserve">Segunda decisión: el monto calculado sobre la capacidad de pago. </w:t>
      </w:r>
      <w:r>
        <w:rPr>
          <w:rFonts w:ascii="Times New Roman" w:cs="Times New Roman" w:eastAsia="Times New Roman" w:hAnsi="Times New Roman"/>
          <w:sz w:val="24"/>
          <w:szCs w:val="24"/>
        </w:rPr>
        <w:t xml:space="preserve">El alivio se dimensionaba para llevar el ratio deuda/exportaciones por debajo del umbral del 150% o el ratio deuda/ingresos fiscales por debajo del 250%. Este criterio puramente financiero —basado en la capacidad de pago— ignoraba las condiciones institucionales que determinaban si esa capacidad podría mantenerse en el tiempo. Un país que reduce su ratio deuda/PIB gracias al alivio, pero cuyas instituciones siguen siendo demasiado débiles para resistir el retorno al endeudamiento excesivo, volverá a superar ese umbral en pocos años.</w:t>
      </w:r>
    </w:p>
    <w:p>
      <w:pPr>
        <w:spacing w:before="0" w:after="200" w:line="360" w:lineRule="auto"/>
        <w:ind w:firstLine="720"/>
        <w:jc w:val="both"/>
      </w:pPr>
      <w:r>
        <w:rPr>
          <w:rFonts w:ascii="Times New Roman" w:cs="Times New Roman" w:eastAsia="Times New Roman" w:hAnsi="Times New Roman"/>
          <w:b/>
          <w:bCs/>
          <w:sz w:val="24"/>
          <w:szCs w:val="24"/>
        </w:rPr>
        <w:t xml:space="preserve">Tercera decisión: la participación comparable de todos los acreedores. </w:t>
      </w:r>
      <w:r>
        <w:rPr>
          <w:rFonts w:ascii="Times New Roman" w:cs="Times New Roman" w:eastAsia="Times New Roman" w:hAnsi="Times New Roman"/>
          <w:sz w:val="24"/>
          <w:szCs w:val="24"/>
        </w:rPr>
        <w:t xml:space="preserve">El alivio se distribuía entre acreedores multilaterales, bilaterales (Club de París) y comerciales en proporción a sus cuotas en la deuda total. Esta regla de </w:t>
      </w:r>
      <w:r>
        <w:rPr>
          <w:rFonts w:ascii="Times New Roman" w:cs="Times New Roman" w:eastAsia="Times New Roman" w:hAnsi="Times New Roman"/>
          <w:i/>
          <w:iCs/>
          <w:sz w:val="24"/>
          <w:szCs w:val="24"/>
        </w:rPr>
        <w:t xml:space="preserve">participación comparable</w:t>
      </w:r>
      <w:r>
        <w:rPr>
          <w:rFonts w:ascii="Times New Roman" w:cs="Times New Roman" w:eastAsia="Times New Roman" w:hAnsi="Times New Roman"/>
          <w:sz w:val="24"/>
          <w:szCs w:val="24"/>
        </w:rPr>
        <w:t xml:space="preserve"> tuvo una consecuencia no prevista: al no incluir a los nuevos acreedores bilaterales emergentes —China especialmente— que comenzaron a prestar masivamente a los países post-HIPC a partir de 2000, dejó fuera del sistema exactamente el vector de reendeudamiento que la paradoja de H7 documenta.</w:t>
      </w:r>
    </w:p>
    <w:p>
      <w:pPr>
        <w:spacing w:before="0" w:after="200" w:line="360" w:lineRule="auto"/>
        <w:ind w:firstLine="720"/>
        <w:jc w:val="both"/>
      </w:pPr>
      <w:r>
        <w:rPr>
          <w:rFonts w:ascii="Times New Roman" w:cs="Times New Roman" w:eastAsia="Times New Roman" w:hAnsi="Times New Roman"/>
          <w:b/>
          <w:bCs/>
          <w:sz w:val="24"/>
          <w:szCs w:val="24"/>
        </w:rPr>
        <w:t xml:space="preserve">Cuarta decisión: el gasto social protegido. </w:t>
      </w:r>
      <w:r>
        <w:rPr>
          <w:rFonts w:ascii="Times New Roman" w:cs="Times New Roman" w:eastAsia="Times New Roman" w:hAnsi="Times New Roman"/>
          <w:sz w:val="24"/>
          <w:szCs w:val="24"/>
        </w:rPr>
        <w:t xml:space="preserve">La versión Enhanced de 1999 introdujo el requisito de que los países beneficiarios comprometieran en sus PRSP una proporción del alivio recibido a gasto social en educación y salud —el llamado gasto social protegido. Esta fue la respuesta institucional al fallo del Consenso de Washington que el movimiento Jubileo 2000 y las ONG de desarrollo habían denunciado: el ajuste había sacrificado el gasto social para servir la deuda. El gasto social protegido era el reconocimiento de que el desarrollo no podía esperar al ajuste.</w:t>
      </w:r>
    </w:p>
    <w:p>
      <w:pPr>
        <w:pStyle w:val="Heading2"/>
        <w:spacing w:before="320" w:after="160"/>
      </w:pPr>
      <w:r>
        <w:rPr>
          <w:rFonts w:ascii="Times New Roman" w:cs="Times New Roman" w:eastAsia="Times New Roman" w:hAnsi="Times New Roman"/>
          <w:b/>
          <w:bCs/>
          <w:color w:val="2E5597"/>
          <w:sz w:val="24"/>
          <w:szCs w:val="24"/>
        </w:rPr>
        <w:t xml:space="preserve">2.1.8 El reendeudamiento post-HIPC (2005–2022): la paradoja de la solvencia restaurada</w:t>
      </w:r>
    </w:p>
    <w:p>
      <w:pPr>
        <w:spacing w:before="0" w:after="200" w:line="360" w:lineRule="auto"/>
        <w:ind w:firstLine="720"/>
        <w:jc w:val="both"/>
      </w:pPr>
      <w:r>
        <w:rPr>
          <w:rFonts w:ascii="Times New Roman" w:cs="Times New Roman" w:eastAsia="Times New Roman" w:hAnsi="Times New Roman"/>
          <w:sz w:val="24"/>
          <w:szCs w:val="24"/>
        </w:rPr>
        <w:t xml:space="preserve">La historia de los países que completaron la Iniciativa HIPC está marcada por una paradoja que es al mismo tiempo el hallazgo empírico más importante de esta tesis y el fenómeno que la literatura existente no había analizado de manera sistemática: la restauración de la solvencia formal habilitó un nuevo ciclo de endeudamiento que, en el horizonte de quince a veinte años, devolvió a muchos de estos países a niveles de riesgo comparables o superiores a los del período pre-HIPC.</w:t>
      </w:r>
    </w:p>
    <w:p>
      <w:pPr>
        <w:spacing w:before="0" w:after="200" w:line="360" w:lineRule="auto"/>
        <w:ind w:firstLine="720"/>
        <w:jc w:val="both"/>
      </w:pPr>
      <w:r>
        <w:rPr>
          <w:rFonts w:ascii="Times New Roman" w:cs="Times New Roman" w:eastAsia="Times New Roman" w:hAnsi="Times New Roman"/>
          <w:sz w:val="24"/>
          <w:szCs w:val="24"/>
        </w:rPr>
        <w:t xml:space="preserve">El mecanismo central de esta paradoja no es difícil de entender en términos intuitivos. Imaginemos un individuo que acumula una deuda tan grande que los bancos dejan de prestarle. Un programa de reducción de deuda le condona la mitad de lo que debe. Los bancos, al ver que su situación financiera ha mejorado, vuelven a ofrecerle crédito. Si las razones por las que el individuo acumuló deuda en primer lugar —un patrón de gasto que supera sus ingresos, una incapacidad estructural de ahorrar— no han cambiado, la nueva línea de crédito simplemente reproduce el ciclo anterior. La única diferencia es que ahora los acreedores son distintos y las condiciones de los préstamos, potencialmente, peores.</w:t>
      </w:r>
    </w:p>
    <w:p>
      <w:pPr>
        <w:spacing w:before="0" w:after="200" w:line="360" w:lineRule="auto"/>
        <w:ind w:firstLine="720"/>
        <w:jc w:val="both"/>
      </w:pPr>
      <w:r>
        <w:rPr>
          <w:rFonts w:ascii="Times New Roman" w:cs="Times New Roman" w:eastAsia="Times New Roman" w:hAnsi="Times New Roman"/>
          <w:sz w:val="24"/>
          <w:szCs w:val="24"/>
        </w:rPr>
        <w:t xml:space="preserve">Para los países post-HIPC, el papel de los nuevos acreedores lo desempeñó fundamentalmente China, a través de los préstamos del Banco Exim de China y el Banco de Desarrollo de China. Estos préstamos tienen varias características que los distinguen de los del sistema de Bretton Woods: no incorporan las condicionalidades de política económica del FMI; sus términos financieros —tasas de interés, garantías, vencimientos— están con frecuencia ligados a la explotación de recursos naturales; y sus contratos contienen cláusulas de confidencialidad que dificultan la supervisión independiente (Gelpern et al., 2021). Para los gobiernos de los países receptores, estos préstamos representaban una alternativa sin las condiciones dolorosas del FMI. Para los países en conjunto, representaban el retorno al ciclo que la HIPC pretendía romper.</w:t>
      </w:r>
    </w:p>
    <w:p>
      <w:pPr>
        <w:spacing w:before="0" w:after="200" w:line="360" w:lineRule="auto"/>
        <w:ind w:firstLine="720"/>
        <w:jc w:val="both"/>
      </w:pPr>
      <w:r>
        <w:rPr>
          <w:rFonts w:ascii="Times New Roman" w:cs="Times New Roman" w:eastAsia="Times New Roman" w:hAnsi="Times New Roman"/>
          <w:sz w:val="24"/>
          <w:szCs w:val="24"/>
        </w:rPr>
        <w:t xml:space="preserve">El segundo actor del reendeudamiento fueron los mercados internacionales de bonos. A partir de 2013, una docena de países africanos post-HIPC emitieron eurobonos por primera vez en su historia, aprovechando el ambiente de bajas tasas de interés globales y la percepción de que África era el </w:t>
      </w:r>
      <w:r>
        <w:rPr>
          <w:rFonts w:ascii="Times New Roman" w:cs="Times New Roman" w:eastAsia="Times New Roman" w:hAnsi="Times New Roman"/>
          <w:i/>
          <w:iCs/>
          <w:sz w:val="24"/>
          <w:szCs w:val="24"/>
        </w:rPr>
        <w:t xml:space="preserve">siguiente mercado emergente</w:t>
      </w:r>
      <w:r>
        <w:rPr>
          <w:rFonts w:ascii="Times New Roman" w:cs="Times New Roman" w:eastAsia="Times New Roman" w:hAnsi="Times New Roman"/>
          <w:sz w:val="24"/>
          <w:szCs w:val="24"/>
        </w:rPr>
        <w:t xml:space="preserve"> de alto crecimiento. Ghana emitió un eurobono de 1.000 millones de dólares en 2013; Zambia, por 750 millones, en el mismo año; Costa de Marfil y Senegal, en 2014. Estos bonos vencen mayoritariamente entre 2021 y 2028, coincidiendo con el período de crisis fiscal post-COVID. Ghana incumplió sus pagos en diciembre de 2022. Zambia lo había hecho dos años antes.</w:t>
      </w:r>
    </w:p>
    <w:p>
      <w:pPr>
        <w:spacing w:before="0" w:after="200" w:line="360" w:lineRule="auto"/>
        <w:ind w:firstLine="720"/>
        <w:jc w:val="both"/>
      </w:pPr>
      <w:r>
        <w:rPr>
          <w:rFonts w:ascii="Times New Roman" w:cs="Times New Roman" w:eastAsia="Times New Roman" w:hAnsi="Times New Roman"/>
          <w:sz w:val="24"/>
          <w:szCs w:val="24"/>
        </w:rPr>
        <w:t xml:space="preserve">El tercer vector fue la debilidad del sistema de supervisión del FMI. El Marco de Sostenibilidad de la Deuda (DSF), que evalúa el riesgo de sobreendeudamiento de los países de bajos ingresos, no capturaba adecuadamente la deuda con acreedores no tradicionales hasta su reforma de 2018. Ghana, como se mencionó en el Capítulo 1, mantuvo una clasificación de riesgo moderado hasta 2021, cuando su situación fiscal era ya claramente insostenible. Esta brecha entre la evaluación oficial y la realidad fiscal contribuyó a prolongar el acceso de estos países a los mercados de capitales más allá de lo que su situación real justificaba.</w:t>
      </w:r>
    </w:p>
    <w:p>
      <w:pPr>
        <w:spacing w:before="0" w:after="200" w:line="360" w:lineRule="auto"/>
        <w:ind w:firstLine="720"/>
        <w:jc w:val="both"/>
      </w:pPr>
      <w:r>
        <w:rPr>
          <w:rFonts w:ascii="Times New Roman" w:cs="Times New Roman" w:eastAsia="Times New Roman" w:hAnsi="Times New Roman"/>
          <w:sz w:val="24"/>
          <w:szCs w:val="24"/>
        </w:rPr>
        <w:t xml:space="preserve">Este recorrido histórico establece el contexto para la pregunta central de la tesis. Si los países post-HIPC volvieron a endeudarse de manera insostenible, hay dos explicaciones posibles. La primera es que el alivio fue simplemente insuficiente —que el monto condonado no alcanzó para romper el ciclo de la deuda, y que una iniciativa más ambiciosa hubiera producido resultados distintos. La segunda explicación es que el problema no era el monto del alivio sino las condiciones institucionales de los países receptores: que sin instituciones suficientemente fuertes para gestionar responsablemente los recursos liberados y para resistir el retorno al endeudamiento excesivo, cualquier monto de alivio produce solo una mejora transitoria. Las hipótesis H1, H2, H6 y H7 de esta tesis están diseñadas para contrastar empíricamente estas dos explicaciones.</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2.2</w:t>
      </w:r>
    </w:p>
    <w:p>
      <w:pPr>
        <w:spacing w:before="0" w:after="400"/>
        <w:jc w:val="center"/>
      </w:pPr>
      <w:r>
        <w:rPr>
          <w:rFonts w:ascii="Times New Roman" w:cs="Times New Roman" w:eastAsia="Times New Roman" w:hAnsi="Times New Roman"/>
          <w:b/>
          <w:bCs/>
          <w:color w:val="1F3864"/>
          <w:sz w:val="26"/>
          <w:szCs w:val="26"/>
        </w:rPr>
        <w:t xml:space="preserve">El debate teórico: ¿qué explica el fracaso del alivio de deuda?</w:t>
      </w:r>
    </w:p>
    <w:p>
      <w:pPr>
        <w:pStyle w:val="Heading1"/>
        <w:spacing w:before="480" w:after="200"/>
      </w:pPr>
      <w:r>
        <w:rPr>
          <w:rFonts w:ascii="Times New Roman" w:cs="Times New Roman" w:eastAsia="Times New Roman" w:hAnsi="Times New Roman"/>
          <w:b/>
          <w:bCs/>
          <w:color w:val="1F3864"/>
          <w:sz w:val="28"/>
          <w:szCs w:val="28"/>
        </w:rPr>
        <w:t xml:space="preserve">2.2 El debate teórico: ¿qué explica el fracaso del alivio de deuda?</w:t>
      </w:r>
    </w:p>
    <w:p>
      <w:pPr>
        <w:spacing w:before="0" w:after="200" w:line="360" w:lineRule="auto"/>
        <w:ind w:firstLine="720"/>
        <w:jc w:val="both"/>
      </w:pPr>
      <w:r>
        <w:rPr>
          <w:rFonts w:ascii="Times New Roman" w:cs="Times New Roman" w:eastAsia="Times New Roman" w:hAnsi="Times New Roman"/>
          <w:sz w:val="24"/>
          <w:szCs w:val="24"/>
        </w:rPr>
        <w:t xml:space="preserve">El recorrido histórico de la sección anterior plantea una pregunta que admite, al menos, cuatro respuestas teóricas distintas. Cada una implica una política económica diferente y, por tanto, una razón diferente para que los programas de alivio de deuda funcionen o fracasen. Esta sección presenta esas cuatro tradiciones, evalúa su poder explicativo en el contexto específico de la HIPC y justifica por qué el enfoque institucional es el más adecuado para esta tesis —no como afirmación dogmática, sino como conclusión argumentada que puede refutarse con evidencia.</w:t>
      </w:r>
    </w:p>
    <w:p>
      <w:pPr>
        <w:pStyle w:val="Heading2"/>
        <w:spacing w:before="320" w:after="160"/>
      </w:pPr>
      <w:r>
        <w:rPr>
          <w:rFonts w:ascii="Times New Roman" w:cs="Times New Roman" w:eastAsia="Times New Roman" w:hAnsi="Times New Roman"/>
          <w:b/>
          <w:bCs/>
          <w:color w:val="2E5597"/>
          <w:sz w:val="24"/>
          <w:szCs w:val="24"/>
        </w:rPr>
        <w:t xml:space="preserve">2.2.1 La teoría del debt overhang: cuando la deuda destruye los incentivos</w:t>
      </w:r>
    </w:p>
    <w:p>
      <w:pPr>
        <w:spacing w:before="0" w:after="200" w:line="360" w:lineRule="auto"/>
        <w:ind w:firstLine="720"/>
        <w:jc w:val="both"/>
      </w:pPr>
      <w:r>
        <w:rPr>
          <w:rFonts w:ascii="Times New Roman" w:cs="Times New Roman" w:eastAsia="Times New Roman" w:hAnsi="Times New Roman"/>
          <w:sz w:val="24"/>
          <w:szCs w:val="24"/>
        </w:rPr>
        <w:t xml:space="preserve">La primera respuesta teórica al fracaso del desarrollo en los países más endeudados fue formulada casi simultáneamente por Paul Krugman (1988) y Jeffrey Sachs (1989), y se conoce como la teoría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o «sobrecarga de la deuda». Su lógica es elegante y poderosa: cuando la deuda soberana acumulada supera la capacidad de repago esperada del país, el excedente de deuda actúa como un impuesto implícito sobre la inversión y el crecimiento.</w:t>
      </w:r>
    </w:p>
    <w:p>
      <w:pPr>
        <w:spacing w:before="0" w:after="200" w:line="360" w:lineRule="auto"/>
        <w:ind w:firstLine="720"/>
        <w:jc w:val="both"/>
      </w:pPr>
      <w:r>
        <w:rPr>
          <w:rFonts w:ascii="Times New Roman" w:cs="Times New Roman" w:eastAsia="Times New Roman" w:hAnsi="Times New Roman"/>
          <w:sz w:val="24"/>
          <w:szCs w:val="24"/>
        </w:rPr>
        <w:t xml:space="preserve">La intuición detrás de esta idea es la siguiente. Supongamos que un país debe pagar en los próximos diez años el 90% de todo lo que produzca para servir su deuda. En ese escenario, ¿tiene algún incentivo el sector privado para invertir? Muy poco: si el fruto de la inversión va destinado mayoritariamente a los acreedores externos, el rendimiento esperado para el inversor doméstico es cercano a cero. 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actúa como un factor disuasor de la inversión privada, genera una trampa de bajo crecimiento y hace que la deuda se vuelva aún más difícil de pagar —porque el bajo crecimiento reduce los ingresos fiscales disponibles para el servicio.</w:t>
      </w:r>
    </w:p>
    <w:p>
      <w:pPr>
        <w:spacing w:before="0" w:after="200" w:line="360" w:lineRule="auto"/>
        <w:ind w:firstLine="720"/>
        <w:jc w:val="both"/>
      </w:pPr>
      <w:r>
        <w:rPr>
          <w:rFonts w:ascii="Times New Roman" w:cs="Times New Roman" w:eastAsia="Times New Roman" w:hAnsi="Times New Roman"/>
          <w:sz w:val="24"/>
          <w:szCs w:val="24"/>
        </w:rPr>
        <w:t xml:space="preserve">La prescripción de política de esta teoría es directa: reducir el principal de la deuda. Si el problema es que la deuda es demasiado alta para que los incentivos a la inversión operen normalmente, la solución es condonar suficiente deuda para restaurar esos incentivos. Esta es, en esencia, la lógica financiera detrás de la Iniciativa HIPC.</w:t>
      </w:r>
    </w:p>
    <w:p>
      <w:pPr>
        <w:spacing w:before="0" w:after="200" w:line="360" w:lineRule="auto"/>
        <w:ind w:firstLine="720"/>
        <w:jc w:val="both"/>
      </w:pPr>
      <w:r>
        <w:rPr>
          <w:rFonts w:ascii="Times New Roman" w:cs="Times New Roman" w:eastAsia="Times New Roman" w:hAnsi="Times New Roman"/>
          <w:sz w:val="24"/>
          <w:szCs w:val="24"/>
        </w:rPr>
        <w:t xml:space="preserve">La teoría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tiene un atractivo intelectual innegable, pero la evidencia empírica sobre ella en el contexto de los países de bajos ingresos es decepcionantemente mixta. Cordella, Ricci y Ruiz-Arranz (2010) no encuentran efectos robustos del alivio de deuda sobre la inversión en los países HIPC. Hepp (2005) documenta una mejora de los ratios de deuda a corto plazo, pero sin transmisión al crecimiento. Presbitero (2009) encuentra que el efecto del alivio sobre el crecimiento existe pero solo en países con instituciones de calidad suficiente. Esta heterogeneidad de resultados sugiere que la teoría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captura un mecanismo real pero incompleto: la deuda destruye los incentivos, sí, pero la eliminación de la deuda no restaura automáticamente los incentivos si otros factores —en particular, las instituciones— siguen sin funcionar.</w:t>
      </w:r>
    </w:p>
    <w:p>
      <w:pPr>
        <w:pStyle w:val="Heading2"/>
        <w:spacing w:before="320" w:after="160"/>
      </w:pPr>
      <w:r>
        <w:rPr>
          <w:rFonts w:ascii="Times New Roman" w:cs="Times New Roman" w:eastAsia="Times New Roman" w:hAnsi="Times New Roman"/>
          <w:b/>
          <w:bCs/>
          <w:color w:val="2E5597"/>
          <w:sz w:val="24"/>
          <w:szCs w:val="24"/>
        </w:rPr>
        <w:t xml:space="preserve">2.2.2 El enfoque neoclásico del ajuste: las reformas como condición del crecimiento</w:t>
      </w:r>
    </w:p>
    <w:p>
      <w:pPr>
        <w:spacing w:before="0" w:after="200" w:line="360" w:lineRule="auto"/>
        <w:ind w:firstLine="720"/>
        <w:jc w:val="both"/>
      </w:pPr>
      <w:r>
        <w:rPr>
          <w:rFonts w:ascii="Times New Roman" w:cs="Times New Roman" w:eastAsia="Times New Roman" w:hAnsi="Times New Roman"/>
          <w:sz w:val="24"/>
          <w:szCs w:val="24"/>
        </w:rPr>
        <w:t xml:space="preserve">La segunda tradición teórica es la que inspiró el Consenso de Washington: el enfoque neoclásico del ajuste, cuya premisa central es que los países de bajos ingresos crecen lentamente porque sus economías están distorsionadas por intervenciones estatales —subsidios, protecciones arancelarias, controles de precios, empresas públicas ineficientes— que impiden que los mercados asignen los recursos eficientemente.</w:t>
      </w:r>
    </w:p>
    <w:p>
      <w:pPr>
        <w:spacing w:before="0" w:after="200" w:line="360" w:lineRule="auto"/>
        <w:ind w:firstLine="720"/>
        <w:jc w:val="both"/>
      </w:pPr>
      <w:r>
        <w:rPr>
          <w:rFonts w:ascii="Times New Roman" w:cs="Times New Roman" w:eastAsia="Times New Roman" w:hAnsi="Times New Roman"/>
          <w:sz w:val="24"/>
          <w:szCs w:val="24"/>
        </w:rPr>
        <w:t xml:space="preserve">Desde esta perspectiva, el problema de la deuda es, en última instancia, un problema fiscal: los gobiernos gastan más de lo que recaudan porque subvencionan sectores ineficientes, mantienen empresas públicas deficitarias y permiten tipos de cambio sobrevaluados que generan fuga de capitales. La solución es el ajuste: eliminar los subsidios, privatizar las empresas, liberar los precios, equilibrar el presupuesto. Una vez que la economía esté «alineada» con los precios de mercado, el crecimiento se reanuda y la deuda se vuelve sostenible.</w:t>
      </w:r>
    </w:p>
    <w:p>
      <w:pPr>
        <w:spacing w:before="0" w:after="200" w:line="360" w:lineRule="auto"/>
        <w:ind w:firstLine="720"/>
        <w:jc w:val="both"/>
      </w:pPr>
      <w:r>
        <w:rPr>
          <w:rFonts w:ascii="Times New Roman" w:cs="Times New Roman" w:eastAsia="Times New Roman" w:hAnsi="Times New Roman"/>
          <w:sz w:val="24"/>
          <w:szCs w:val="24"/>
        </w:rPr>
        <w:t xml:space="preserve">Las condicionalidades de los programas del FMI y el Banco Mundial durante los años ochenta y noventa traducían fielmente esta lógica: reducción del déficit fiscal, liberalización financiera, tipo de cambio flexible, privatizaciones. La Iniciativa HIPC añadió el componente del PRSP, pero mantuvo en su núcleo las condicionalidades macroeconómicas del ajuste neoclásico.</w:t>
      </w:r>
    </w:p>
    <w:p>
      <w:pPr>
        <w:spacing w:before="0" w:after="200" w:line="360" w:lineRule="auto"/>
        <w:ind w:firstLine="720"/>
        <w:jc w:val="both"/>
      </w:pPr>
      <w:r>
        <w:rPr>
          <w:rFonts w:ascii="Times New Roman" w:cs="Times New Roman" w:eastAsia="Times New Roman" w:hAnsi="Times New Roman"/>
          <w:sz w:val="24"/>
          <w:szCs w:val="24"/>
        </w:rPr>
        <w:t xml:space="preserve">Este enfoque tiene tres limitaciones que la evidencia empírica ha puesto de manifiesto de manera sistemática. Primera, como señaló Rodrik (2006) en su crítica al Consenso de Washington, las reformas neoclásicas producen resultados muy diferentes dependiendo del contexto institucional en el que se aplican. La liberalización financiera en un país con supervisión bancaria débil produce crisis, no eficiencia. La privatización en ausencia de regulación eficiente produce monopolios privados, no competencia. El ajuste fiscal en ausencia de redes de protección social produce pobreza, no estabilidad. Segunda, el enfoque neoclásico trata las preferencias y el comportamiento de los agentes económicos como si fueran independientes de las reglas del juego institucional, cuando en realidad son el producto de esas reglas. Tercera, ignora los efectos distributivos del ajuste, que recaen desproporcionadamente sobre los sectores más vulnerables de la población.</w:t>
      </w:r>
    </w:p>
    <w:p>
      <w:pPr>
        <w:pStyle w:val="Heading2"/>
        <w:spacing w:before="320" w:after="160"/>
      </w:pPr>
      <w:r>
        <w:rPr>
          <w:rFonts w:ascii="Times New Roman" w:cs="Times New Roman" w:eastAsia="Times New Roman" w:hAnsi="Times New Roman"/>
          <w:b/>
          <w:bCs/>
          <w:color w:val="2E5597"/>
          <w:sz w:val="24"/>
          <w:szCs w:val="24"/>
        </w:rPr>
        <w:t xml:space="preserve">2.2.3 El enfoque del capital humano y la trampa de pobreza</w:t>
      </w:r>
    </w:p>
    <w:p>
      <w:pPr>
        <w:spacing w:before="0" w:after="200" w:line="360" w:lineRule="auto"/>
        <w:ind w:firstLine="720"/>
        <w:jc w:val="both"/>
      </w:pPr>
      <w:r>
        <w:rPr>
          <w:rFonts w:ascii="Times New Roman" w:cs="Times New Roman" w:eastAsia="Times New Roman" w:hAnsi="Times New Roman"/>
          <w:sz w:val="24"/>
          <w:szCs w:val="24"/>
        </w:rPr>
        <w:t xml:space="preserve">La tercera tradición teórica que compite por explicar el subdesarrollo de los países más pobres pone el énfasis no en las instituciones ni en las políticas macroeconómicas, sino en el </w:t>
      </w:r>
      <w:r>
        <w:rPr>
          <w:rFonts w:ascii="Times New Roman" w:cs="Times New Roman" w:eastAsia="Times New Roman" w:hAnsi="Times New Roman"/>
          <w:i/>
          <w:iCs/>
          <w:sz w:val="24"/>
          <w:szCs w:val="24"/>
        </w:rPr>
        <w:t xml:space="preserve">capital humano</w:t>
      </w:r>
      <w:r>
        <w:rPr>
          <w:rFonts w:ascii="Times New Roman" w:cs="Times New Roman" w:eastAsia="Times New Roman" w:hAnsi="Times New Roman"/>
          <w:sz w:val="24"/>
          <w:szCs w:val="24"/>
        </w:rPr>
        <w:t xml:space="preserve"> y en las </w:t>
      </w:r>
      <w:r>
        <w:rPr>
          <w:rFonts w:ascii="Times New Roman" w:cs="Times New Roman" w:eastAsia="Times New Roman" w:hAnsi="Times New Roman"/>
          <w:i/>
          <w:iCs/>
          <w:sz w:val="24"/>
          <w:szCs w:val="24"/>
        </w:rPr>
        <w:t xml:space="preserve">trampas de pobreza</w:t>
      </w:r>
      <w:r>
        <w:rPr>
          <w:rFonts w:ascii="Times New Roman" w:cs="Times New Roman" w:eastAsia="Times New Roman" w:hAnsi="Times New Roman"/>
          <w:sz w:val="24"/>
          <w:szCs w:val="24"/>
        </w:rPr>
        <w:t xml:space="preserve"> que impiden su acumulación. En su versión más ambiciosa, asociada con Jeffrey Sachs (2005) y el proyecto del Milenio de la ONU, este enfoque sostiene que los países más pobres del mundo están atrapados en un círculo vicioso de pobreza, enfermedad e inaccesibilidad geográfica que les impide acumular el capital físico y humano necesario para iniciar el crecimiento. En ausencia de una «inversión masiva» externa —en forma de ayuda al desarrollo, condonación de deuda o inversión en salud y educación— estos países no pueden salir de la trampa por sus propios medios.</w:t>
      </w:r>
    </w:p>
    <w:p>
      <w:pPr>
        <w:spacing w:before="0" w:after="200" w:line="360" w:lineRule="auto"/>
        <w:ind w:firstLine="720"/>
        <w:jc w:val="both"/>
      </w:pPr>
      <w:r>
        <w:rPr>
          <w:rFonts w:ascii="Times New Roman" w:cs="Times New Roman" w:eastAsia="Times New Roman" w:hAnsi="Times New Roman"/>
          <w:sz w:val="24"/>
          <w:szCs w:val="24"/>
        </w:rPr>
        <w:t xml:space="preserve">Para esta tradición teórica, la Iniciativa HIPC era potencialmente el mecanismo correcto: liberaba recursos que podían destinarse a educación, salud y nutrición —las inversiones en capital humano que rompen la trampa de pobreza. La condición era que el alivio se tradujera efectivamente en ese gasto social, de ahí el énfasis en el gasto social protegido de los PRSP.</w:t>
      </w:r>
    </w:p>
    <w:p>
      <w:pPr>
        <w:spacing w:before="0" w:after="200" w:line="360" w:lineRule="auto"/>
        <w:ind w:firstLine="720"/>
        <w:jc w:val="both"/>
      </w:pPr>
      <w:r>
        <w:rPr>
          <w:rFonts w:ascii="Times New Roman" w:cs="Times New Roman" w:eastAsia="Times New Roman" w:hAnsi="Times New Roman"/>
          <w:sz w:val="24"/>
          <w:szCs w:val="24"/>
        </w:rPr>
        <w:t xml:space="preserve">La evidencia empírica sobre la transmisión del alivio al capital humano es parcialmente favorable: Chauvin y Kraay (2005) documentan que el gasto en educación y salud aumentó en los países post-HIPC en los años inmediatamente posteriores a la culminación. Pero la mejora de los indicadores sociales fue heterogénea y, en varios casos, transitoria —exactamente el mismo patrón que se observa en los indicadores fiscales. Esta heterogeneidad no se explica bien desde la teoría de las trampas de pobreza, que predice que la inyección de recursos debería producir mejoras sostenibles en todos los países.</w:t>
      </w:r>
    </w:p>
    <w:p>
      <w:pPr>
        <w:spacing w:before="0" w:after="200" w:line="360" w:lineRule="auto"/>
        <w:ind w:firstLine="720"/>
        <w:jc w:val="both"/>
      </w:pPr>
      <w:r>
        <w:rPr>
          <w:rFonts w:ascii="Times New Roman" w:cs="Times New Roman" w:eastAsia="Times New Roman" w:hAnsi="Times New Roman"/>
          <w:sz w:val="24"/>
          <w:szCs w:val="24"/>
        </w:rPr>
        <w:t xml:space="preserve">La limitación más fundamental de este enfoque, para los propósitos de esta tesis, es que no puede explicar por qué países con similares dotaciones de capital humano y similares montos de alivio producen resultados tan diferentes. Uganda y Tanzania, dos países africanos con perfiles de desarrollo comparables al inicio de la HIPC, exhiben trayectorias post-culminación muy distintas. La explicación, como veremos, tiene que ver con la calidad de sus instituciones, no con el volumen de sus inversiones en capital humano.</w:t>
      </w:r>
    </w:p>
    <w:p>
      <w:pPr>
        <w:pStyle w:val="Heading2"/>
        <w:spacing w:before="320" w:after="160"/>
      </w:pPr>
      <w:r>
        <w:rPr>
          <w:rFonts w:ascii="Times New Roman" w:cs="Times New Roman" w:eastAsia="Times New Roman" w:hAnsi="Times New Roman"/>
          <w:b/>
          <w:bCs/>
          <w:color w:val="2E5597"/>
          <w:sz w:val="24"/>
          <w:szCs w:val="24"/>
        </w:rPr>
        <w:t xml:space="preserve">2.2.4 El enfoque geográfico y de recursos naturales</w:t>
      </w:r>
    </w:p>
    <w:p>
      <w:pPr>
        <w:spacing w:before="0" w:after="200" w:line="360" w:lineRule="auto"/>
        <w:ind w:firstLine="720"/>
        <w:jc w:val="both"/>
      </w:pPr>
      <w:r>
        <w:rPr>
          <w:rFonts w:ascii="Times New Roman" w:cs="Times New Roman" w:eastAsia="Times New Roman" w:hAnsi="Times New Roman"/>
          <w:sz w:val="24"/>
          <w:szCs w:val="24"/>
        </w:rPr>
        <w:t xml:space="preserve">Una cuarta tradición pone el énfasis en la </w:t>
      </w:r>
      <w:r>
        <w:rPr>
          <w:rFonts w:ascii="Times New Roman" w:cs="Times New Roman" w:eastAsia="Times New Roman" w:hAnsi="Times New Roman"/>
          <w:i/>
          <w:iCs/>
          <w:sz w:val="24"/>
          <w:szCs w:val="24"/>
        </w:rPr>
        <w:t xml:space="preserve">geografía</w:t>
      </w:r>
      <w:r>
        <w:rPr>
          <w:rFonts w:ascii="Times New Roman" w:cs="Times New Roman" w:eastAsia="Times New Roman" w:hAnsi="Times New Roman"/>
          <w:sz w:val="24"/>
          <w:szCs w:val="24"/>
        </w:rPr>
        <w:t xml:space="preserve"> y la </w:t>
      </w:r>
      <w:r>
        <w:rPr>
          <w:rFonts w:ascii="Times New Roman" w:cs="Times New Roman" w:eastAsia="Times New Roman" w:hAnsi="Times New Roman"/>
          <w:i/>
          <w:iCs/>
          <w:sz w:val="24"/>
          <w:szCs w:val="24"/>
        </w:rPr>
        <w:t xml:space="preserve">dotación de recursos naturales</w:t>
      </w:r>
      <w:r>
        <w:rPr>
          <w:rFonts w:ascii="Times New Roman" w:cs="Times New Roman" w:eastAsia="Times New Roman" w:hAnsi="Times New Roman"/>
          <w:sz w:val="24"/>
          <w:szCs w:val="24"/>
        </w:rPr>
        <w:t xml:space="preserve"> como determinantes del desarrollo. Jeffrey Sachs y Andrew Warner (1997) documentaron la llamada «maldición de los recursos»: los países con grandes exportaciones de recursos naturales tienden a crecer más lentamente que los países sin esos recursos, posiblemente porque los ingresos de los recursos reducen los incentivos para diversificar la economía y porque generan conflictos distributivos que deterioran las instituciones.</w:t>
      </w:r>
    </w:p>
    <w:p>
      <w:pPr>
        <w:spacing w:before="0" w:after="200" w:line="360" w:lineRule="auto"/>
        <w:ind w:firstLine="720"/>
        <w:jc w:val="both"/>
      </w:pPr>
      <w:r>
        <w:rPr>
          <w:rFonts w:ascii="Times New Roman" w:cs="Times New Roman" w:eastAsia="Times New Roman" w:hAnsi="Times New Roman"/>
          <w:sz w:val="24"/>
          <w:szCs w:val="24"/>
        </w:rPr>
        <w:t xml:space="preserve">Esta perspectiva tiene relevancia directa para los países HIPC: muchos de ellos son grandes exportadores de petróleo, minerales o productos agrícolas primarios, y varios han experimentado conflictos armados relacionados con el control de esos recursos. Sin embargo, como Acemoglu, Johnson y Robinson (2001) demostraron empíricamente, la geografía y los recursos naturales tienen efectos causales sobre el desarrollo principalmente </w:t>
      </w:r>
      <w:r>
        <w:rPr>
          <w:rFonts w:ascii="Times New Roman" w:cs="Times New Roman" w:eastAsia="Times New Roman" w:hAnsi="Times New Roman"/>
          <w:i/>
          <w:iCs/>
          <w:sz w:val="24"/>
          <w:szCs w:val="24"/>
        </w:rPr>
        <w:t xml:space="preserve">a través</w:t>
      </w:r>
      <w:r>
        <w:rPr>
          <w:rFonts w:ascii="Times New Roman" w:cs="Times New Roman" w:eastAsia="Times New Roman" w:hAnsi="Times New Roman"/>
          <w:sz w:val="24"/>
          <w:szCs w:val="24"/>
        </w:rPr>
        <w:t xml:space="preserve"> de las instituciones que generan, no de manera directa. Los recursos naturales producen la maldición del recurso cuando las instituciones son demasiado débiles para gestionar los ingresos que generan de manera sostenible y equitativa. En países con instituciones fuertes —como Noruega o Botswana— los recursos naturales no producen la maldición sino la prosperidad.</w:t>
      </w:r>
    </w:p>
    <w:p>
      <w:pPr>
        <w:pStyle w:val="Heading2"/>
        <w:spacing w:before="320" w:after="160"/>
      </w:pPr>
      <w:r>
        <w:rPr>
          <w:rFonts w:ascii="Times New Roman" w:cs="Times New Roman" w:eastAsia="Times New Roman" w:hAnsi="Times New Roman"/>
          <w:b/>
          <w:bCs/>
          <w:color w:val="2E5597"/>
          <w:sz w:val="24"/>
          <w:szCs w:val="24"/>
        </w:rPr>
        <w:t xml:space="preserve">2.2.5 Por qué optamos por el enfoque institucional: la síntesis del argumento</w:t>
      </w:r>
    </w:p>
    <w:p>
      <w:pPr>
        <w:spacing w:before="0" w:after="200" w:line="360" w:lineRule="auto"/>
        <w:ind w:firstLine="720"/>
        <w:jc w:val="both"/>
      </w:pPr>
      <w:r>
        <w:rPr>
          <w:rFonts w:ascii="Times New Roman" w:cs="Times New Roman" w:eastAsia="Times New Roman" w:hAnsi="Times New Roman"/>
          <w:sz w:val="24"/>
          <w:szCs w:val="24"/>
        </w:rPr>
        <w:t xml:space="preserve">La revisión de las cuatro tradiciones teóricas permite ahora justificar argumentadamente por qué el enfoque institucional es el más adecuado para analizar la efectividad de la HIPC —no como un acto de fe en la escuela de North y Acemoglu, sino como una conclusión que emerge de la evaluación comparativa de las alternativas.</w:t>
      </w:r>
    </w:p>
    <w:p>
      <w:pPr>
        <w:spacing w:before="0" w:after="200" w:line="360" w:lineRule="auto"/>
        <w:ind w:firstLine="720"/>
        <w:jc w:val="both"/>
      </w:pPr>
      <w:r>
        <w:rPr>
          <w:rFonts w:ascii="Times New Roman" w:cs="Times New Roman" w:eastAsia="Times New Roman" w:hAnsi="Times New Roman"/>
          <w:b/>
          <w:bCs/>
          <w:sz w:val="24"/>
          <w:szCs w:val="24"/>
        </w:rPr>
        <w:t xml:space="preserve">Primera razón: poder explicativo en el contexto específico. </w:t>
      </w:r>
      <w:r>
        <w:rPr>
          <w:rFonts w:ascii="Times New Roman" w:cs="Times New Roman" w:eastAsia="Times New Roman" w:hAnsi="Times New Roman"/>
          <w:sz w:val="24"/>
          <w:szCs w:val="24"/>
        </w:rPr>
        <w:t xml:space="preserve">El enfoque institucional es el único de los cuatro que puede explicar la heterogeneidad de resultados dentro del grupo de países HIPC. La teoría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predice que todos los países deberían mejorar con el alivio; el enfoque de las trampas de pobreza predice que los más pobres deberían beneficiarse más; el enfoque neoclásico predice que los que más ajustaron deberían crecer más. Ninguna de estas predicciones es consistente con los datos. El enfoque institucional predice exactamente lo que se observa: los países con mejores instituciones previas al ingreso en la HIPC exhiben resultados post-culminación mejores, más duraderos y con menor probabilidad de reendeudamiento.</w:t>
      </w:r>
    </w:p>
    <w:p>
      <w:pPr>
        <w:spacing w:before="0" w:after="200" w:line="360" w:lineRule="auto"/>
        <w:ind w:firstLine="720"/>
        <w:jc w:val="both"/>
      </w:pPr>
      <w:r>
        <w:rPr>
          <w:rFonts w:ascii="Times New Roman" w:cs="Times New Roman" w:eastAsia="Times New Roman" w:hAnsi="Times New Roman"/>
          <w:b/>
          <w:bCs/>
          <w:sz w:val="24"/>
          <w:szCs w:val="24"/>
        </w:rPr>
        <w:t xml:space="preserve">Segunda razón: la endogeneidad resuelta empíricamente. </w:t>
      </w:r>
      <w:r>
        <w:rPr>
          <w:rFonts w:ascii="Times New Roman" w:cs="Times New Roman" w:eastAsia="Times New Roman" w:hAnsi="Times New Roman"/>
          <w:sz w:val="24"/>
          <w:szCs w:val="24"/>
        </w:rPr>
        <w:t xml:space="preserve">Una objeción frecuente al enfoque institucional es la endogeneidad: ¿cómo saber si son las instituciones las que producen el desarrollo, o es el desarrollo el que produce instituciones mejores? Acemoglu, Johnson y Robinson (2001) resolvieron este problema de identificación de manera elegante: usaron la mortalidad histórica de los colonizadores europeos (ajr_settmort) como instrumento de la calidad institucional actual. Su lógica es que donde los colonizadores morían de enfermedades tropicales —como malaria y fiebre amarilla— no podían establecer colonias de asentamiento, y por tanto construyeron instituciones extractivas diseñadas para extraer riqueza, no para crear condiciones para el desarrollo. Esta historia causal, ocurrida hace doscientos años, no puede ser causada por los resultados económicos de 2000–2022, lo que hace del instrumento una herramienta de identificación creíble. Esta tesis usa exactamente ese instrumento para identificar el efecto causal de las instituciones en H6.</w:t>
      </w:r>
    </w:p>
    <w:p>
      <w:pPr>
        <w:spacing w:before="0" w:after="200" w:line="360" w:lineRule="auto"/>
        <w:ind w:firstLine="720"/>
        <w:jc w:val="both"/>
      </w:pPr>
      <w:r>
        <w:rPr>
          <w:rFonts w:ascii="Times New Roman" w:cs="Times New Roman" w:eastAsia="Times New Roman" w:hAnsi="Times New Roman"/>
          <w:b/>
          <w:bCs/>
          <w:sz w:val="24"/>
          <w:szCs w:val="24"/>
        </w:rPr>
        <w:t xml:space="preserve">Tercera razón: la síntesis con los otros enfoques. </w:t>
      </w:r>
      <w:r>
        <w:rPr>
          <w:rFonts w:ascii="Times New Roman" w:cs="Times New Roman" w:eastAsia="Times New Roman" w:hAnsi="Times New Roman"/>
          <w:sz w:val="24"/>
          <w:szCs w:val="24"/>
        </w:rPr>
        <w:t xml:space="preserve">El enfoque institucional no niega la validez parcial de los otros cuatro: los incorpora como mecanismos de transmisión. La teoría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describe el mecanismo a través del cual la deuda elevada reduce la inversión —que es real— pero las instituciones determinan si ese mecanismo opera con fuerza o si hay capacidad de resistirlo. El enfoque del capital humano describe inversiones importantes para el desarrollo —que también son reales— pero las instituciones determinan si esas inversiones se realizan y si producen retornos. El enfoque geográfico identifica un factor de contexto —que no puede ignorarse— pero las instituciones mediatizan su efecto sobre el desarrollo. El enfoque institucional es el más parsimonioso: explica la heterogeneidad de resultados con un mecanismo unificado.</w:t>
      </w:r>
    </w:p>
    <w:p>
      <w:pPr>
        <w:spacing w:before="0" w:after="200" w:line="360" w:lineRule="auto"/>
        <w:ind w:firstLine="720"/>
        <w:jc w:val="both"/>
      </w:pPr>
      <w:r>
        <w:rPr>
          <w:rFonts w:ascii="Times New Roman" w:cs="Times New Roman" w:eastAsia="Times New Roman" w:hAnsi="Times New Roman"/>
          <w:b/>
          <w:bCs/>
          <w:sz w:val="24"/>
          <w:szCs w:val="24"/>
        </w:rPr>
        <w:t xml:space="preserve">Cuarta razón: las implicaciones de política. </w:t>
      </w:r>
      <w:r>
        <w:rPr>
          <w:rFonts w:ascii="Times New Roman" w:cs="Times New Roman" w:eastAsia="Times New Roman" w:hAnsi="Times New Roman"/>
          <w:sz w:val="24"/>
          <w:szCs w:val="24"/>
        </w:rPr>
        <w:t xml:space="preserve">Si el enfoque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tiene razón, la conclusión de política es que hay que condonar más deuda. Si el enfoque del capital humano tiene razón, hay que invertir más en salud y educación. Si el enfoque neoclásico tiene razón, hay que ajustar más y reformar más. Si el enfoque institucional tiene razón, hay que construir instituciones mejores antes de —o al mismo tiempo que— se condona la deuda. Estas son prescripciones muy diferentes, con implicaciones muy diferentes para el diseño del G20 Common Framework. La evidencia empírica de esta tesis tiene, por tanto, relevancia directa para una decisión de política económica real.</w:t>
      </w:r>
    </w:p>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Las cinco tradiciones teóricas se sintetizan en la tabla siguiente, presentada como referencia rápida: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6"/>
              <w:left w:val="single" w:color="1F3864" w:sz="6"/>
              <w:bottom w:val="single" w:color="1F3864" w:sz="6"/>
              <w:right w:val="single" w:color="1F3864" w:sz="6"/>
            </w:tcBorders>
            <w:shd w:fill="1F3864" w:val="clear"/>
            <w:tcMar>
              <w:top w:type="dxa" w:w="100"/>
              <w:left w:type="dxa" w:w="200"/>
              <w:bottom w:type="dxa" w:w="80"/>
              <w:right w:type="dxa" w:w="200"/>
            </w:tcMar>
          </w:tcPr>
          <w:p>
            <w:r>
              <w:rPr>
                <w:rFonts w:ascii="Times New Roman" w:cs="Times New Roman" w:eastAsia="Times New Roman" w:hAnsi="Times New Roman"/>
                <w:b/>
                <w:bCs/>
                <w:color w:val="AACCFF"/>
                <w:sz w:val="20"/>
                <w:szCs w:val="20"/>
              </w:rPr>
              <w:t xml:space="preserve">T1  —  </w:t>
            </w:r>
            <w:r>
              <w:rPr>
                <w:rFonts w:ascii="Times New Roman" w:cs="Times New Roman" w:eastAsia="Times New Roman" w:hAnsi="Times New Roman"/>
                <w:b/>
                <w:bCs/>
                <w:color w:val="FFFFFF"/>
                <w:sz w:val="22"/>
                <w:szCs w:val="22"/>
              </w:rPr>
              <w:t xml:space="preserve">Economía institucional de North: reglas del juego y dependencia de trayectoria</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Argumento central</w:t>
            </w:r>
          </w:p>
        </w:tc>
        <w:tc>
          <w:tcPr>
            <w:tcW w:type="dxa" w:w="7560"/>
            <w:tcBorders>
              <w:top w:val="single" w:color="CCCCCC" w:sz="2"/>
              <w:left w:val="single" w:color="CCCCCC" w:sz="2"/>
              <w:bottom w:val="single" w:color="CCCCCC" w:sz="2"/>
              <w:right w:val="single" w:color="1F3864" w:sz="6"/>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Las instituciones —reglas del juego formales e informales— estructuran los incentivos de los agentes económicos y determinan los resultados de largo plazo. El cambio institucional es lento porque los actores que se benefician de las instituciones existentes tienen incentivos para reproducirlas. Una intervención financiera externa no transforma los incentivos si no cambia las reglas del juego.</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Autores clave</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North (1990): Institutions, Institutional Change and Economic Performance. North &amp; Weingast (1989). Acemoglu &amp; Robinson (2012): Why Nations Fail.</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Predicción HIPC</w:t>
            </w:r>
          </w:p>
        </w:tc>
        <w:tc>
          <w:tcPr>
            <w:tcW w:type="dxa" w:w="7560"/>
            <w:tcBorders>
              <w:top w:val="single" w:color="CCCCCC" w:sz="2"/>
              <w:left w:val="single" w:color="CCCCCC" w:sz="2"/>
              <w:bottom w:val="single" w:color="CCCCCC" w:sz="2"/>
              <w:right w:val="single" w:color="1F3864" w:sz="6"/>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alivio produce resultados duraderos solo donde las instituciones son suficientemente fuertes para gestionar los recursos liberados. En países con instituciones débiles, el alivio mejora los indicadores fiscales a corto plazo pero no transforma los incentivos que producen el endeudamiento excesivo. Fundamenta H6.</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Limitación</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No especifica el umbral de calidad institucional necesario para que el alivio sea efectivo. Esta tesis opera esa especificación empíricamente mediante los índices IGC e IGA y el análisis de dominancia.</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6"/>
              <w:left w:val="single" w:color="1F3864" w:sz="6"/>
              <w:bottom w:val="single" w:color="1F3864" w:sz="6"/>
              <w:right w:val="single" w:color="1F3864" w:sz="6"/>
            </w:tcBorders>
            <w:shd w:fill="2E5597" w:val="clear"/>
            <w:tcMar>
              <w:top w:type="dxa" w:w="100"/>
              <w:left w:type="dxa" w:w="200"/>
              <w:bottom w:type="dxa" w:w="80"/>
              <w:right w:type="dxa" w:w="200"/>
            </w:tcMar>
          </w:tcPr>
          <w:p>
            <w:r>
              <w:rPr>
                <w:rFonts w:ascii="Times New Roman" w:cs="Times New Roman" w:eastAsia="Times New Roman" w:hAnsi="Times New Roman"/>
                <w:b/>
                <w:bCs/>
                <w:color w:val="AACCFF"/>
                <w:sz w:val="20"/>
                <w:szCs w:val="20"/>
              </w:rPr>
              <w:t xml:space="preserve">T2  —  </w:t>
            </w:r>
            <w:r>
              <w:rPr>
                <w:rFonts w:ascii="Times New Roman" w:cs="Times New Roman" w:eastAsia="Times New Roman" w:hAnsi="Times New Roman"/>
                <w:b/>
                <w:bCs/>
                <w:color w:val="FFFFFF"/>
                <w:sz w:val="22"/>
                <w:szCs w:val="22"/>
              </w:rPr>
              <w:t xml:space="preserve">Teoría del debt overhang: la deuda como desincentivo a la inversión</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Argumento central</w:t>
            </w:r>
          </w:p>
        </w:tc>
        <w:tc>
          <w:tcPr>
            <w:tcW w:type="dxa" w:w="7560"/>
            <w:tcBorders>
              <w:top w:val="single" w:color="CCCCCC" w:sz="2"/>
              <w:left w:val="single" w:color="CCCCCC" w:sz="2"/>
              <w:bottom w:val="single" w:color="CCCCCC" w:sz="2"/>
              <w:right w:val="single" w:color="1F3864" w:sz="6"/>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Cuando la deuda supera la capacidad de repago, actúa como un impuesto implícito sobre la inversión privada: el rendimiento esperado cae porque los acreedores capturan la mayor parte del producto futuro. El alivio, al reducir el stock nominal, debería restaurar los incentivos a la inversión.</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Autores clave</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Krugman (1988): Financing vs. Forgiving a Debt Overhang. Sachs (1989): The Debt Overhang of Developing Countries.</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Predicción HIPC</w:t>
            </w:r>
          </w:p>
        </w:tc>
        <w:tc>
          <w:tcPr>
            <w:tcW w:type="dxa" w:w="7560"/>
            <w:tcBorders>
              <w:top w:val="single" w:color="CCCCCC" w:sz="2"/>
              <w:left w:val="single" w:color="CCCCCC" w:sz="2"/>
              <w:bottom w:val="single" w:color="CCCCCC" w:sz="2"/>
              <w:right w:val="single" w:color="1F3864" w:sz="6"/>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alivio de deuda HIPC debería producir un efecto positivo inmediato sobre la inversión, el crecimiento y la sostenibilidad de la deuda. Esta predicción corresponde a la parte de corto plazo de H1. La evidencia mixta de la literatura sugiere que el mecanismo opera, pero está condicionado institucionalmente.</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Limitación</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Silenciosa sobre la persistencia del efecto y sobre el papel de las instituciones. La evidencia empírica (Cordella et al., 2010; Presbitero, 2009) muestra que el mecanismo opera solo en presencia de instituciones adecuadas — lo que T1 explica y T2 no.</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6"/>
              <w:left w:val="single" w:color="1F3864" w:sz="6"/>
              <w:bottom w:val="single" w:color="1F3864" w:sz="6"/>
              <w:right w:val="single" w:color="1F3864" w:sz="6"/>
            </w:tcBorders>
            <w:shd w:fill="2E5597" w:val="clear"/>
            <w:tcMar>
              <w:top w:type="dxa" w:w="100"/>
              <w:left w:type="dxa" w:w="200"/>
              <w:bottom w:type="dxa" w:w="80"/>
              <w:right w:type="dxa" w:w="200"/>
            </w:tcMar>
          </w:tcPr>
          <w:p>
            <w:r>
              <w:rPr>
                <w:rFonts w:ascii="Times New Roman" w:cs="Times New Roman" w:eastAsia="Times New Roman" w:hAnsi="Times New Roman"/>
                <w:b/>
                <w:bCs/>
                <w:color w:val="AACCFF"/>
                <w:sz w:val="20"/>
                <w:szCs w:val="20"/>
              </w:rPr>
              <w:t xml:space="preserve">T3  —  </w:t>
            </w:r>
            <w:r>
              <w:rPr>
                <w:rFonts w:ascii="Times New Roman" w:cs="Times New Roman" w:eastAsia="Times New Roman" w:hAnsi="Times New Roman"/>
                <w:b/>
                <w:bCs/>
                <w:color w:val="FFFFFF"/>
                <w:sz w:val="22"/>
                <w:szCs w:val="22"/>
              </w:rPr>
              <w:t xml:space="preserve">Enfoque neoclásico del ajuste: las reformas como condición del desarrollo</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Argumento central</w:t>
            </w:r>
          </w:p>
        </w:tc>
        <w:tc>
          <w:tcPr>
            <w:tcW w:type="dxa" w:w="7560"/>
            <w:tcBorders>
              <w:top w:val="single" w:color="CCCCCC" w:sz="2"/>
              <w:left w:val="single" w:color="CCCCCC" w:sz="2"/>
              <w:bottom w:val="single" w:color="CCCCCC" w:sz="2"/>
              <w:right w:val="single" w:color="1F3864" w:sz="6"/>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crecimiento y el desarrollo requieren reformas de mercado que corrijan las distorsiones de precio, la represión financiera y la interferencia del Estado en la asignación de recursos. El ajuste estructural —disciplina fiscal, liberalización comercial, privatización y desregulación— es la condición para que el capital externo produzca desarrollo sostenible. Las condiciones del FMI operacionalizan este programa.</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Autores clave</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Williamson (1990): What Washington Means by Policy Reform. Sachs (1989). Stiglitz (2002): Globalization and Its Discontents —crítica interna al paradigma. Rodrik (2006): Goodbye Washington Consensus.</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Predicción HIPC</w:t>
            </w:r>
          </w:p>
        </w:tc>
        <w:tc>
          <w:tcPr>
            <w:tcW w:type="dxa" w:w="7560"/>
            <w:tcBorders>
              <w:top w:val="single" w:color="CCCCCC" w:sz="2"/>
              <w:left w:val="single" w:color="CCCCCC" w:sz="2"/>
              <w:bottom w:val="single" w:color="CCCCCC" w:sz="2"/>
              <w:right w:val="single" w:color="1F3864" w:sz="6"/>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Las condicionalidades de la HIPC —disciplina fiscal, privatizaciones, liberalización comercial— deberían producir reformas estructurales que mejoren la sostenibilidad de largo plazo. La brecha entre lo prometido y los resultados observados (H3) contradice esta predicción, o al menos la matiza: el ajuste sin instituciones previas genera distorsiones.</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Limitación</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Trata las preferencias de los agentes como exógenas al contexto institucional, cuando en realidad son el producto de ese contexto. Rodrik (2006) sintetizó la crítica: las reformas neoclásicas no producen resultados previsibles donde el marco institucional es débil, lo que las hace irróbustemente dependientes del supuesto que no pueden verificar.</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6"/>
              <w:left w:val="single" w:color="1F3864" w:sz="6"/>
              <w:bottom w:val="single" w:color="1F3864" w:sz="6"/>
              <w:right w:val="single" w:color="1F3864" w:sz="6"/>
            </w:tcBorders>
            <w:shd w:fill="1A5276" w:val="clear"/>
            <w:tcMar>
              <w:top w:type="dxa" w:w="100"/>
              <w:left w:type="dxa" w:w="200"/>
              <w:bottom w:type="dxa" w:w="80"/>
              <w:right w:type="dxa" w:w="200"/>
            </w:tcMar>
          </w:tcPr>
          <w:p>
            <w:r>
              <w:rPr>
                <w:rFonts w:ascii="Times New Roman" w:cs="Times New Roman" w:eastAsia="Times New Roman" w:hAnsi="Times New Roman"/>
                <w:b/>
                <w:bCs/>
                <w:color w:val="AACCFF"/>
                <w:sz w:val="20"/>
                <w:szCs w:val="20"/>
              </w:rPr>
              <w:t xml:space="preserve">T4  —  </w:t>
            </w:r>
            <w:r>
              <w:rPr>
                <w:rFonts w:ascii="Times New Roman" w:cs="Times New Roman" w:eastAsia="Times New Roman" w:hAnsi="Times New Roman"/>
                <w:b/>
                <w:bCs/>
                <w:color w:val="FFFFFF"/>
                <w:sz w:val="22"/>
                <w:szCs w:val="22"/>
              </w:rPr>
              <w:t xml:space="preserve">Primacía institucional: Acemoglu, Johnson y Robinson</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Argumento central</w:t>
            </w:r>
          </w:p>
        </w:tc>
        <w:tc>
          <w:tcPr>
            <w:tcW w:type="dxa" w:w="7560"/>
            <w:tcBorders>
              <w:top w:val="single" w:color="CCCCCC" w:sz="2"/>
              <w:left w:val="single" w:color="CCCCCC" w:sz="2"/>
              <w:bottom w:val="single" w:color="CCCCCC" w:sz="2"/>
              <w:right w:val="single" w:color="1F3864" w:sz="6"/>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Las instituciones económicas inclusivas —que protegen los derechos de propiedad, hacen cumplir los contratos y permiten el acceso igualitario al mercado— son el determinante causal dominante del crecimiento de largo plazo. Las instituciones extractivas, heredadas del colonialismo, perpetúan el subdesarrollo. La geografía y los recursos naturales afectan al desarrollo principalmente a través de las instituciones que generan.</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Autores clave</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Acemoglu, Johnson &amp; Robinson (2001): The Colonial Origins of Comparative Development. Rodrik, Subramanian &amp; Trebbi (2004): Institutions Rule.</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Predicción HIPC</w:t>
            </w:r>
          </w:p>
        </w:tc>
        <w:tc>
          <w:tcPr>
            <w:tcW w:type="dxa" w:w="7560"/>
            <w:tcBorders>
              <w:top w:val="single" w:color="CCCCCC" w:sz="2"/>
              <w:left w:val="single" w:color="CCCCCC" w:sz="2"/>
              <w:bottom w:val="single" w:color="CCCCCC" w:sz="2"/>
              <w:right w:val="single" w:color="1F3864" w:sz="6"/>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calidad institucional previa al ingreso en la HIPC debería predecir los resultados post-culminación con mayor poder explicativo que el monto del alivio. El instrumento colonial (ajr_settmort) permite identificar el efecto causal de manera exógena. Fundamenta directamente H6 y H4.</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Limitación</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crítica de Glaeser et al. (2004) señala que el instrumento colonial puede capturar capital humano más que instituciones. Esta tesis aborda esta limitación usando variables V-Dem de gobernanza directa (IGC, IGA) además del instrumento colonial.</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F3864" w:sz="6"/>
              <w:left w:val="single" w:color="1F3864" w:sz="6"/>
              <w:bottom w:val="single" w:color="1F3864" w:sz="6"/>
              <w:right w:val="single" w:color="1F3864" w:sz="6"/>
            </w:tcBorders>
            <w:shd w:fill="17202A" w:val="clear"/>
            <w:tcMar>
              <w:top w:type="dxa" w:w="100"/>
              <w:left w:type="dxa" w:w="200"/>
              <w:bottom w:type="dxa" w:w="80"/>
              <w:right w:type="dxa" w:w="200"/>
            </w:tcMar>
          </w:tcPr>
          <w:p>
            <w:r>
              <w:rPr>
                <w:rFonts w:ascii="Times New Roman" w:cs="Times New Roman" w:eastAsia="Times New Roman" w:hAnsi="Times New Roman"/>
                <w:b/>
                <w:bCs/>
                <w:color w:val="AACCFF"/>
                <w:sz w:val="20"/>
                <w:szCs w:val="20"/>
              </w:rPr>
              <w:t xml:space="preserve">T5  —  </w:t>
            </w:r>
            <w:r>
              <w:rPr>
                <w:rFonts w:ascii="Times New Roman" w:cs="Times New Roman" w:eastAsia="Times New Roman" w:hAnsi="Times New Roman"/>
                <w:b/>
                <w:bCs/>
                <w:color w:val="FFFFFF"/>
                <w:sz w:val="22"/>
                <w:szCs w:val="22"/>
              </w:rPr>
              <w:t xml:space="preserve">Geopolítica de las condicionalidades: Stone y el FMI como arena política</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Argumento central</w:t>
            </w:r>
          </w:p>
        </w:tc>
        <w:tc>
          <w:tcPr>
            <w:tcW w:type="dxa" w:w="7560"/>
            <w:tcBorders>
              <w:top w:val="single" w:color="CCCCCC" w:sz="2"/>
              <w:left w:val="single" w:color="CCCCCC" w:sz="2"/>
              <w:bottom w:val="single" w:color="CCCCCC" w:sz="2"/>
              <w:right w:val="single" w:color="1F3864" w:sz="6"/>
            </w:tcBorders>
            <w:shd w:fill="FAFE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FMI no es un actor neutral: es gobernado por un sistema de cuotas que da a los países más ricos un poder de voto desproporcionado. Esta asimetría se traduce en aplicación selectiva de las condicionalidades: los países estratégicamente importantes para los accionistas dominantes reciben tratamiento más favorable, independientemente de su desempeño técnico.</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Autores clave</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Stone (2008): The Scope of IMF Conditionality. Dreher, Sturm &amp; Vreeland (2009): Development Aid and International Politics. Kentikelenis, Stubbs &amp; King (2016).</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Predicción HIPC</w:t>
            </w:r>
          </w:p>
        </w:tc>
        <w:tc>
          <w:tcPr>
            <w:tcW w:type="dxa" w:w="7560"/>
            <w:tcBorders>
              <w:top w:val="single" w:color="CCCCCC" w:sz="2"/>
              <w:left w:val="single" w:color="CCCCCC" w:sz="2"/>
              <w:bottom w:val="single" w:color="CCCCCC" w:sz="2"/>
              <w:right w:val="single" w:color="1F3864" w:sz="6"/>
            </w:tcBorders>
            <w:shd w:fill="F0F4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La brecha entre condicionalidades formales y cumplimiento efectivo (H3) no se distribuye aleatoriamente: se correlaciona con la proximidad geopolítica a los principales accionistas del FMI. La instrumentación 2SLS con ht_colonial y TradeSaliency permite identificar este efecto causalmente (H4).</w:t>
            </w:r>
          </w:p>
        </w:tc>
      </w:tr>
      <w:tr>
        <w:tc>
          <w:tcPr>
            <w:tcW w:type="dxa" w:w="1800"/>
            <w:tcBorders>
              <w:top w:val="single" w:color="CCCCCC" w:sz="2"/>
              <w:left w:val="single" w:color="1F3864" w:sz="6"/>
              <w:bottom w:val="single" w:color="CCCCCC" w:sz="2"/>
              <w:right w:val="single" w:color="CCCCCC" w:sz="2"/>
            </w:tcBorders>
            <w:shd w:fill="EEF3FB" w:val="clear"/>
            <w:tcMar>
              <w:top w:type="dxa" w:w="80"/>
              <w:left w:type="dxa" w:w="140"/>
              <w:bottom w:type="dxa" w:w="80"/>
              <w:right w:type="dxa" w:w="100"/>
            </w:tcMar>
            <w:vAlign w:val="center"/>
          </w:tcPr>
          <w:p>
            <w:r>
              <w:rPr>
                <w:rFonts w:ascii="Times New Roman" w:cs="Times New Roman" w:eastAsia="Times New Roman" w:hAnsi="Times New Roman"/>
                <w:b/>
                <w:bCs/>
                <w:color w:val="1F3864"/>
                <w:sz w:val="20"/>
                <w:szCs w:val="20"/>
              </w:rPr>
              <w:t xml:space="preserve">Limitación</w:t>
            </w:r>
          </w:p>
        </w:tc>
        <w:tc>
          <w:tcPr>
            <w:tcW w:type="dxa" w:w="7560"/>
            <w:tcBorders>
              <w:top w:val="single" w:color="CCCCCC" w:sz="2"/>
              <w:left w:val="single" w:color="CCCCCC" w:sz="2"/>
              <w:bottom w:val="single" w:color="CCCCCC" w:sz="2"/>
              <w:right w:val="single" w:color="1F3864" w:sz="6"/>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22222"/>
                <w:sz w:val="20"/>
                <w:szCs w:val="20"/>
              </w:rPr>
              <w:t xml:space="preserve">El mecanismo causal es difícil de identificar porque la proximidad geopolítica está correlacionada con otros factores. El diseño 2SLS con instrumentos históricamente predeterminados es la respuesta metodológica adoptada.</w:t>
            </w:r>
          </w:p>
        </w:tc>
      </w:tr>
    </w:tbl>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2.3</w:t>
      </w:r>
    </w:p>
    <w:p>
      <w:pPr>
        <w:spacing w:before="0" w:after="400"/>
        <w:jc w:val="center"/>
      </w:pPr>
      <w:r>
        <w:rPr>
          <w:rFonts w:ascii="Times New Roman" w:cs="Times New Roman" w:eastAsia="Times New Roman" w:hAnsi="Times New Roman"/>
          <w:b/>
          <w:bCs/>
          <w:color w:val="1F3864"/>
          <w:sz w:val="26"/>
          <w:szCs w:val="26"/>
        </w:rPr>
        <w:t xml:space="preserve">Estado del arte empírico: lo que la literatura sabe, lo que no sabe y por qué</w:t>
      </w:r>
    </w:p>
    <w:p>
      <w:pPr>
        <w:pStyle w:val="Heading1"/>
        <w:spacing w:before="480" w:after="200"/>
      </w:pPr>
      <w:r>
        <w:rPr>
          <w:rFonts w:ascii="Times New Roman" w:cs="Times New Roman" w:eastAsia="Times New Roman" w:hAnsi="Times New Roman"/>
          <w:b/>
          <w:bCs/>
          <w:color w:val="1F3864"/>
          <w:sz w:val="28"/>
          <w:szCs w:val="28"/>
        </w:rPr>
        <w:t xml:space="preserve">2.3 Estado del arte empírico: lo que la literatura sabe, lo que no sabe y por qué</w:t>
      </w:r>
    </w:p>
    <w:p>
      <w:pPr>
        <w:spacing w:before="0" w:after="200" w:line="360" w:lineRule="auto"/>
        <w:ind w:firstLine="720"/>
        <w:jc w:val="both"/>
      </w:pPr>
      <w:r>
        <w:rPr>
          <w:rFonts w:ascii="Times New Roman" w:cs="Times New Roman" w:eastAsia="Times New Roman" w:hAnsi="Times New Roman"/>
          <w:sz w:val="24"/>
          <w:szCs w:val="24"/>
        </w:rPr>
        <w:t xml:space="preserve">La revisión de la literatura empírica no es un ejercicio ritual que precede al análisis propio: es el mecanismo por el que una tesis doctoral justifica su existencia. Si todo lo que esta investigación va a encontrar ya está en la literatura, la investigación no tiene razón de ser. Y si la investigación no conoce la literatura, corre el riesgo de descubrir lo que ya se sabe. Esta sección, por tanto, tiene un propósito muy específico: mostrar con precisión dónde termina el conocimiento existente y dónde comienza la contribución de esta tesis.</w:t>
      </w:r>
    </w:p>
    <w:p>
      <w:pPr>
        <w:pStyle w:val="Heading2"/>
        <w:spacing w:before="320" w:after="160"/>
      </w:pPr>
      <w:r>
        <w:rPr>
          <w:rFonts w:ascii="Times New Roman" w:cs="Times New Roman" w:eastAsia="Times New Roman" w:hAnsi="Times New Roman"/>
          <w:b/>
          <w:bCs/>
          <w:color w:val="2E5597"/>
          <w:sz w:val="24"/>
          <w:szCs w:val="24"/>
        </w:rPr>
        <w:t xml:space="preserve">2.3.1 Primera generación: los estudios de impacto inmediato (2000–2010)</w:t>
      </w:r>
    </w:p>
    <w:p>
      <w:pPr>
        <w:spacing w:before="0" w:after="200" w:line="360" w:lineRule="auto"/>
        <w:ind w:firstLine="720"/>
        <w:jc w:val="both"/>
      </w:pPr>
      <w:r>
        <w:rPr>
          <w:rFonts w:ascii="Times New Roman" w:cs="Times New Roman" w:eastAsia="Times New Roman" w:hAnsi="Times New Roman"/>
          <w:sz w:val="24"/>
          <w:szCs w:val="24"/>
        </w:rPr>
        <w:t xml:space="preserve">Los primeros estudios cuantitativos sobre la Iniciativa HIPC se publicaron cuando el proceso estaba todavía en marcha. Esta circunstancia les impuso una limitación severa: no podían observar los efectos de largo plazo del alivio porque el largo plazo aún no había llegado. Sus contribuciones son, no obstante, valiosas porque establecen las líneas de base sobre las que los estudios posteriores construyen.</w:t>
      </w:r>
    </w:p>
    <w:p>
      <w:pPr>
        <w:spacing w:before="0" w:after="200" w:line="360" w:lineRule="auto"/>
        <w:ind w:firstLine="720"/>
        <w:jc w:val="both"/>
      </w:pPr>
      <w:r>
        <w:rPr>
          <w:rFonts w:ascii="Times New Roman" w:cs="Times New Roman" w:eastAsia="Times New Roman" w:hAnsi="Times New Roman"/>
          <w:sz w:val="24"/>
          <w:szCs w:val="24"/>
        </w:rPr>
        <w:t xml:space="preserve">Rainer Hepp (2005), en un artículo que se convirtió en referencia obligada del campo, analizó el impacto del alivio HIPC sobre el ratio deuda/PIB en una muestra de países beneficiarios entre 1996 y 2003. Utilizando regresiones de panel con efectos fijos —el método estándar de la economía de panel para controlar la heterogeneidad no observable entre países— encontró que el alivio produjo una reducción significativa del ratio de endeudamiento en el período inmediato posterior a la culminación, del orden de 15 a 20 puntos porcentuales. Sin embargo, no encontró efectos significativos sobre el crecimiento económico. Este resultado desconectado —la deuda baja, pero el crecimiento no sube— es la primera evidencia empírica de que el mecanismo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no opera de manera automática en estos países.</w:t>
      </w:r>
    </w:p>
    <w:p>
      <w:pPr>
        <w:spacing w:before="0" w:after="200" w:line="360" w:lineRule="auto"/>
        <w:ind w:firstLine="720"/>
        <w:jc w:val="both"/>
      </w:pPr>
      <w:r>
        <w:rPr>
          <w:rFonts w:ascii="Times New Roman" w:cs="Times New Roman" w:eastAsia="Times New Roman" w:hAnsi="Times New Roman"/>
          <w:sz w:val="24"/>
          <w:szCs w:val="24"/>
        </w:rPr>
        <w:t xml:space="preserve">Andrea Presbitero (2009) avanzó significativamente sobre el trabajo de Hepp al introducir la calidad institucional como variable moderadora. Utilizando el WGI compuesto del Banco Mundial como medida de gobernanza, Presbitero mostró que el efecto del alivio sobre el crecimiento existe —en contra de lo que Hepp había encontrado— pero está condicionado a la calidad institucional: el mismo monto de alivio produce efectos positivos significativos en países con mejor gobernanza, y efectos nulos o negativos en países con gobernanza débil. Este es el resultado empírico que más directamente anticipa la hipótesis H6 de esta tesis, aunque Presbitero no podía resolver el problema de endogeneidad de la gobernanza ni extender el análisis al período post-2010.</w:t>
      </w:r>
    </w:p>
    <w:p>
      <w:pPr>
        <w:spacing w:before="0" w:after="200" w:line="360" w:lineRule="auto"/>
        <w:ind w:firstLine="720"/>
        <w:jc w:val="both"/>
      </w:pPr>
      <w:r>
        <w:rPr>
          <w:rFonts w:ascii="Times New Roman" w:cs="Times New Roman" w:eastAsia="Times New Roman" w:hAnsi="Times New Roman"/>
          <w:sz w:val="24"/>
          <w:szCs w:val="24"/>
        </w:rPr>
        <w:t xml:space="preserve">Andreas Freytag y Gernot Pehnelt (2009) abordaron la relación desde el ángulo opuesto: en lugar de estudiar cómo la gobernanza afecta a la efectividad del alivio, estudiaron cómo el alivio afecta a la gobernanza. Sus resultados son igualmente sugerentes: los países con mejor gobernanza antes de la culminación exhiben mejoras institucionales mayores post-HIPC. Esto es lo que los economistas denominan un </w:t>
      </w:r>
      <w:r>
        <w:rPr>
          <w:rFonts w:ascii="Times New Roman" w:cs="Times New Roman" w:eastAsia="Times New Roman" w:hAnsi="Times New Roman"/>
          <w:i/>
          <w:iCs/>
          <w:sz w:val="24"/>
          <w:szCs w:val="24"/>
        </w:rPr>
        <w:t xml:space="preserve">efecto complementario</w:t>
      </w:r>
      <w:r>
        <w:rPr>
          <w:rFonts w:ascii="Times New Roman" w:cs="Times New Roman" w:eastAsia="Times New Roman" w:hAnsi="Times New Roman"/>
          <w:sz w:val="24"/>
          <w:szCs w:val="24"/>
        </w:rPr>
        <w:t xml:space="preserve">: el alivio y las instituciones no son sustitutos —como si el alivio pudiera compensar la debilidad institucional— sino complementos: el alivio funciona mejor donde las instituciones son más fuertes. Pero Freytag y Pehnelt tampoco resuelven la endogeneidad, y su horizonte temporal es demasiado corto para capturar el ciclo de reendeudamiento.</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1860"/>
        <w:gridCol w:w="3300"/>
      </w:tblGrid>
      <w:tr>
        <w:tc>
          <w:tcPr>
            <w:tcW w:type="dxa" w:w="18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Estudio</w:t>
            </w:r>
          </w:p>
        </w:tc>
        <w:tc>
          <w:tcPr>
            <w:tcW w:type="dxa" w:w="9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Período</w:t>
            </w:r>
          </w:p>
        </w:tc>
        <w:tc>
          <w:tcPr>
            <w:tcW w:type="dxa" w:w="15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Método</w:t>
            </w:r>
          </w:p>
        </w:tc>
        <w:tc>
          <w:tcPr>
            <w:tcW w:type="dxa" w:w="186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Variable dep.</w:t>
            </w:r>
          </w:p>
        </w:tc>
        <w:tc>
          <w:tcPr>
            <w:tcW w:type="dxa" w:w="33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Hallazgo principal</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Hepp (2005)</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1996–2003</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Panel EF</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Ratio deuda/PIB</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Alivio reduce endeudamiento 15–20 pp. Sin efecto sobre crecimiento. Primera evidencia de desconexión entre reducción de deuda y crecimiento.</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Presbitero (2009)</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1990–2007</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Panel EF + IV parcial</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Crecimiento PIB</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Efecto del alivio condicionado a calidad institucional (WGI). Sin instituciones sólidas, efecto nulo. Anticipa H6. No resuelve endogeneidad de gobernanza.</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Freytag &amp; Pehnelt (2009)</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1996–2006</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Panel EF</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WGI compuesto</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Países con mejor gobernanza previa exhiben mayor mejora institucional post-HIPC. Efecto complementario. Horizonte temporal insuficiente.</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Cordella et al. (2010)</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1989–2006</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Panel GMM</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Inversión/PIB</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Sin efecto del debt overhang sobre inversión en países HIPC. Mecanismo de T2 no opera automáticamente. Cuestiona la lógica financiera pura.</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Chauvin &amp; Kraay (2005)</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1996–2004</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Antes/después</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Gasto social/PIB</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Gasto social aumenta post-HIPC. Sin grupo de control creíble: no identifica efecto causal del alivio.</w:t>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Lo que estos cinco estudios tienen en común, más allá de sus hallazgos específicos, es una limitación metodológica estructural: ninguno construye un contrafactual creíble. La pregunta que subyace a todos ellos es ¿qué hubiera pasado con estos países si no hubieran recibido el alivio? Sin poder responder esa pregunta, es imposible separar el efecto causal del alivio de los efectos de otros factores que ocurrieron al mismo tiempo —el boom de commodities, la mejora de los términos de intercambio, la expansión de la ayuda al desarrollo. Esta es la brecha metodológica que el control sintético y el estimador de Callaway y Sant'Anna, aplicados en el Capítulo 4 de esta tesis, vienen a cerrar.</w:t>
      </w:r>
    </w:p>
    <w:p>
      <w:pPr>
        <w:pStyle w:val="Heading2"/>
        <w:spacing w:before="320" w:after="160"/>
      </w:pPr>
      <w:r>
        <w:rPr>
          <w:rFonts w:ascii="Times New Roman" w:cs="Times New Roman" w:eastAsia="Times New Roman" w:hAnsi="Times New Roman"/>
          <w:b/>
          <w:bCs/>
          <w:color w:val="2E5597"/>
          <w:sz w:val="24"/>
          <w:szCs w:val="24"/>
        </w:rPr>
        <w:t xml:space="preserve">2.3.2 Segunda generación: condicionalidades, gobernanza y efectos sociales (2010–2018)</w:t>
      </w:r>
    </w:p>
    <w:p>
      <w:pPr>
        <w:spacing w:before="0" w:after="200" w:line="360" w:lineRule="auto"/>
        <w:ind w:firstLine="720"/>
        <w:jc w:val="both"/>
      </w:pPr>
      <w:r>
        <w:rPr>
          <w:rFonts w:ascii="Times New Roman" w:cs="Times New Roman" w:eastAsia="Times New Roman" w:hAnsi="Times New Roman"/>
          <w:sz w:val="24"/>
          <w:szCs w:val="24"/>
        </w:rPr>
        <w:t xml:space="preserve">La segunda generación de estudios se beneficia de un horizonte temporal más largo y de bases de datos más completas. Sus contribuciones más importantes se concentran en tres temas: la política de las condicionalidades, los efectos sobre el bienestar social, y la relación entre el alivio y la gobernanza institucional.</w:t>
      </w:r>
    </w:p>
    <w:p>
      <w:pPr>
        <w:spacing w:before="0" w:after="200" w:line="360" w:lineRule="auto"/>
        <w:ind w:firstLine="720"/>
        <w:jc w:val="both"/>
      </w:pPr>
      <w:r>
        <w:rPr>
          <w:rFonts w:ascii="Times New Roman" w:cs="Times New Roman" w:eastAsia="Times New Roman" w:hAnsi="Times New Roman"/>
          <w:sz w:val="24"/>
          <w:szCs w:val="24"/>
        </w:rPr>
        <w:t xml:space="preserve">Alexander Kentikelenis, Thomas Stubbs y Lawrence King (2016) publicaron el estudio más completo sobre las condicionalidades del FMI entre 1985 y 2014, construyendo una base de datos que codifica más de 55.000 condicionalidades individuales en 131 países. Sus hallazgos sobre los países HIPC son reveladores: la tasa de cumplimiento de las condicionalidades estructurales —aquellas que exigían reformas de política económica, no solo objetivos macroeconómicos— fue inferior al 60% en promedio. Esto significa que la mayoría de los países recibieron el alivio sin haber implementado la mayoría de las reformas que se habían comprometido a implementar. La brecha no se distribuye aleatoriamente: los países con mayor importancia geopolítica para los accionistas dominantes del FMI recibieron más </w:t>
      </w:r>
      <w:r>
        <w:rPr>
          <w:rFonts w:ascii="Times New Roman" w:cs="Times New Roman" w:eastAsia="Times New Roman" w:hAnsi="Times New Roman"/>
          <w:i/>
          <w:iCs/>
          <w:sz w:val="24"/>
          <w:szCs w:val="24"/>
        </w:rPr>
        <w:t xml:space="preserve">waivers</w:t>
      </w:r>
      <w:r>
        <w:rPr>
          <w:rFonts w:ascii="Times New Roman" w:cs="Times New Roman" w:eastAsia="Times New Roman" w:hAnsi="Times New Roman"/>
          <w:sz w:val="24"/>
          <w:szCs w:val="24"/>
        </w:rPr>
        <w:t xml:space="preserve"> —dispensas por incumplimiento— que los países de menor relevancia estratégica.</w:t>
      </w:r>
    </w:p>
    <w:p>
      <w:pPr>
        <w:spacing w:before="0" w:after="200" w:line="360" w:lineRule="auto"/>
        <w:ind w:firstLine="720"/>
        <w:jc w:val="both"/>
      </w:pPr>
      <w:r>
        <w:rPr>
          <w:rFonts w:ascii="Times New Roman" w:cs="Times New Roman" w:eastAsia="Times New Roman" w:hAnsi="Times New Roman"/>
          <w:sz w:val="24"/>
          <w:szCs w:val="24"/>
        </w:rPr>
        <w:t xml:space="preserve">Randall Stone (2008) había demostrado ya, con una muestra más pequeña y para el período 1992–2002, que la cuota de voto en el FMI y el alineamiento en la Asamblea General de la ONU son predictores significativos del otorgamiento de waivers. Su hallazgo es políticamente incómodo pero empíricamente robusto: el FMI aplica sus propias reglas de manera desigual en función de consideraciones políticas que no tienen relación con el desempeño técnico de los países. Esta evidencia es el fundamento empírico de la hipótesis H4 de esta tesis.</w:t>
      </w:r>
    </w:p>
    <w:p>
      <w:pPr>
        <w:spacing w:before="0" w:after="200" w:line="360" w:lineRule="auto"/>
        <w:ind w:firstLine="720"/>
        <w:jc w:val="both"/>
      </w:pPr>
      <w:r>
        <w:rPr>
          <w:rFonts w:ascii="Times New Roman" w:cs="Times New Roman" w:eastAsia="Times New Roman" w:hAnsi="Times New Roman"/>
          <w:sz w:val="24"/>
          <w:szCs w:val="24"/>
        </w:rPr>
        <w:t xml:space="preserve">Gisèle Dijkstra (2008) realizó estudios de caso comparados en Bolivia, Honduras y Nicaragua —los tres países latinoamericanos que completaron la HIPC más tempranamente— y documentó una paradoja que la literatura cuantitativa había pasado por alto: el alivio incrementó el gasto en educación y salud, pero los resultados en bienestar social fueron significativamente mejores en Honduras y Bolivia que en Nicaragua. ¿Cuál era la diferencia? El contexto político e institucional. Honduras y Bolivia tenían gobiernos con mayor voluntad política de aplicar los compromisos del PRSP y mecanismos de rendición de cuentas suficientemente funcionales para garantizar que el gasto llegara efectivamente a los servicios sociales. Nicaragua tenía el mismo compromiso formal pero instituciones más débiles para implementarlo.</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1860"/>
        <w:gridCol w:w="3300"/>
      </w:tblGrid>
      <w:tr>
        <w:tc>
          <w:tcPr>
            <w:tcW w:type="dxa" w:w="18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Estudio</w:t>
            </w:r>
          </w:p>
        </w:tc>
        <w:tc>
          <w:tcPr>
            <w:tcW w:type="dxa" w:w="9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Período</w:t>
            </w:r>
          </w:p>
        </w:tc>
        <w:tc>
          <w:tcPr>
            <w:tcW w:type="dxa" w:w="15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Método</w:t>
            </w:r>
          </w:p>
        </w:tc>
        <w:tc>
          <w:tcPr>
            <w:tcW w:type="dxa" w:w="186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Variable dep.</w:t>
            </w:r>
          </w:p>
        </w:tc>
        <w:tc>
          <w:tcPr>
            <w:tcW w:type="dxa" w:w="33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Hallazgo principal</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Kentikelenis et al. (2016)</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1985–2014</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Análisis de contenido + regresión</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Cumplimiento de condicionalidades</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Tasa de cumplimiento &lt;60%. Los países geopolíticamente importantes reciben más waivers. Base de datos de 55.000 condicionalidades. Fundamento empírico de H3 y H4.</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Stone (2008)</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1992–2002</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Probit + IV</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Probabilidad de waiver</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Cuota de voto en FMI y alineamiento AGNU predicen waivers. Efecto geopolítico robusto. Anticipa el instrumento TradeSaliency de H4.</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Dijkstra (2008)</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1996–2007</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Estudio de caso comparado</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IDH, mortalidad infantil</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En Bolivia, Honduras y Nicaragua, la calidad institucional explica la heterogeneidad de los resultados sociales. Caso emblemático para la motivación de H5 y H6.</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Mishra &amp; Newhouse (2009)</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1990–2006</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Panel EF</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Mortalidad infantil</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Gasto en salud tiene efecto positivo pero pequeño sobre mortalidad. El efecto es mayor con mejor calidad institucional. Consistente con el mecanismo moderador de H5.</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Arslanalp &amp; Henry (2006)</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1989–2004</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Event study</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Retorno acciones</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El anuncio de alivio tiene efecto positivo sobre el valor del sector privado. Evidencia del mecanismo del debt overhang. Horizonte muy corto.</w:t>
            </w:r>
          </w:p>
        </w:tc>
      </w:tr>
    </w:tbl>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2.3.3 Tercera generación: nueva arquitectura de deuda y reendeudamiento (2018–2023)</w:t>
      </w:r>
    </w:p>
    <w:p>
      <w:pPr>
        <w:spacing w:before="0" w:after="200" w:line="360" w:lineRule="auto"/>
        <w:ind w:firstLine="720"/>
        <w:jc w:val="both"/>
      </w:pPr>
      <w:r>
        <w:rPr>
          <w:rFonts w:ascii="Times New Roman" w:cs="Times New Roman" w:eastAsia="Times New Roman" w:hAnsi="Times New Roman"/>
          <w:sz w:val="24"/>
          <w:szCs w:val="24"/>
        </w:rPr>
        <w:t xml:space="preserve">La tercera generación de estudios es la más reciente y la que más directamente dialoga con las hipótesis de esta tesis. Su emergencia no es casual: es la respuesta de la academia al fenómeno del reendeudamiento masivo post-HIPC, que se hizo imposible de ignorar a partir del default de Zambia en 2020 y de Ghana en 2022.</w:t>
      </w:r>
    </w:p>
    <w:p>
      <w:pPr>
        <w:spacing w:before="0" w:after="200" w:line="360" w:lineRule="auto"/>
        <w:ind w:firstLine="720"/>
        <w:jc w:val="both"/>
      </w:pPr>
      <w:r>
        <w:rPr>
          <w:rFonts w:ascii="Times New Roman" w:cs="Times New Roman" w:eastAsia="Times New Roman" w:hAnsi="Times New Roman"/>
          <w:sz w:val="24"/>
          <w:szCs w:val="24"/>
        </w:rPr>
        <w:t xml:space="preserve">Sebastian Horn, Carmen Reinhart y Christoph Trebesch (2021) publicaron el estudio más completo sobre los préstamos chinos a países en desarrollo, cubriendo el período 2000–2017. Su contribución principal no es solo empírica —documentar la magnitud del fenómeno— sino conceptual: demuestran que China se ha convertido en el mayor acreedor bilateral del mundo para los países de bajos ingresos, superando incluso a las instituciones de Bretton Woods en algunas regiones. Para los países post-HIPC específicamente, Horn et al. muestran que el flujo de préstamos chinos se aceleró precisamente en los años siguientes a la culminación de la iniciativa, consistente con el mecanismo de señal de solvencia que H7 propone.</w:t>
      </w:r>
    </w:p>
    <w:p>
      <w:pPr>
        <w:spacing w:before="0" w:after="200" w:line="360" w:lineRule="auto"/>
        <w:ind w:firstLine="720"/>
        <w:jc w:val="both"/>
      </w:pPr>
      <w:r>
        <w:rPr>
          <w:rFonts w:ascii="Times New Roman" w:cs="Times New Roman" w:eastAsia="Times New Roman" w:hAnsi="Times New Roman"/>
          <w:sz w:val="24"/>
          <w:szCs w:val="24"/>
        </w:rPr>
        <w:t xml:space="preserve">Anna Gelpern y sus colegas (2021) complementaron este trabajo con un análisis sin precedentes de los contratos de deuda china: obtuvieron y codificaron 100 contratos de préstamo del Banco Exim de China y el Banco de Desarrollo de China con gobiernos de 24 países. Sus hallazgos son perturbadores: los contratos contienen cláusulas de confidencialidad que prohíben al gobierno deudor revelar los términos del préstamo a otros acreedores; cláusulas de aceleración que permiten al prestamista exigir el reembolso inmediato en caso de cambio de política económica; y cláusulas de colateral que en algunos casos dan al prestamista acceso prioritario a los ingresos de recursos naturales. Estas características hacen que los préstamos chinos sean difícilmente reestructurables en el marco del G20 Common Framework, que requiere la participación de todos los acreedores en condiciones comparables.</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1860"/>
        <w:gridCol w:w="3300"/>
      </w:tblGrid>
      <w:tr>
        <w:tc>
          <w:tcPr>
            <w:tcW w:type="dxa" w:w="18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Estudio</w:t>
            </w:r>
          </w:p>
        </w:tc>
        <w:tc>
          <w:tcPr>
            <w:tcW w:type="dxa" w:w="9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Período</w:t>
            </w:r>
          </w:p>
        </w:tc>
        <w:tc>
          <w:tcPr>
            <w:tcW w:type="dxa" w:w="15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Método</w:t>
            </w:r>
          </w:p>
        </w:tc>
        <w:tc>
          <w:tcPr>
            <w:tcW w:type="dxa" w:w="186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Variable dep.</w:t>
            </w:r>
          </w:p>
        </w:tc>
        <w:tc>
          <w:tcPr>
            <w:tcW w:type="dxa" w:w="330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Hallazgo principal</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Horn et al. (2021)</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2000–2017</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Estadística descriptiva + regresión</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Stock deuda China</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China es el mayor acreedor bilateral del mundo. Los préstamos a países post-HIPC se aceleran tras la culminación. Consistente con el mecanismo de señal de solvencia de H7.</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Gelpern et al. (2021)</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2000–2021</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Análisis de contratos</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Cláusulas contractuales</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Los contratos chinos contienen cláusulas de confidencialidad, aceleración y colateral atípicas. Dificultan la reestructuración en el marco del G20 CF. Hallazgo clave para H7.</w:t>
            </w:r>
          </w:p>
        </w:tc>
      </w:tr>
      <w:tr>
        <w:tc>
          <w:tcPr>
            <w:tcW w:type="dxa" w:w="18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Prizzon &amp; Mustapha (2014)</w:t>
            </w:r>
          </w:p>
        </w:tc>
        <w:tc>
          <w:tcPr>
            <w:tcW w:type="dxa" w:w="900"/>
            <w:tcBorders>
              <w:top w:val="single" w:color="CCCCCC" w:sz="2"/>
              <w:left w:val="single" w:color="CCCCCC" w:sz="2"/>
              <w:bottom w:val="single" w:color="CCCCCC" w:sz="2"/>
              <w:right w:val="single" w:color="CCCCCC" w:sz="2"/>
            </w:tcBorders>
            <w:shd w:fill="EEF3FB"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2007–2014</w:t>
            </w:r>
          </w:p>
        </w:tc>
        <w:tc>
          <w:tcPr>
            <w:tcW w:type="dxa" w:w="15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Descriptivo</w:t>
            </w:r>
          </w:p>
        </w:tc>
        <w:tc>
          <w:tcPr>
            <w:tcW w:type="dxa" w:w="18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Emisión de eurobonos</w:t>
            </w:r>
          </w:p>
        </w:tc>
        <w:tc>
          <w:tcPr>
            <w:tcW w:type="dxa" w:w="33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12 países post-HIPC emitieron eurobonos entre 2007 y 2014. Spreads menores que en el período pre-HIPC, consistente con señal de solvencia restaurada. Anticipa la paradoja de H7.</w:t>
            </w:r>
          </w:p>
        </w:tc>
      </w:tr>
      <w:tr>
        <w:tc>
          <w:tcPr>
            <w:tcW w:type="dxa" w:w="18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222222"/>
                <w:sz w:val="17"/>
                <w:szCs w:val="17"/>
              </w:rPr>
              <w:t xml:space="preserve">Reinhart et al. (2016)</w:t>
            </w:r>
          </w:p>
        </w:tc>
        <w:tc>
          <w:tcPr>
            <w:tcW w:type="dxa" w:w="900"/>
            <w:tcBorders>
              <w:top w:val="single" w:color="CCCCCC" w:sz="2"/>
              <w:left w:val="single" w:color="CCCCCC" w:sz="2"/>
              <w:bottom w:val="single" w:color="CCCCCC" w:sz="2"/>
              <w:right w:val="single" w:color="CCCCCC" w:sz="2"/>
            </w:tcBorders>
            <w:shd w:fill="F7FAFF" w:val="clear"/>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222222"/>
                <w:sz w:val="17"/>
                <w:szCs w:val="17"/>
              </w:rPr>
              <w:t xml:space="preserve">1815–2015</w:t>
            </w:r>
          </w:p>
        </w:tc>
        <w:tc>
          <w:tcPr>
            <w:tcW w:type="dxa" w:w="15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Análisis histórico</w:t>
            </w:r>
          </w:p>
        </w:tc>
        <w:tc>
          <w:tcPr>
            <w:tcW w:type="dxa" w:w="186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Ciclos de default</w:t>
            </w:r>
          </w:p>
        </w:tc>
        <w:tc>
          <w:tcPr>
            <w:tcW w:type="dxa" w:w="3300"/>
            <w:tcBorders>
              <w:top w:val="single" w:color="CCCCCC" w:sz="2"/>
              <w:left w:val="single" w:color="CCCCCC" w:sz="2"/>
              <w:bottom w:val="single" w:color="CCCCCC" w:sz="2"/>
              <w:right w:val="single" w:color="CCCCCC" w:sz="2"/>
            </w:tcBorders>
            <w:shd w:fill="FAFAFA"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222222"/>
                <w:sz w:val="17"/>
                <w:szCs w:val="17"/>
              </w:rPr>
              <w:t xml:space="preserve">Los ciclos de endeudamiento y default son recurrentes. La HIPC no rompió el ciclo sino que lo reinició con nueva base de acreedores. Fundamento histórico de H7.</w:t>
            </w:r>
          </w:p>
        </w:tc>
      </w:tr>
    </w:tbl>
    <w:p>
      <w:pPr>
        <w:spacing w:before="0" w:after="0" w:line="240"/>
      </w:pPr>
      <w:r>
        <w:t xml:space="preserve"/>
      </w:r>
    </w:p>
    <w:p>
      <w:pPr>
        <w:pStyle w:val="Heading2"/>
        <w:spacing w:before="320" w:after="160"/>
      </w:pPr>
      <w:r>
        <w:rPr>
          <w:rFonts w:ascii="Times New Roman" w:cs="Times New Roman" w:eastAsia="Times New Roman" w:hAnsi="Times New Roman"/>
          <w:b/>
          <w:bCs/>
          <w:color w:val="2E5597"/>
          <w:sz w:val="24"/>
          <w:szCs w:val="24"/>
        </w:rPr>
        <w:t xml:space="preserve">2.3.4 Lo que la literatura no ha resuelto: las cuatro brechas</w:t>
      </w:r>
    </w:p>
    <w:p>
      <w:pPr>
        <w:spacing w:before="0" w:after="200" w:line="360" w:lineRule="auto"/>
        <w:ind w:firstLine="720"/>
        <w:jc w:val="both"/>
      </w:pPr>
      <w:r>
        <w:rPr>
          <w:rFonts w:ascii="Times New Roman" w:cs="Times New Roman" w:eastAsia="Times New Roman" w:hAnsi="Times New Roman"/>
          <w:sz w:val="24"/>
          <w:szCs w:val="24"/>
        </w:rPr>
        <w:t xml:space="preserve">La revisión de las tres generaciones de estudios permite identificar con precisión las cuatro brechas que esta tesis aspira a cerrar. No son omisiones descuidadas de los autores previos: son, en su mayoría, limitaciones estructurales impuestas por la disponibilidad de datos y la sofisticación metodológica del momento en que se escribieron los estudios.</w:t>
      </w:r>
    </w:p>
    <w:p>
      <w:pPr>
        <w:spacing w:before="0" w:after="200" w:line="360" w:lineRule="auto"/>
        <w:ind w:firstLine="720"/>
        <w:jc w:val="both"/>
      </w:pPr>
      <w:r>
        <w:rPr>
          <w:rFonts w:ascii="Times New Roman" w:cs="Times New Roman" w:eastAsia="Times New Roman" w:hAnsi="Times New Roman"/>
          <w:b/>
          <w:bCs/>
          <w:sz w:val="24"/>
          <w:szCs w:val="24"/>
        </w:rPr>
        <w:t xml:space="preserve">Brecha 1 — Horizonte temporal: el ciclo completo no había ocurrido todavía. </w:t>
      </w:r>
      <w:r>
        <w:rPr>
          <w:rFonts w:ascii="Times New Roman" w:cs="Times New Roman" w:eastAsia="Times New Roman" w:hAnsi="Times New Roman"/>
          <w:sz w:val="24"/>
          <w:szCs w:val="24"/>
        </w:rPr>
        <w:t xml:space="preserve">Los estudios de la primera y segunda generación no podían observar el período 2015–2022, que es cuando el reendeudamiento con China y los mercados de bonos produce sus efectos más visibles. Esta no es una crítica a esos estudios: simplemente no podían analizar lo que aún no había ocurrido. Esta tesis, al extender el período hasta 2022, ofrece la primera evaluación cuantitativa del ciclo completo de la HIPC, incluyendo su fase de reendeudamiento.</w:t>
      </w:r>
    </w:p>
    <w:p>
      <w:pPr>
        <w:spacing w:before="0" w:after="200" w:line="360" w:lineRule="auto"/>
        <w:ind w:firstLine="720"/>
        <w:jc w:val="both"/>
      </w:pPr>
      <w:r>
        <w:rPr>
          <w:rFonts w:ascii="Times New Roman" w:cs="Times New Roman" w:eastAsia="Times New Roman" w:hAnsi="Times New Roman"/>
          <w:b/>
          <w:bCs/>
          <w:sz w:val="24"/>
          <w:szCs w:val="24"/>
        </w:rPr>
        <w:t xml:space="preserve">Brecha 2 — Identificación causal: sin contrafactual, no hay efecto causal. </w:t>
      </w:r>
      <w:r>
        <w:rPr>
          <w:rFonts w:ascii="Times New Roman" w:cs="Times New Roman" w:eastAsia="Times New Roman" w:hAnsi="Times New Roman"/>
          <w:sz w:val="24"/>
          <w:szCs w:val="24"/>
        </w:rPr>
        <w:t xml:space="preserve">Ninguno de los estudios revisados construye un contrafactual creíble para identificar el efecto causal del alivio. Las regresiones de panel con efectos fijos controlan la heterogeneidad no observable entre países, pero no resuelven el problema de que los países que completaron la HIPC no son comparables a los que no lo hicieron. El método de control sintético y el estimador de Callaway y Sant'Anna, que se aplican en el Capítulo 4, abordan este problema de manera directa.</w:t>
      </w:r>
    </w:p>
    <w:p>
      <w:pPr>
        <w:spacing w:before="0" w:after="200" w:line="360" w:lineRule="auto"/>
        <w:ind w:firstLine="720"/>
        <w:jc w:val="both"/>
      </w:pPr>
      <w:r>
        <w:rPr>
          <w:rFonts w:ascii="Times New Roman" w:cs="Times New Roman" w:eastAsia="Times New Roman" w:hAnsi="Times New Roman"/>
          <w:b/>
          <w:bCs/>
          <w:sz w:val="24"/>
          <w:szCs w:val="24"/>
        </w:rPr>
        <w:t xml:space="preserve">Brecha 3 — Gobernanza previa al programa: el WGI no alcanza. </w:t>
      </w:r>
      <w:r>
        <w:rPr>
          <w:rFonts w:ascii="Times New Roman" w:cs="Times New Roman" w:eastAsia="Times New Roman" w:hAnsi="Times New Roman"/>
          <w:sz w:val="24"/>
          <w:szCs w:val="24"/>
        </w:rPr>
        <w:t xml:space="preserve">El índice WGI del Banco Mundial, que es la medida de gobernanza más usada en la literatura, existe solo desde 1996 —el mismo año de inicio de la HIPC. Esto significa que para los países que culminaron en 2000–2004, la única ventana de gobernanza "previa" disponible con WGI son cuatro u ocho años. Esta tesis construye los índices IGC e IGA a partir del QoG Institute, con series V-Dem que arrancan en 1900, lo que permite medir la gobernanza estructural de los países en los veinte o treinta años anteriores al ingreso en la HIPC.</w:t>
      </w:r>
    </w:p>
    <w:p>
      <w:pPr>
        <w:spacing w:before="0" w:after="200" w:line="360" w:lineRule="auto"/>
        <w:ind w:firstLine="720"/>
        <w:jc w:val="both"/>
      </w:pPr>
      <w:r>
        <w:rPr>
          <w:rFonts w:ascii="Times New Roman" w:cs="Times New Roman" w:eastAsia="Times New Roman" w:hAnsi="Times New Roman"/>
          <w:b/>
          <w:bCs/>
          <w:sz w:val="24"/>
          <w:szCs w:val="24"/>
        </w:rPr>
        <w:t xml:space="preserve">Brecha 4 — Análisis de dominancia: ¿cuánto más importante son las instituciones que el alivio? </w:t>
      </w:r>
      <w:r>
        <w:rPr>
          <w:rFonts w:ascii="Times New Roman" w:cs="Times New Roman" w:eastAsia="Times New Roman" w:hAnsi="Times New Roman"/>
          <w:sz w:val="24"/>
          <w:szCs w:val="24"/>
        </w:rPr>
        <w:t xml:space="preserve">La pregunta central de H6 —si la calidad institucional domina sobre el monto del alivio— no puede responderse con regresiones estándar, porque los coeficientes de regresión son sensibles a la escala de las variables y a la presencia de correlación entre ellas. El análisis de dominancia (Budescu, 1993; Azen y Budescu, 2003) descompone el R² del modelo en contribuciones individuales de cada predictor, eliminando esta ambigüedad. Ningún estudio previo sobre la HIPC ha aplicado esta técnica.</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2.4</w:t>
      </w:r>
    </w:p>
    <w:p>
      <w:pPr>
        <w:spacing w:before="0" w:after="400"/>
        <w:jc w:val="center"/>
      </w:pPr>
      <w:r>
        <w:rPr>
          <w:rFonts w:ascii="Times New Roman" w:cs="Times New Roman" w:eastAsia="Times New Roman" w:hAnsi="Times New Roman"/>
          <w:b/>
          <w:bCs/>
          <w:color w:val="1F3864"/>
          <w:sz w:val="26"/>
          <w:szCs w:val="26"/>
        </w:rPr>
        <w:t xml:space="preserve">El análisis estructural MICMAC: ver el sistema antes de modelarlo</w:t>
      </w:r>
    </w:p>
    <w:p>
      <w:pPr>
        <w:pStyle w:val="Heading1"/>
        <w:spacing w:before="480" w:after="200"/>
      </w:pPr>
      <w:r>
        <w:rPr>
          <w:rFonts w:ascii="Times New Roman" w:cs="Times New Roman" w:eastAsia="Times New Roman" w:hAnsi="Times New Roman"/>
          <w:b/>
          <w:bCs/>
          <w:color w:val="1F3864"/>
          <w:sz w:val="28"/>
          <w:szCs w:val="28"/>
        </w:rPr>
        <w:t xml:space="preserve">2.4 El análisis estructural MICMAC: ver el sistema antes de modelarlo</w:t>
      </w:r>
    </w:p>
    <w:p>
      <w:pPr>
        <w:pStyle w:val="Heading2"/>
        <w:spacing w:before="320" w:after="160"/>
      </w:pPr>
      <w:r>
        <w:rPr>
          <w:rFonts w:ascii="Times New Roman" w:cs="Times New Roman" w:eastAsia="Times New Roman" w:hAnsi="Times New Roman"/>
          <w:b/>
          <w:bCs/>
          <w:color w:val="2E5597"/>
          <w:sz w:val="24"/>
          <w:szCs w:val="24"/>
        </w:rPr>
        <w:t xml:space="preserve">2.4.1 ¿Por qué necesitamos una herramienta sistémica antes de los modelos econométricos?</w:t>
      </w:r>
    </w:p>
    <w:p>
      <w:pPr>
        <w:spacing w:before="0" w:after="200" w:line="360" w:lineRule="auto"/>
        <w:ind w:firstLine="720"/>
        <w:jc w:val="both"/>
      </w:pPr>
      <w:r>
        <w:rPr>
          <w:rFonts w:ascii="Times New Roman" w:cs="Times New Roman" w:eastAsia="Times New Roman" w:hAnsi="Times New Roman"/>
          <w:sz w:val="24"/>
          <w:szCs w:val="24"/>
        </w:rPr>
        <w:t xml:space="preserve">Los modelos econométricos son poderosos, pero tienen una limitación que raramente se menciona en las tesis que los aplican: para funcionar bien, necesitan que el investigador sepa de antemano qué variables incluir como independientes, cuáles como dependientes y cuáles como controles. Si se incluye una variable que en realidad es un resultado del sistema —y no una causa— el modelo produce resultados sesgados. Si se omite una variable que sí es una causa, se produce omisión de variable relevante. Y si se incluyen dos variables que están tan correlacionadas entre sí que miden esencialmente lo mismo, el modelo no puede distinguir sus efectos individuales.</w:t>
      </w:r>
    </w:p>
    <w:p>
      <w:pPr>
        <w:spacing w:before="0" w:after="200" w:line="360" w:lineRule="auto"/>
        <w:ind w:firstLine="720"/>
        <w:jc w:val="both"/>
      </w:pPr>
      <w:r>
        <w:rPr>
          <w:rFonts w:ascii="Times New Roman" w:cs="Times New Roman" w:eastAsia="Times New Roman" w:hAnsi="Times New Roman"/>
          <w:sz w:val="24"/>
          <w:szCs w:val="24"/>
        </w:rPr>
        <w:t xml:space="preserve">En el sistema que esta tesis analiza —la relación entre gobernanza, alivio de deuda y resultados post-HIPC— hay doce variables que potencialmente influyen entre sí de maneras que no son siempre obvias. La calidad institucional afecta al crecimiento, pero el crecimiento también puede mejorar las instituciones. La apertura comercial puede mejorar la gobernanza a través de la exposición a normas internacionales, pero la gobernanza puede facilitar la apertura comercial al hacer más predecible el marco jurídico. El análisis estructural MICMAC —</w:t>
      </w:r>
      <w:r>
        <w:rPr>
          <w:rFonts w:ascii="Times New Roman" w:cs="Times New Roman" w:eastAsia="Times New Roman" w:hAnsi="Times New Roman"/>
          <w:i/>
          <w:iCs/>
          <w:sz w:val="24"/>
          <w:szCs w:val="24"/>
        </w:rPr>
        <w:t xml:space="preserve">Matrice d'Impacts Croisés: Multiplication Appliquée à un Classement</w:t>
      </w:r>
      <w:r>
        <w:rPr>
          <w:rFonts w:ascii="Times New Roman" w:cs="Times New Roman" w:eastAsia="Times New Roman" w:hAnsi="Times New Roman"/>
          <w:sz w:val="24"/>
          <w:szCs w:val="24"/>
        </w:rPr>
        <w:t xml:space="preserve">— es la herramienta que permite mapear estas relaciones antes de especificar los modelos, asegurando que las decisiones de especificación tienen una base sistémica y no solo una base convencional.</w:t>
      </w:r>
    </w:p>
    <w:p>
      <w:pPr>
        <w:spacing w:before="0" w:after="200" w:line="360" w:lineRule="auto"/>
        <w:ind w:firstLine="720"/>
        <w:jc w:val="both"/>
      </w:pPr>
      <w:r>
        <w:rPr>
          <w:rFonts w:ascii="Times New Roman" w:cs="Times New Roman" w:eastAsia="Times New Roman" w:hAnsi="Times New Roman"/>
          <w:sz w:val="24"/>
          <w:szCs w:val="24"/>
        </w:rPr>
        <w:t xml:space="preserve">La herramienta fue desarrollada por Michel Godet (1993) en el contexto de la prospectiva estratégica francesa —el análisis de escenarios futuros para la planificación empresarial y territorial— pero su lógica es transferible al análisis econométrico cuando el investigador se enfrenta a un sistema complejo de relaciones potencialmente circulares. Lo que el MICMAC hace es, esencialmente, preguntarse: en este sistema de doce variables, ¿cuáles son las que mueven a las demás? ¿Cuáles son las que son movidas? ¿Cuáles son al mismo tiempo motor y resultado? Y, crucialmente: ¿cuáles están tan desconectadas del resto que incluirlas como determinantes estructurales sería un error?</w:t>
      </w:r>
    </w:p>
    <w:p>
      <w:pPr>
        <w:pStyle w:val="Heading2"/>
        <w:spacing w:before="320" w:after="160"/>
      </w:pPr>
      <w:r>
        <w:rPr>
          <w:rFonts w:ascii="Times New Roman" w:cs="Times New Roman" w:eastAsia="Times New Roman" w:hAnsi="Times New Roman"/>
          <w:b/>
          <w:bCs/>
          <w:color w:val="2E5597"/>
          <w:sz w:val="24"/>
          <w:szCs w:val="24"/>
        </w:rPr>
        <w:t xml:space="preserve">2.4.2 La lógica del plano motricidad-dependencia</w:t>
      </w:r>
    </w:p>
    <w:p>
      <w:pPr>
        <w:spacing w:before="0" w:after="200" w:line="360" w:lineRule="auto"/>
        <w:ind w:firstLine="720"/>
        <w:jc w:val="both"/>
      </w:pPr>
      <w:r>
        <w:rPr>
          <w:rFonts w:ascii="Times New Roman" w:cs="Times New Roman" w:eastAsia="Times New Roman" w:hAnsi="Times New Roman"/>
          <w:sz w:val="24"/>
          <w:szCs w:val="24"/>
        </w:rPr>
        <w:t xml:space="preserve">El resultado central del análisis MICMAC es el plano motricidad-dependencia: un mapa en el que cada variable se ubica según dos dimensiones. La </w:t>
      </w:r>
      <w:r>
        <w:rPr>
          <w:rFonts w:ascii="Times New Roman" w:cs="Times New Roman" w:eastAsia="Times New Roman" w:hAnsi="Times New Roman"/>
          <w:i/>
          <w:iCs/>
          <w:sz w:val="24"/>
          <w:szCs w:val="24"/>
        </w:rPr>
        <w:t xml:space="preserve">motricidad</w:t>
      </w:r>
      <w:r>
        <w:rPr>
          <w:rFonts w:ascii="Times New Roman" w:cs="Times New Roman" w:eastAsia="Times New Roman" w:hAnsi="Times New Roman"/>
          <w:sz w:val="24"/>
          <w:szCs w:val="24"/>
        </w:rPr>
        <w:t xml:space="preserve"> mide cuánto influye esa variable sobre las demás en el sistema. La </w:t>
      </w:r>
      <w:r>
        <w:rPr>
          <w:rFonts w:ascii="Times New Roman" w:cs="Times New Roman" w:eastAsia="Times New Roman" w:hAnsi="Times New Roman"/>
          <w:i/>
          <w:iCs/>
          <w:sz w:val="24"/>
          <w:szCs w:val="24"/>
        </w:rPr>
        <w:t xml:space="preserve">dependencia</w:t>
      </w:r>
      <w:r>
        <w:rPr>
          <w:rFonts w:ascii="Times New Roman" w:cs="Times New Roman" w:eastAsia="Times New Roman" w:hAnsi="Times New Roman"/>
          <w:sz w:val="24"/>
          <w:szCs w:val="24"/>
        </w:rPr>
        <w:t xml:space="preserve"> mide cuánto es influida por las demás. A partir de estas dos dimensiones, las variables se clasifican en cuatro tipos, cada uno con implicaciones específicas para la especificación econométrica.</w:t>
      </w:r>
    </w:p>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5E20" w:sz="4"/>
              <w:left w:val="single" w:color="1B5E20" w:sz="4"/>
              <w:bottom w:val="single" w:color="1B5E20" w:sz="4"/>
              <w:right w:val="single" w:color="1B5E20" w:sz="4"/>
            </w:tcBorders>
            <w:shd w:fill="E8F5E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1B5E20"/>
                <w:sz w:val="20"/>
                <w:szCs w:val="20"/>
              </w:rPr>
              <w:t xml:space="preserve">VARIABLES MOTRICES</w:t>
            </w:r>
          </w:p>
          <w:p>
            <w:pPr>
              <w:spacing w:before="60"/>
              <w:jc w:val="center"/>
            </w:pPr>
            <w:r>
              <w:rPr>
                <w:rFonts w:ascii="Times New Roman" w:cs="Times New Roman" w:eastAsia="Times New Roman" w:hAnsi="Times New Roman"/>
                <w:i/>
                <w:iCs/>
                <w:color w:val="555555"/>
                <w:sz w:val="17"/>
                <w:szCs w:val="17"/>
              </w:rPr>
              <w:t xml:space="preserve">Alta motricidad · Baja dependencia</w:t>
            </w:r>
          </w:p>
        </w:tc>
        <w:tc>
          <w:tcPr>
            <w:tcW w:type="dxa" w:w="7160"/>
            <w:tcBorders>
              <w:top w:val="single" w:color="1B5E20" w:sz="4"/>
              <w:left w:val="single" w:color="1B5E20" w:sz="4"/>
              <w:bottom w:val="single" w:color="1B5E20" w:sz="4"/>
              <w:right w:val="single" w:color="1B5E20" w:sz="4"/>
            </w:tcBorders>
            <w:shd w:fill="FAFAFA" w:val="clear"/>
            <w:tcMar>
              <w:top w:type="dxa" w:w="100"/>
              <w:left w:type="dxa" w:w="160"/>
              <w:bottom w:type="dxa" w:w="100"/>
              <w:right w:type="dxa" w:w="160"/>
            </w:tcMar>
          </w:tcPr>
          <w:p>
            <w:pPr>
              <w:jc w:val="both"/>
            </w:pPr>
            <w:r>
              <w:rPr>
                <w:rFonts w:ascii="Times New Roman" w:cs="Times New Roman" w:eastAsia="Times New Roman" w:hAnsi="Times New Roman"/>
                <w:color w:val="333333"/>
                <w:sz w:val="20"/>
                <w:szCs w:val="20"/>
              </w:rPr>
              <w:t xml:space="preserve">Son los motores del sistema: influyen fuertemente sobre las demás pero son poco influidas por ellas. Su posición en el plano sugiere que son determinantes causales estructurales. En el plano econométrico, son las candidatas naturales a variables independientes principales en los modelos que buscan explicar el crecimiento, el endeudamiento o el bienestar post-HIPC. En el sistema que esta tesis analiza, las variables de gobernanza institucional —IGC e IGA— aparecen en este cuadrante, lo que valida sistémicamente su rol como variables independientes en H5 y H6.</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E65100"/>
                <w:sz w:val="20"/>
                <w:szCs w:val="20"/>
              </w:rPr>
              <w:t xml:space="preserve">VARIABLES DE ENLACE</w:t>
            </w:r>
          </w:p>
          <w:p>
            <w:pPr>
              <w:spacing w:before="60"/>
              <w:jc w:val="center"/>
            </w:pPr>
            <w:r>
              <w:rPr>
                <w:rFonts w:ascii="Times New Roman" w:cs="Times New Roman" w:eastAsia="Times New Roman" w:hAnsi="Times New Roman"/>
                <w:i/>
                <w:iCs/>
                <w:color w:val="555555"/>
                <w:sz w:val="17"/>
                <w:szCs w:val="17"/>
              </w:rPr>
              <w:t xml:space="preserve">Alta motricidad · Alta dependencia</w:t>
            </w:r>
          </w:p>
        </w:tc>
        <w:tc>
          <w:tcPr>
            <w:tcW w:type="dxa" w:w="7160"/>
            <w:tcBorders>
              <w:top w:val="single" w:color="E65100" w:sz="4"/>
              <w:left w:val="single" w:color="E65100" w:sz="4"/>
              <w:bottom w:val="single" w:color="E65100" w:sz="4"/>
              <w:right w:val="single" w:color="E65100" w:sz="4"/>
            </w:tcBorders>
            <w:shd w:fill="FAFAFA" w:val="clear"/>
            <w:tcMar>
              <w:top w:type="dxa" w:w="100"/>
              <w:left w:type="dxa" w:w="160"/>
              <w:bottom w:type="dxa" w:w="100"/>
              <w:right w:type="dxa" w:w="160"/>
            </w:tcMar>
          </w:tcPr>
          <w:p>
            <w:pPr>
              <w:jc w:val="both"/>
            </w:pPr>
            <w:r>
              <w:rPr>
                <w:rFonts w:ascii="Times New Roman" w:cs="Times New Roman" w:eastAsia="Times New Roman" w:hAnsi="Times New Roman"/>
                <w:color w:val="333333"/>
                <w:sz w:val="20"/>
                <w:szCs w:val="20"/>
              </w:rPr>
              <w:t xml:space="preserve">Son simultáneamente causa y efecto: influyen sobre las demás pero son también influidas por ellas. Son estratégicamente importantes porque amplifican o amortiguan las perturbaciones del sistema. Econométricamente, son peligrosas como variables independientes en ausencia de estrategia de identificación porque su causalidad es bidireccional. En el sistema HIPC, el PIB per cápita inicial y la apertura comercial se ubican en este cuadrante: tienen poder explicativo real, pero están parcialmente determinadas por las variables institucionales. La solución es incluirlas como controles con la debida precaución, o instrumentalizarlas.</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71C1C" w:sz="4"/>
              <w:left w:val="single" w:color="B71C1C" w:sz="4"/>
              <w:bottom w:val="single" w:color="B71C1C" w:sz="4"/>
              <w:right w:val="single" w:color="B71C1C" w:sz="4"/>
            </w:tcBorders>
            <w:shd w:fill="FCE4D6"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B71C1C"/>
                <w:sz w:val="20"/>
                <w:szCs w:val="20"/>
              </w:rPr>
              <w:t xml:space="preserve">VARIABLES RESULTADO</w:t>
            </w:r>
          </w:p>
          <w:p>
            <w:pPr>
              <w:spacing w:before="60"/>
              <w:jc w:val="center"/>
            </w:pPr>
            <w:r>
              <w:rPr>
                <w:rFonts w:ascii="Times New Roman" w:cs="Times New Roman" w:eastAsia="Times New Roman" w:hAnsi="Times New Roman"/>
                <w:i/>
                <w:iCs/>
                <w:color w:val="555555"/>
                <w:sz w:val="17"/>
                <w:szCs w:val="17"/>
              </w:rPr>
              <w:t xml:space="preserve">Baja motricidad · Alta dependencia</w:t>
            </w:r>
          </w:p>
        </w:tc>
        <w:tc>
          <w:tcPr>
            <w:tcW w:type="dxa" w:w="7160"/>
            <w:tcBorders>
              <w:top w:val="single" w:color="B71C1C" w:sz="4"/>
              <w:left w:val="single" w:color="B71C1C" w:sz="4"/>
              <w:bottom w:val="single" w:color="B71C1C" w:sz="4"/>
              <w:right w:val="single" w:color="B71C1C" w:sz="4"/>
            </w:tcBorders>
            <w:shd w:fill="FAFAFA" w:val="clear"/>
            <w:tcMar>
              <w:top w:type="dxa" w:w="100"/>
              <w:left w:type="dxa" w:w="160"/>
              <w:bottom w:type="dxa" w:w="100"/>
              <w:right w:type="dxa" w:w="160"/>
            </w:tcMar>
          </w:tcPr>
          <w:p>
            <w:pPr>
              <w:jc w:val="both"/>
            </w:pPr>
            <w:r>
              <w:rPr>
                <w:rFonts w:ascii="Times New Roman" w:cs="Times New Roman" w:eastAsia="Times New Roman" w:hAnsi="Times New Roman"/>
                <w:color w:val="333333"/>
                <w:sz w:val="20"/>
                <w:szCs w:val="20"/>
              </w:rPr>
              <w:t xml:space="preserve">Son los outputs del sistema: reciben la influencia de las demás variables pero tienen escasa capacidad de retroalimentación. Son, por tanto, las variables dependientes naturales de los modelos econométricos. En el sistema HIPC, la clasificación de riesgo DSF del FMI y el crecimiento del PIB post-culminación se ubican en este cuadrante. Esta clasificación sistémica confirma que son el producto del sistema institucional y financiero, no sus determinantes. Incluirlas como variables independientes produciría una inversión causal.</w:t>
            </w:r>
          </w:p>
        </w:tc>
      </w:tr>
    </w:tbl>
    <w:p>
      <w:pPr>
        <w:spacing w:before="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5555" w:sz="4"/>
              <w:left w:val="single" w:color="555555" w:sz="4"/>
              <w:bottom w:val="single" w:color="555555" w:sz="4"/>
              <w:right w:val="single" w:color="555555" w:sz="4"/>
            </w:tcBorders>
            <w:shd w:fill="F3F4F6"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555555"/>
                <w:sz w:val="20"/>
                <w:szCs w:val="20"/>
              </w:rPr>
              <w:t xml:space="preserve">VARIABLES AUTÓNOMAS</w:t>
            </w:r>
          </w:p>
          <w:p>
            <w:pPr>
              <w:spacing w:before="60"/>
              <w:jc w:val="center"/>
            </w:pPr>
            <w:r>
              <w:rPr>
                <w:rFonts w:ascii="Times New Roman" w:cs="Times New Roman" w:eastAsia="Times New Roman" w:hAnsi="Times New Roman"/>
                <w:i/>
                <w:iCs/>
                <w:color w:val="555555"/>
                <w:sz w:val="17"/>
                <w:szCs w:val="17"/>
              </w:rPr>
              <w:t xml:space="preserve">Baja motricidad · Baja dependencia</w:t>
            </w:r>
          </w:p>
        </w:tc>
        <w:tc>
          <w:tcPr>
            <w:tcW w:type="dxa" w:w="7160"/>
            <w:tcBorders>
              <w:top w:val="single" w:color="555555" w:sz="4"/>
              <w:left w:val="single" w:color="555555" w:sz="4"/>
              <w:bottom w:val="single" w:color="555555" w:sz="4"/>
              <w:right w:val="single" w:color="555555" w:sz="4"/>
            </w:tcBorders>
            <w:shd w:fill="FAFAFA" w:val="clear"/>
            <w:tcMar>
              <w:top w:type="dxa" w:w="100"/>
              <w:left w:type="dxa" w:w="160"/>
              <w:bottom w:type="dxa" w:w="100"/>
              <w:right w:type="dxa" w:w="160"/>
            </w:tcMar>
          </w:tcPr>
          <w:p>
            <w:pPr>
              <w:jc w:val="both"/>
            </w:pPr>
            <w:r>
              <w:rPr>
                <w:rFonts w:ascii="Times New Roman" w:cs="Times New Roman" w:eastAsia="Times New Roman" w:hAnsi="Times New Roman"/>
                <w:color w:val="333333"/>
                <w:sz w:val="20"/>
                <w:szCs w:val="20"/>
              </w:rPr>
              <w:t xml:space="preserve">Están poco conectadas con el resto del sistema: ni influyen significativamente sobre las demás ni son significativamente influidas por ellas. Este es el hallazgo más contraintuitivo para el caso de la HIPC: el monto del alivio financiero aparece en este cuadrante. Esto no significa que el alivio no importe —es la variable de tratamiento central de H1 y H2— sino que opera de manera relativamente desconectada de la dinámica institucional del sistema. No debe incluirse como determinante estructural en H6 junto a las variables institucionales.</w:t>
            </w:r>
          </w:p>
        </w:tc>
      </w:tr>
    </w:tbl>
    <w:p>
      <w:pPr>
        <w:spacing w:before="0" w:after="0" w:line="240"/>
      </w:pPr>
      <w:r>
        <w:t xml:space="preserve"/>
      </w:r>
    </w:p>
    <w:p>
      <w:pPr>
        <w:spacing w:before="0" w:after="200" w:line="360" w:lineRule="auto"/>
        <w:ind w:firstLine="720"/>
        <w:jc w:val="both"/>
      </w:pPr>
      <w:r>
        <w:rPr>
          <w:rFonts w:ascii="Times New Roman" w:cs="Times New Roman" w:eastAsia="Times New Roman" w:hAnsi="Times New Roman"/>
          <w:sz w:val="24"/>
          <w:szCs w:val="24"/>
        </w:rPr>
        <w:t xml:space="preserve">Es importante subrayar que la clasificación sistémica del MICMAC no sustituye al análisis econométrico: lo prepara. El hecho de que las variables institucionales aparezcan como motrices y el monto del alivio como autónomo no </w:t>
      </w:r>
      <w:r>
        <w:rPr>
          <w:rFonts w:ascii="Times New Roman" w:cs="Times New Roman" w:eastAsia="Times New Roman" w:hAnsi="Times New Roman"/>
          <w:i/>
          <w:iCs/>
          <w:sz w:val="24"/>
          <w:szCs w:val="24"/>
        </w:rPr>
        <w:t xml:space="preserve">demuestra</w:t>
      </w:r>
      <w:r>
        <w:rPr>
          <w:rFonts w:ascii="Times New Roman" w:cs="Times New Roman" w:eastAsia="Times New Roman" w:hAnsi="Times New Roman"/>
          <w:sz w:val="24"/>
          <w:szCs w:val="24"/>
        </w:rPr>
        <w:t xml:space="preserve"> que H6 es verdadera —eso requiere los modelos del Capítulo 5— sino que </w:t>
      </w:r>
      <w:r>
        <w:rPr>
          <w:rFonts w:ascii="Times New Roman" w:cs="Times New Roman" w:eastAsia="Times New Roman" w:hAnsi="Times New Roman"/>
          <w:i/>
          <w:iCs/>
          <w:sz w:val="24"/>
          <w:szCs w:val="24"/>
        </w:rPr>
        <w:t xml:space="preserve">justifica sistémicamente</w:t>
      </w:r>
      <w:r>
        <w:rPr>
          <w:rFonts w:ascii="Times New Roman" w:cs="Times New Roman" w:eastAsia="Times New Roman" w:hAnsi="Times New Roman"/>
          <w:sz w:val="24"/>
          <w:szCs w:val="24"/>
        </w:rPr>
        <w:t xml:space="preserve"> la especificación que contrasta H6: incluir IGC e IGA como variables independientes principales, ln_relief como control de segundo orden, y dsf_high como variable dependiente.</w:t>
      </w:r>
    </w:p>
    <w:p>
      <w:pPr>
        <w:spacing w:before="0" w:after="200" w:line="360" w:lineRule="auto"/>
        <w:ind w:firstLine="720"/>
        <w:jc w:val="both"/>
      </w:pPr>
      <w:r>
        <w:rPr>
          <w:rFonts w:ascii="Times New Roman" w:cs="Times New Roman" w:eastAsia="Times New Roman" w:hAnsi="Times New Roman"/>
          <w:sz w:val="24"/>
          <w:szCs w:val="24"/>
        </w:rPr>
        <w:t xml:space="preserve">La aplicación completa del MICMAC para este sistema —con la Matriz de Influencias Directas de 12×12 variables, los valores de motricidad y dependencia calculados, y el plano bidimensional con la ubicación de cada variable— se desarrolla en el Capítulo 3 (§3.5).</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2.5</w:t>
      </w:r>
    </w:p>
    <w:p>
      <w:pPr>
        <w:spacing w:before="0" w:after="400"/>
        <w:jc w:val="center"/>
      </w:pPr>
      <w:r>
        <w:rPr>
          <w:rFonts w:ascii="Times New Roman" w:cs="Times New Roman" w:eastAsia="Times New Roman" w:hAnsi="Times New Roman"/>
          <w:b/>
          <w:bCs/>
          <w:color w:val="1F3864"/>
          <w:sz w:val="26"/>
          <w:szCs w:val="26"/>
        </w:rPr>
        <w:t xml:space="preserve">Los métodos econométricos explicados en palabras</w:t>
      </w:r>
    </w:p>
    <w:p>
      <w:pPr>
        <w:pStyle w:val="Heading1"/>
        <w:spacing w:before="480" w:after="200"/>
      </w:pPr>
      <w:r>
        <w:rPr>
          <w:rFonts w:ascii="Times New Roman" w:cs="Times New Roman" w:eastAsia="Times New Roman" w:hAnsi="Times New Roman"/>
          <w:b/>
          <w:bCs/>
          <w:color w:val="1F3864"/>
          <w:sz w:val="28"/>
          <w:szCs w:val="28"/>
        </w:rPr>
        <w:t xml:space="preserve">2.5 Los métodos econométricos explicados en palabras</w:t>
      </w:r>
    </w:p>
    <w:p>
      <w:pPr>
        <w:spacing w:before="0" w:after="200" w:line="360" w:lineRule="auto"/>
        <w:ind w:firstLine="720"/>
        <w:jc w:val="both"/>
      </w:pPr>
      <w:r>
        <w:rPr>
          <w:rFonts w:ascii="Times New Roman" w:cs="Times New Roman" w:eastAsia="Times New Roman" w:hAnsi="Times New Roman"/>
          <w:sz w:val="24"/>
          <w:szCs w:val="24"/>
        </w:rPr>
        <w:t xml:space="preserve">Esta sección presenta los principales métodos que se utilizan en los Capítulos 3 y 4 de manera narrativa, antes de su especificación técnica. El propósito es doble: que el lector no especializado en econometría pueda seguir la lógica sustantiva del análisis, y que el lector especializado pueda verificar que la intuición detrás de los métodos formales es correcta. Una fórmula sin una historia detrás es un artefacto técnico, no un instrumento de conocimiento.</w:t>
      </w:r>
    </w:p>
    <w:p>
      <w:pPr>
        <w:pStyle w:val="Heading2"/>
        <w:spacing w:before="320" w:after="160"/>
      </w:pPr>
      <w:r>
        <w:rPr>
          <w:rFonts w:ascii="Times New Roman" w:cs="Times New Roman" w:eastAsia="Times New Roman" w:hAnsi="Times New Roman"/>
          <w:b/>
          <w:bCs/>
          <w:color w:val="2E5597"/>
          <w:sz w:val="24"/>
          <w:szCs w:val="24"/>
        </w:rPr>
        <w:t xml:space="preserve">2.5.1 Diferencias en diferencias (DiD): la pregunta del contrafactual</w:t>
      </w:r>
    </w:p>
    <w:p>
      <w:pPr>
        <w:spacing w:before="0" w:after="200" w:line="360" w:lineRule="auto"/>
        <w:ind w:firstLine="720"/>
        <w:jc w:val="both"/>
      </w:pPr>
      <w:r>
        <w:rPr>
          <w:rFonts w:ascii="Times New Roman" w:cs="Times New Roman" w:eastAsia="Times New Roman" w:hAnsi="Times New Roman"/>
          <w:sz w:val="24"/>
          <w:szCs w:val="24"/>
        </w:rPr>
        <w:t xml:space="preserve">El método de diferencias en diferencias es la respuesta a una pregunta aparentemente imposible: ¿qué le hubiera pasado a Ghana si no hubiera recibido el alivio de deuda en 2004? No podemos observar ese contrafactual —el Ghana que no completó la HIPC— porque el Ghana real sí la completó. Pero podemos intentar construirlo.</w:t>
      </w:r>
    </w:p>
    <w:p>
      <w:pPr>
        <w:spacing w:before="0" w:after="200" w:line="360" w:lineRule="auto"/>
        <w:ind w:firstLine="720"/>
        <w:jc w:val="both"/>
      </w:pPr>
      <w:r>
        <w:rPr>
          <w:rFonts w:ascii="Times New Roman" w:cs="Times New Roman" w:eastAsia="Times New Roman" w:hAnsi="Times New Roman"/>
          <w:sz w:val="24"/>
          <w:szCs w:val="24"/>
        </w:rPr>
        <w:t xml:space="preserve">La idea central del DiD es la siguiente. Tenemos dos grupos de países: los que recibieron el alivio en algún momento (grupo de tratamiento) y los que no lo recibieron (grupo de control). Y tenemos dos momentos en el tiempo: antes del alivio y después. Si comparamos cómo cambia el endeudamiento de los países tratados antes y después del alivio, capturamos tanto el efecto del alivio como cualquier otra cosa que haya cambiado en ese período —el boom de commodities, la mejora de las instituciones, el crecimiento global. Para aislar solo el efecto del alivio, restamos la comparación entre antes y después para el grupo de control. Si los países de control también mejoraron en el mismo período —por el boom de commodities, por ejemplo— esa mejora no puede ser atribuida al alivio. Lo que queda después de las dos restas —la diferencia en la diferencia— es una estimación del efecto específico del alivio, limpia de los factores que afectaron a todos los países por igual.</w:t>
      </w:r>
    </w:p>
    <w:p>
      <w:pPr>
        <w:spacing w:before="0" w:after="200" w:line="360" w:lineRule="auto"/>
        <w:ind w:firstLine="720"/>
        <w:jc w:val="both"/>
      </w:pPr>
      <w:r>
        <w:rPr>
          <w:rFonts w:ascii="Times New Roman" w:cs="Times New Roman" w:eastAsia="Times New Roman" w:hAnsi="Times New Roman"/>
          <w:sz w:val="24"/>
          <w:szCs w:val="24"/>
        </w:rPr>
        <w:t xml:space="preserve">El método funciona bien cuando se cumple una condición llamada </w:t>
      </w:r>
      <w:r>
        <w:rPr>
          <w:rFonts w:ascii="Times New Roman" w:cs="Times New Roman" w:eastAsia="Times New Roman" w:hAnsi="Times New Roman"/>
          <w:i/>
          <w:iCs/>
          <w:sz w:val="24"/>
          <w:szCs w:val="24"/>
        </w:rPr>
        <w:t xml:space="preserve">tendencias paralelas</w:t>
      </w:r>
      <w:r>
        <w:rPr>
          <w:rFonts w:ascii="Times New Roman" w:cs="Times New Roman" w:eastAsia="Times New Roman" w:hAnsi="Times New Roman"/>
          <w:sz w:val="24"/>
          <w:szCs w:val="24"/>
        </w:rPr>
        <w:t xml:space="preserve">: que, en ausencia del tratamiento, los países tratados y de control habrían seguido trayectorias similares. En el contexto de la HIPC, esta condición es parcialmente problemática, porque los países que completaron la iniciativa no se parecen demasiado a los países que no lo hicieron. Para resolver este problema, esta tesis usa dos refinamientos. El primero es el estimador de Callaway y Sant'Anna (2021), que en lugar de comparar todos los países tratados con todos los de control, compara cada cohorte de culminación —los que completaron en 2000, los que completaron en 2003, etc.— con países de control comparables en el período específico de ese tratamiento. El segundo refinamiento es el método de triple diferencia (DDD), que añade un tercer nivel de comparación usando un grupo de países de control no-HIPC seleccionado por sus características similares a los países HIPC.</w:t>
      </w:r>
    </w:p>
    <w:p>
      <w:pPr>
        <w:pStyle w:val="Heading2"/>
        <w:spacing w:before="320" w:after="160"/>
      </w:pPr>
      <w:r>
        <w:rPr>
          <w:rFonts w:ascii="Times New Roman" w:cs="Times New Roman" w:eastAsia="Times New Roman" w:hAnsi="Times New Roman"/>
          <w:b/>
          <w:bCs/>
          <w:color w:val="2E5597"/>
          <w:sz w:val="24"/>
          <w:szCs w:val="24"/>
        </w:rPr>
        <w:t xml:space="preserve">2.5.2 El control sintético: construir un gemelo estadístico</w:t>
      </w:r>
    </w:p>
    <w:p>
      <w:pPr>
        <w:spacing w:before="0" w:after="200" w:line="360" w:lineRule="auto"/>
        <w:ind w:firstLine="720"/>
        <w:jc w:val="both"/>
      </w:pPr>
      <w:r>
        <w:rPr>
          <w:rFonts w:ascii="Times New Roman" w:cs="Times New Roman" w:eastAsia="Times New Roman" w:hAnsi="Times New Roman"/>
          <w:sz w:val="24"/>
          <w:szCs w:val="24"/>
        </w:rPr>
        <w:t xml:space="preserve">El método de control sintético, desarrollado por Alberto Abadie y sus colegas (2010), lleva la lógica del contrafactual un paso más lejos. En lugar de usar un grupo de países de control predeterminado, construye para cada país tratado un </w:t>
      </w:r>
      <w:r>
        <w:rPr>
          <w:rFonts w:ascii="Times New Roman" w:cs="Times New Roman" w:eastAsia="Times New Roman" w:hAnsi="Times New Roman"/>
          <w:i/>
          <w:iCs/>
          <w:sz w:val="24"/>
          <w:szCs w:val="24"/>
        </w:rPr>
        <w:t xml:space="preserve">gemelo sintético</w:t>
      </w:r>
      <w:r>
        <w:rPr>
          <w:rFonts w:ascii="Times New Roman" w:cs="Times New Roman" w:eastAsia="Times New Roman" w:hAnsi="Times New Roman"/>
          <w:sz w:val="24"/>
          <w:szCs w:val="24"/>
        </w:rPr>
        <w:t xml:space="preserve">: una combinación ponderada de países de control que replica, con la mayor fidelidad posible, la trayectoria histórica del país tratado antes del tratamiento.</w:t>
      </w:r>
    </w:p>
    <w:p>
      <w:pPr>
        <w:spacing w:before="0" w:after="200" w:line="360" w:lineRule="auto"/>
        <w:ind w:firstLine="720"/>
        <w:jc w:val="both"/>
      </w:pPr>
      <w:r>
        <w:rPr>
          <w:rFonts w:ascii="Times New Roman" w:cs="Times New Roman" w:eastAsia="Times New Roman" w:hAnsi="Times New Roman"/>
          <w:sz w:val="24"/>
          <w:szCs w:val="24"/>
        </w:rPr>
        <w:t xml:space="preserve">La intuición es la siguiente. Ghana no es comparable a ningún otro país individual —tiene su propia historia colonial, su propia dotación de recursos, su propia trayectoria institucional. Pero puede ser comparable a una combinación de, digamos, Kenia (40%), Uganda (35%) y Tanzania (25%): una mezcla que replica la evolución del ratio deuda/PIB de Ghana entre 1990 y 2003, antes de que Ghana completara la HIPC. Una vez construido este </w:t>
      </w:r>
      <w:r>
        <w:rPr>
          <w:rFonts w:ascii="Times New Roman" w:cs="Times New Roman" w:eastAsia="Times New Roman" w:hAnsi="Times New Roman"/>
          <w:i/>
          <w:iCs/>
          <w:sz w:val="24"/>
          <w:szCs w:val="24"/>
        </w:rPr>
        <w:t xml:space="preserve">Ghana sintético</w:t>
      </w:r>
      <w:r>
        <w:rPr>
          <w:rFonts w:ascii="Times New Roman" w:cs="Times New Roman" w:eastAsia="Times New Roman" w:hAnsi="Times New Roman"/>
          <w:sz w:val="24"/>
          <w:szCs w:val="24"/>
        </w:rPr>
        <w:t xml:space="preserve">, la pregunta es: ¿qué pasó después de 2004 con el Ghana real respecto al Ghana sintético? La diferencia entre ambas trayectorias es, en buena medida, el efecto causal del alivio sobre Ghana.</w:t>
      </w:r>
    </w:p>
    <w:p>
      <w:pPr>
        <w:spacing w:before="0" w:after="200" w:line="360" w:lineRule="auto"/>
        <w:ind w:firstLine="720"/>
        <w:jc w:val="both"/>
      </w:pPr>
      <w:r>
        <w:rPr>
          <w:rFonts w:ascii="Times New Roman" w:cs="Times New Roman" w:eastAsia="Times New Roman" w:hAnsi="Times New Roman"/>
          <w:sz w:val="24"/>
          <w:szCs w:val="24"/>
        </w:rPr>
        <w:t xml:space="preserve">La ventaja del control sintético sobre el DiD estándar es que no requiere que todos los países tratados sean comparables a todos los países de control: construye un contrafactual individualizado para cada país. La limitación es que funciona mejor con pocos países y períodos largos, lo que hace que sea más útil para los estudios de caso del Capítulo 6 que para el análisis de panel completo del Capítulo 4. En este último, el estimador de Callaway y Sant'Anna cumple una función similar —construir contrafácticos comparables— pero de manera que escala al panel de 39 países.</w:t>
      </w:r>
    </w:p>
    <w:p>
      <w:pPr>
        <w:pStyle w:val="Heading2"/>
        <w:spacing w:before="320" w:after="160"/>
      </w:pPr>
      <w:r>
        <w:rPr>
          <w:rFonts w:ascii="Times New Roman" w:cs="Times New Roman" w:eastAsia="Times New Roman" w:hAnsi="Times New Roman"/>
          <w:b/>
          <w:bCs/>
          <w:color w:val="2E5597"/>
          <w:sz w:val="24"/>
          <w:szCs w:val="24"/>
        </w:rPr>
        <w:t xml:space="preserve">2.5.3 Variables instrumentales (IV/2SLS): resolver el problema del huevo y la gallina</w:t>
      </w:r>
    </w:p>
    <w:p>
      <w:pPr>
        <w:spacing w:before="0" w:after="200" w:line="360" w:lineRule="auto"/>
        <w:ind w:firstLine="720"/>
        <w:jc w:val="both"/>
      </w:pPr>
      <w:r>
        <w:rPr>
          <w:rFonts w:ascii="Times New Roman" w:cs="Times New Roman" w:eastAsia="Times New Roman" w:hAnsi="Times New Roman"/>
          <w:sz w:val="24"/>
          <w:szCs w:val="24"/>
        </w:rPr>
        <w:t xml:space="preserve">Un problema que aparece repetidamente en el análisis de los países HIPC es la causalidad inversa: ¿son las buenas instituciones las que producen buenos resultados post-HIPC, o son los buenos resultados los que producen buenas instituciones? Si ambas cosas son verdad simultáneamente —lo que los economistas llamamos </w:t>
      </w:r>
      <w:r>
        <w:rPr>
          <w:rFonts w:ascii="Times New Roman" w:cs="Times New Roman" w:eastAsia="Times New Roman" w:hAnsi="Times New Roman"/>
          <w:i/>
          <w:iCs/>
          <w:sz w:val="24"/>
          <w:szCs w:val="24"/>
        </w:rPr>
        <w:t xml:space="preserve">endogeneidad</w:t>
      </w:r>
      <w:r>
        <w:rPr>
          <w:rFonts w:ascii="Times New Roman" w:cs="Times New Roman" w:eastAsia="Times New Roman" w:hAnsi="Times New Roman"/>
          <w:sz w:val="24"/>
          <w:szCs w:val="24"/>
        </w:rPr>
        <w:t xml:space="preserve">— entonces una regresión estándar que usa la calidad institucional para explicar los resultados post-HIPC produce estimaciones sesgadas. Estamos mezclando la causa con el efecto.</w:t>
      </w:r>
    </w:p>
    <w:p>
      <w:pPr>
        <w:spacing w:before="0" w:after="200" w:line="360" w:lineRule="auto"/>
        <w:ind w:firstLine="720"/>
        <w:jc w:val="both"/>
      </w:pPr>
      <w:r>
        <w:rPr>
          <w:rFonts w:ascii="Times New Roman" w:cs="Times New Roman" w:eastAsia="Times New Roman" w:hAnsi="Times New Roman"/>
          <w:sz w:val="24"/>
          <w:szCs w:val="24"/>
        </w:rPr>
        <w:t xml:space="preserve">Las variables instrumentales son la solución clásica a este problema. Un instrumento es una variable que afecta a la variable sospechosa de endogeneidad (en nuestro caso, la calidad institucional) pero no afecta directamente al resultado que queremos explicar (los ratios de deuda o el crecimiento post-HIPC), excepto a través de la calidad institucional. Si encontramos un instrumento válido, podemos usar solo la variación en la calidad institucional que es </w:t>
      </w:r>
      <w:r>
        <w:rPr>
          <w:rFonts w:ascii="Times New Roman" w:cs="Times New Roman" w:eastAsia="Times New Roman" w:hAnsi="Times New Roman"/>
          <w:i/>
          <w:iCs/>
          <w:sz w:val="24"/>
          <w:szCs w:val="24"/>
        </w:rPr>
        <w:t xml:space="preserve">causada por el instrumento</w:t>
      </w:r>
      <w:r>
        <w:rPr>
          <w:rFonts w:ascii="Times New Roman" w:cs="Times New Roman" w:eastAsia="Times New Roman" w:hAnsi="Times New Roman"/>
          <w:sz w:val="24"/>
          <w:szCs w:val="24"/>
        </w:rPr>
        <w:t xml:space="preserve"> —y que por tanto no está contaminada por la causalidad inversa— para estimar su efecto sobre los resultados.</w:t>
      </w:r>
    </w:p>
    <w:p>
      <w:pPr>
        <w:spacing w:before="0" w:after="200" w:line="360" w:lineRule="auto"/>
        <w:ind w:firstLine="720"/>
        <w:jc w:val="both"/>
      </w:pPr>
      <w:r>
        <w:rPr>
          <w:rFonts w:ascii="Times New Roman" w:cs="Times New Roman" w:eastAsia="Times New Roman" w:hAnsi="Times New Roman"/>
          <w:sz w:val="24"/>
          <w:szCs w:val="24"/>
        </w:rPr>
        <w:t xml:space="preserve">Acemoglu, Johnson y Robinson (2001) encontraron el instrumento perfecto para la calidad institucional actual: la mortalidad histórica de los colonizadores europeos en el siglo XIX (variable ajr_settmort en el QoG Institute). La lógica es la siguiente: donde los colonizadores morían de enfermedades tropicales —principalmente de malaria y fiebre amarilla— no podían establecer colonias de asentamiento y construyeron en cambio instituciones extractivas diseñadas para sacar riqueza del territorio con el mínimo asentamiento posible. Donde sobrevivían, establecieron colonias donde se aplicaban las reglas del derecho europeo, se protegía la propiedad privada y se creaban sistemas judiciales que funcionaban. Estas decisiones del siglo XIX no pueden haber sido causadas por los resultados económicos de 2000–2022. Por tanto, la mortalidad de los colonizadores es un instrumento válido para la calidad institucional actual.</w:t>
      </w:r>
    </w:p>
    <w:p>
      <w:pPr>
        <w:spacing w:before="0" w:after="200" w:line="360" w:lineRule="auto"/>
        <w:ind w:firstLine="720"/>
        <w:jc w:val="both"/>
      </w:pPr>
      <w:r>
        <w:rPr>
          <w:rFonts w:ascii="Times New Roman" w:cs="Times New Roman" w:eastAsia="Times New Roman" w:hAnsi="Times New Roman"/>
          <w:sz w:val="24"/>
          <w:szCs w:val="24"/>
        </w:rPr>
        <w:t xml:space="preserve">El método 2SLS —mínimos cuadrados en dos etapas— implementa esto en dos pasos. Primero se estima cuánta variación en la calidad institucional actual es explicada por la mortalidad histórica de los colonizadores y por el tipo de vínculo colonial (ht_colonial). Luego se usa esa variación predicha —que es la parte de la gobernanza que no depende de los resultados económicos actuales— para estimar el efecto sobre los ratios de deuda o el crecimiento. El resultado es una estimación del efecto causal de la calidad institucional que no está contaminada por la causalidad inversa.</w:t>
      </w:r>
    </w:p>
    <w:p>
      <w:pPr>
        <w:pStyle w:val="Heading2"/>
        <w:spacing w:before="320" w:after="160"/>
      </w:pPr>
      <w:r>
        <w:rPr>
          <w:rFonts w:ascii="Times New Roman" w:cs="Times New Roman" w:eastAsia="Times New Roman" w:hAnsi="Times New Roman"/>
          <w:b/>
          <w:bCs/>
          <w:color w:val="2E5597"/>
          <w:sz w:val="24"/>
          <w:szCs w:val="24"/>
        </w:rPr>
        <w:t xml:space="preserve">2.5.4 Análisis de supervivencia (Cox): ¿cuánto tarda en llegar el problema?</w:t>
      </w:r>
    </w:p>
    <w:p>
      <w:pPr>
        <w:spacing w:before="0" w:after="200" w:line="360" w:lineRule="auto"/>
        <w:ind w:firstLine="720"/>
        <w:jc w:val="both"/>
      </w:pPr>
      <w:r>
        <w:rPr>
          <w:rFonts w:ascii="Times New Roman" w:cs="Times New Roman" w:eastAsia="Times New Roman" w:hAnsi="Times New Roman"/>
          <w:sz w:val="24"/>
          <w:szCs w:val="24"/>
        </w:rPr>
        <w:t xml:space="preserve">Algunas de las preguntas más importantes de esta tesis no son del tipo «¿cuánto cambió X después del alivio?» sino del tipo «¿cuánto tardó en ocurrir Y?» Por ejemplo: ¿cuánto tiempo tardaron los países post-HIPC en volver a una clasificación de riesgo alto de deuda? ¿Cuánto tiempo tardaron en completar el proceso desde el punto de decisión al punto de culminación? Estas preguntas requieren un método diseñado específicamente para analizar tiempos hasta que ocurre un evento.</w:t>
      </w:r>
    </w:p>
    <w:p>
      <w:pPr>
        <w:spacing w:before="0" w:after="200" w:line="360" w:lineRule="auto"/>
        <w:ind w:firstLine="720"/>
        <w:jc w:val="both"/>
      </w:pPr>
      <w:r>
        <w:rPr>
          <w:rFonts w:ascii="Times New Roman" w:cs="Times New Roman" w:eastAsia="Times New Roman" w:hAnsi="Times New Roman"/>
          <w:sz w:val="24"/>
          <w:szCs w:val="24"/>
        </w:rPr>
        <w:t xml:space="preserve">El análisis de supervivencia —originalmente desarrollado en el contexto médico para estudiar el tiempo hasta que un paciente muere o hasta que un tratamiento falla— es ese método. En el contexto de la HIPC, el «evento» puede ser el reingreso en situación de alto riesgo de deuda, la primera clasificación en default, o el fracaso en completar el proceso en un tiempo razonable.</w:t>
      </w:r>
    </w:p>
    <w:p>
      <w:pPr>
        <w:spacing w:before="0" w:after="200" w:line="360" w:lineRule="auto"/>
        <w:ind w:firstLine="720"/>
        <w:jc w:val="both"/>
      </w:pPr>
      <w:r>
        <w:rPr>
          <w:rFonts w:ascii="Times New Roman" w:cs="Times New Roman" w:eastAsia="Times New Roman" w:hAnsi="Times New Roman"/>
          <w:sz w:val="24"/>
          <w:szCs w:val="24"/>
        </w:rPr>
        <w:t xml:space="preserve">El modelo de Cox (1972) es la versión más usada del análisis de supervivencia, y su ventaja principal es que puede incorporar covariables —variables explicativas— que predicen cuánto más rápido o más lento ocurre el evento para países con diferentes características. En el contexto de H7, el modelo de Cox permite estimar si los países post-HIPC tienen una mayor «velocidad de reendeudamiento» que los países de control no-HIPC, controlando por sus diferencias en tamaño económico, dotación de recursos y calidad institucional. En el contexto de H3, permite estimar si los países con mayor importancia geopolítica para los accionistas del FMI completan el proceso HIPC más rápidamente que los países de menor importancia, controlando por su desempeño macroeconómico.</w:t>
      </w:r>
    </w:p>
    <w:p>
      <w:pPr>
        <w:pStyle w:val="Heading2"/>
        <w:spacing w:before="320" w:after="160"/>
      </w:pPr>
      <w:r>
        <w:rPr>
          <w:rFonts w:ascii="Times New Roman" w:cs="Times New Roman" w:eastAsia="Times New Roman" w:hAnsi="Times New Roman"/>
          <w:b/>
          <w:bCs/>
          <w:color w:val="2E5597"/>
          <w:sz w:val="24"/>
          <w:szCs w:val="24"/>
        </w:rPr>
        <w:t xml:space="preserve">2.5.5 Análisis de dominancia: ¿qué variable importa más?</w:t>
      </w:r>
    </w:p>
    <w:p>
      <w:pPr>
        <w:spacing w:before="0" w:after="200" w:line="360" w:lineRule="auto"/>
        <w:ind w:firstLine="720"/>
        <w:jc w:val="both"/>
      </w:pPr>
      <w:r>
        <w:rPr>
          <w:rFonts w:ascii="Times New Roman" w:cs="Times New Roman" w:eastAsia="Times New Roman" w:hAnsi="Times New Roman"/>
          <w:sz w:val="24"/>
          <w:szCs w:val="24"/>
        </w:rPr>
        <w:t xml:space="preserve">El análisis de dominancia es la respuesta metodológica a la pregunta central de H6: ¿importa más la calidad institucional o el monto del alivio para explicar los resultados post-HIPC? Esta pregunta parece sencilla, pero tiene una trampa estadística: los coeficientes de regresión no pueden usarse directamente para compararla, porque están expresados en unidades diferentes. El coeficiente de IGC no es directamente comparable al coeficiente de ln_relief sin estandarizar ambas variables, y la estandarización introduce sus propios problemas cuando las variables están correlacionadas entre sí.</w:t>
      </w:r>
    </w:p>
    <w:p>
      <w:pPr>
        <w:spacing w:before="0" w:after="200" w:line="360" w:lineRule="auto"/>
        <w:ind w:firstLine="720"/>
        <w:jc w:val="both"/>
      </w:pPr>
      <w:r>
        <w:rPr>
          <w:rFonts w:ascii="Times New Roman" w:cs="Times New Roman" w:eastAsia="Times New Roman" w:hAnsi="Times New Roman"/>
          <w:sz w:val="24"/>
          <w:szCs w:val="24"/>
        </w:rPr>
        <w:t xml:space="preserve">El análisis de dominancia (Budescu, 1993; Azen y Budescu, 2003) resuelve este problema de una manera intuitivamente elegante: en lugar de comparar coeficientes, compara contribuciones al poder explicativo total del modelo. La idea es la siguiente. Imaginemos que tenemos cinco variables explicativas (IGC, IGA, ln_relief, gdppc, trade). Para cada posible subconjunto de estas cinco variables, ajustamos el modelo y calculamos cuánto R² —cuánta fracción de la variación del resultado— explica ese subconjunto. Luego, para cada variable individual, calculamos cuánto aumenta el R² en promedio cuando esa variable se añade a cualquier subconjunto posible de las otras. Esa contribución promedio es la medida de dominancia de la variable.</w:t>
      </w:r>
    </w:p>
    <w:p>
      <w:pPr>
        <w:spacing w:before="0" w:after="200" w:line="360" w:lineRule="auto"/>
        <w:ind w:firstLine="720"/>
        <w:jc w:val="both"/>
      </w:pPr>
      <w:r>
        <w:rPr>
          <w:rFonts w:ascii="Times New Roman" w:cs="Times New Roman" w:eastAsia="Times New Roman" w:hAnsi="Times New Roman"/>
          <w:sz w:val="24"/>
          <w:szCs w:val="24"/>
        </w:rPr>
        <w:t xml:space="preserve">Si el análisis de dominancia muestra que IGC e IGA tienen contribuciones promedio al R² mayores que ln_relief, gdppc y trade, eso significa que la gobernanza institucional explica más variación en los resultados post-HIPC que cualquier otro predictor considerado —independientemente de las unidades en que estén medidas las variables y con independencia de su correlación mutua. Esa es la evidencia que H6 requiere.</w:t>
      </w:r>
    </w:p>
    <w:p>
      <w:pPr>
        <w:pStyle w:val="Heading2"/>
        <w:spacing w:before="320" w:after="160"/>
      </w:pPr>
      <w:r>
        <w:rPr>
          <w:rFonts w:ascii="Times New Roman" w:cs="Times New Roman" w:eastAsia="Times New Roman" w:hAnsi="Times New Roman"/>
          <w:b/>
          <w:bCs/>
          <w:color w:val="2E5597"/>
          <w:sz w:val="24"/>
          <w:szCs w:val="24"/>
        </w:rPr>
        <w:t xml:space="preserve">2.5.6 Regresión cuantílica: ¿es el efecto igual para todos?</w:t>
      </w:r>
    </w:p>
    <w:p>
      <w:pPr>
        <w:spacing w:before="0" w:after="200" w:line="360" w:lineRule="auto"/>
        <w:ind w:firstLine="720"/>
        <w:jc w:val="both"/>
      </w:pPr>
      <w:r>
        <w:rPr>
          <w:rFonts w:ascii="Times New Roman" w:cs="Times New Roman" w:eastAsia="Times New Roman" w:hAnsi="Times New Roman"/>
          <w:sz w:val="24"/>
          <w:szCs w:val="24"/>
        </w:rPr>
        <w:t xml:space="preserve">Los modelos de regresión estándar estiman el efecto de las variables explicativas sobre la </w:t>
      </w:r>
      <w:r>
        <w:rPr>
          <w:rFonts w:ascii="Times New Roman" w:cs="Times New Roman" w:eastAsia="Times New Roman" w:hAnsi="Times New Roman"/>
          <w:i/>
          <w:iCs/>
          <w:sz w:val="24"/>
          <w:szCs w:val="24"/>
        </w:rPr>
        <w:t xml:space="preserve">media</w:t>
      </w:r>
      <w:r>
        <w:rPr>
          <w:rFonts w:ascii="Times New Roman" w:cs="Times New Roman" w:eastAsia="Times New Roman" w:hAnsi="Times New Roman"/>
          <w:sz w:val="24"/>
          <w:szCs w:val="24"/>
        </w:rPr>
        <w:t xml:space="preserve"> de la variable dependiente. Pero la media puede ocultar heterogeneidad importante. El mismo nivel de calidad institucional puede producir efectos muy diferentes en países con bajo endeudamiento que en países con alto endeudamiento; puede tener un efecto protector fuerte en los cuartiles de mayor riesgo y un efecto marginal en los cuartiles de menor riesgo.</w:t>
      </w:r>
    </w:p>
    <w:p>
      <w:pPr>
        <w:spacing w:before="0" w:after="200" w:line="360" w:lineRule="auto"/>
        <w:ind w:firstLine="720"/>
        <w:jc w:val="both"/>
      </w:pPr>
      <w:r>
        <w:rPr>
          <w:rFonts w:ascii="Times New Roman" w:cs="Times New Roman" w:eastAsia="Times New Roman" w:hAnsi="Times New Roman"/>
          <w:sz w:val="24"/>
          <w:szCs w:val="24"/>
        </w:rPr>
        <w:t xml:space="preserve">La regresión cuantílica estima el efecto de las variables explicativas no sobre la media sino sobre distintos percentiles de la distribución de la variable dependiente. Al calcular el efecto de IGC e IGA en el percentil 25 (los países con menor clasificación de riesgo), el percentil 50 (la mediana), el percentil 75 y el percentil 90 (los más endeudados), podemos verificar si el efecto de la gobernanza es homogéneo a lo largo de toda la distribución o si es especialmente fuerte en los casos extremos. Esta verificación es importante para H6: si el efecto dominante de la gobernanza solo se observa en los percentiles altos de endeudamiento, la hipótesis sería válida solo para los países en peor situación, lo que cambiaría sus implicaciones de política.</w:t>
      </w:r>
    </w:p>
    <w:p>
      <w:pPr>
        <w:spacing w:before="0" w:after="0" w:line="240"/>
      </w:pPr>
      <w:r>
        <w:t xml:space="preserve"/>
      </w:r>
    </w:p>
    <w:p>
      <w:pPr>
        <w:spacing w:before="0" w:after="0" w:line="240"/>
      </w:pPr>
      <w:r>
        <w:t xml:space="preserve"/>
      </w:r>
    </w:p>
    <w:p>
      <w:r>
        <w:r>
          <w:br w:type="page"/>
        </w:r>
      </w:r>
    </w:p>
    <w:p>
      <w:pPr>
        <w:spacing w:before="200" w:after="80"/>
        <w:jc w:val="center"/>
      </w:pPr>
      <w:r>
        <w:rPr>
          <w:rFonts w:ascii="Times New Roman" w:cs="Times New Roman" w:eastAsia="Times New Roman" w:hAnsi="Times New Roman"/>
          <w:i/>
          <w:iCs/>
          <w:color w:val="2E5597"/>
          <w:sz w:val="22"/>
          <w:szCs w:val="22"/>
        </w:rPr>
        <w:t xml:space="preserve">Sección 2.6</w:t>
      </w:r>
    </w:p>
    <w:p>
      <w:pPr>
        <w:spacing w:before="0" w:after="400"/>
        <w:jc w:val="center"/>
      </w:pPr>
      <w:r>
        <w:rPr>
          <w:rFonts w:ascii="Times New Roman" w:cs="Times New Roman" w:eastAsia="Times New Roman" w:hAnsi="Times New Roman"/>
          <w:b/>
          <w:bCs/>
          <w:color w:val="1F3864"/>
          <w:sz w:val="26"/>
          <w:szCs w:val="26"/>
        </w:rPr>
        <w:t xml:space="preserve">Síntesis: la cadena causal de la tesis y su anclaje empírico</w:t>
      </w:r>
    </w:p>
    <w:p>
      <w:pPr>
        <w:pStyle w:val="Heading1"/>
        <w:spacing w:before="480" w:after="200"/>
      </w:pPr>
      <w:r>
        <w:rPr>
          <w:rFonts w:ascii="Times New Roman" w:cs="Times New Roman" w:eastAsia="Times New Roman" w:hAnsi="Times New Roman"/>
          <w:b/>
          <w:bCs/>
          <w:color w:val="1F3864"/>
          <w:sz w:val="28"/>
          <w:szCs w:val="28"/>
        </w:rPr>
        <w:t xml:space="preserve">2.6 Síntesis: la cadena causal de la tesis y su anclaje empírico</w:t>
      </w:r>
    </w:p>
    <w:p>
      <w:pPr>
        <w:spacing w:before="0" w:after="200" w:line="360" w:lineRule="auto"/>
        <w:ind w:firstLine="720"/>
        <w:jc w:val="both"/>
      </w:pPr>
      <w:r>
        <w:rPr>
          <w:rFonts w:ascii="Times New Roman" w:cs="Times New Roman" w:eastAsia="Times New Roman" w:hAnsi="Times New Roman"/>
          <w:sz w:val="24"/>
          <w:szCs w:val="24"/>
        </w:rPr>
        <w:t xml:space="preserve">Este capítulo ha construido los tres pilares sobre los que descansa el análisis de los Capítulos 3 y 4: el contexto histórico que da sentido al problema, el marco teórico que explica por qué optamos por el enfoque institucional, y los métodos que permitirán contrastar las hipótesis. Esta sección final integra esos tres pilares en la cadena causal que conecta con las hipótesis H1–H7.</w:t>
      </w:r>
    </w:p>
    <w:p>
      <w:pPr>
        <w:pStyle w:val="Heading2"/>
        <w:spacing w:before="320" w:after="160"/>
      </w:pPr>
      <w:r>
        <w:rPr>
          <w:rFonts w:ascii="Times New Roman" w:cs="Times New Roman" w:eastAsia="Times New Roman" w:hAnsi="Times New Roman"/>
          <w:b/>
          <w:bCs/>
          <w:color w:val="2E5597"/>
          <w:sz w:val="24"/>
          <w:szCs w:val="24"/>
        </w:rPr>
        <w:t xml:space="preserve">2.6.1 La cadena causal en cinco eslabones</w:t>
      </w:r>
    </w:p>
    <w:p>
      <w:pPr>
        <w:spacing w:before="0" w:after="200" w:line="360" w:lineRule="auto"/>
        <w:ind w:firstLine="720"/>
        <w:jc w:val="both"/>
      </w:pPr>
      <w:r>
        <w:rPr>
          <w:rFonts w:ascii="Times New Roman" w:cs="Times New Roman" w:eastAsia="Times New Roman" w:hAnsi="Times New Roman"/>
          <w:b/>
          <w:bCs/>
          <w:sz w:val="24"/>
          <w:szCs w:val="24"/>
        </w:rPr>
        <w:t xml:space="preserve">Eslabón 1 — El legado institucional colonial (T3) → H4. </w:t>
      </w:r>
      <w:r>
        <w:rPr>
          <w:rFonts w:ascii="Times New Roman" w:cs="Times New Roman" w:eastAsia="Times New Roman" w:hAnsi="Times New Roman"/>
          <w:sz w:val="24"/>
          <w:szCs w:val="24"/>
        </w:rPr>
        <w:t xml:space="preserve">Las instituciones en el momento del ingreso a la HIPC no son aleatorias: están parcialmente determinadas por el tipo de colonización que cada país experimentó. Las colonias de asentamiento —donde los europeos se instalaron y construyeron instituciones para proteger sus propios derechos— heredaron instituciones más inclusivas que las colonias puramente extractivas. Este mecanismo, identificado exógenamente con la mortalidad histórica de los colonizadores (ajr_settmort), justifica el uso de ese instrumento en la estimación 2SLS de H4.</w:t>
      </w:r>
    </w:p>
    <w:p>
      <w:pPr>
        <w:spacing w:before="0" w:after="200" w:line="360" w:lineRule="auto"/>
        <w:ind w:firstLine="720"/>
        <w:jc w:val="both"/>
      </w:pPr>
      <w:r>
        <w:rPr>
          <w:rFonts w:ascii="Times New Roman" w:cs="Times New Roman" w:eastAsia="Times New Roman" w:hAnsi="Times New Roman"/>
          <w:b/>
          <w:bCs/>
          <w:sz w:val="24"/>
          <w:szCs w:val="24"/>
        </w:rPr>
        <w:t xml:space="preserve">Eslabón 2 — La selectividad geopolítica del FMI (T4) → H3, H4. </w:t>
      </w:r>
      <w:r>
        <w:rPr>
          <w:rFonts w:ascii="Times New Roman" w:cs="Times New Roman" w:eastAsia="Times New Roman" w:hAnsi="Times New Roman"/>
          <w:sz w:val="24"/>
          <w:szCs w:val="24"/>
        </w:rPr>
        <w:t xml:space="preserve">La geopolítica modula la aplicación de las condicionalidades: los países estratégicamente importantes para los accionistas dominantes del FMI reciben tratamiento más favorable, lo que crea la brecha entre condicionalidades formales y cumplimiento efectivo que H3 documenta. El instrumento TradeSaliency —la importancia comercial del país deudor para los principales accionistas del FMI— permite identificar causalmente este efecto en H4.</w:t>
      </w:r>
    </w:p>
    <w:p>
      <w:pPr>
        <w:spacing w:before="0" w:after="200" w:line="360" w:lineRule="auto"/>
        <w:ind w:firstLine="720"/>
        <w:jc w:val="both"/>
      </w:pPr>
      <w:r>
        <w:rPr>
          <w:rFonts w:ascii="Times New Roman" w:cs="Times New Roman" w:eastAsia="Times New Roman" w:hAnsi="Times New Roman"/>
          <w:b/>
          <w:bCs/>
          <w:sz w:val="24"/>
          <w:szCs w:val="24"/>
        </w:rPr>
        <w:t xml:space="preserve">Eslabón 3 — El efecto inmediato del alivio (T2) → H1, H2. </w:t>
      </w:r>
      <w:r>
        <w:rPr>
          <w:rFonts w:ascii="Times New Roman" w:cs="Times New Roman" w:eastAsia="Times New Roman" w:hAnsi="Times New Roman"/>
          <w:sz w:val="24"/>
          <w:szCs w:val="24"/>
        </w:rPr>
        <w:t xml:space="preserve">El alivio reduce el stock nominal de la deuda y, a través del mecanismo del </w:t>
      </w:r>
      <w:r>
        <w:rPr>
          <w:rFonts w:ascii="Times New Roman" w:cs="Times New Roman" w:eastAsia="Times New Roman" w:hAnsi="Times New Roman"/>
          <w:i/>
          <w:iCs/>
          <w:sz w:val="24"/>
          <w:szCs w:val="24"/>
        </w:rPr>
        <w:t xml:space="preserve">debt overhang</w:t>
      </w:r>
      <w:r>
        <w:rPr>
          <w:rFonts w:ascii="Times New Roman" w:cs="Times New Roman" w:eastAsia="Times New Roman" w:hAnsi="Times New Roman"/>
          <w:sz w:val="24"/>
          <w:szCs w:val="24"/>
        </w:rPr>
        <w:t xml:space="preserve">, produce una mejora inmediata de los ratios de endeudamiento. Este efecto es causalmente identificado en H1 mediante el DiD con control sintético y DDD. H2 documenta la heterogeneidad y dilución de ese efecto en el mediano plazo, usando el análisis de cohortes de Callaway y Sant'Anna.</w:t>
      </w:r>
    </w:p>
    <w:p>
      <w:pPr>
        <w:spacing w:before="0" w:after="200" w:line="360" w:lineRule="auto"/>
        <w:ind w:firstLine="720"/>
        <w:jc w:val="both"/>
      </w:pPr>
      <w:r>
        <w:rPr>
          <w:rFonts w:ascii="Times New Roman" w:cs="Times New Roman" w:eastAsia="Times New Roman" w:hAnsi="Times New Roman"/>
          <w:b/>
          <w:bCs/>
          <w:sz w:val="24"/>
          <w:szCs w:val="24"/>
        </w:rPr>
        <w:t xml:space="preserve">Eslabón 4 — La moderación institucional del alivio (T1, T3) → H5, H6. </w:t>
      </w:r>
      <w:r>
        <w:rPr>
          <w:rFonts w:ascii="Times New Roman" w:cs="Times New Roman" w:eastAsia="Times New Roman" w:hAnsi="Times New Roman"/>
          <w:sz w:val="24"/>
          <w:szCs w:val="24"/>
        </w:rPr>
        <w:t xml:space="preserve">La calidad institucional no solo es el determinante de los resultados post-HIPC: también modera el efecto del gasto social sobre el bienestar (H5) y domina sobre el monto del alivio como predictor de los resultados post-culminación (H6). El análisis de dominancia con IGC e IGA identifica esta primacía institucional separando la contribución de cada predictor al poder explicativo del modelo.</w:t>
      </w:r>
    </w:p>
    <w:p>
      <w:pPr>
        <w:spacing w:before="0" w:after="200" w:line="360" w:lineRule="auto"/>
        <w:ind w:firstLine="720"/>
        <w:jc w:val="both"/>
      </w:pPr>
      <w:r>
        <w:rPr>
          <w:rFonts w:ascii="Times New Roman" w:cs="Times New Roman" w:eastAsia="Times New Roman" w:hAnsi="Times New Roman"/>
          <w:b/>
          <w:bCs/>
          <w:sz w:val="24"/>
          <w:szCs w:val="24"/>
        </w:rPr>
        <w:t xml:space="preserve">Eslabón 5 — La paradoja de la solvencia restaurada (T1, T2) → H7. </w:t>
      </w:r>
      <w:r>
        <w:rPr>
          <w:rFonts w:ascii="Times New Roman" w:cs="Times New Roman" w:eastAsia="Times New Roman" w:hAnsi="Times New Roman"/>
          <w:sz w:val="24"/>
          <w:szCs w:val="24"/>
        </w:rPr>
        <w:t xml:space="preserve">La certificación de sostenibilidad del DSF —el producto del éxito formal de la HIPC— envía una señal positiva a los nuevos acreedores que no participaron en el proceso de alivio. Sin transformación institucional que respalde esa señal, la solvencia restaurada habilita nuevo endeudamiento insostenible. Este mecanismo es el que produce la paradoja de H7 y que hace del fortalecimiento institucional previo, y no solo del alivio financiero, la condición para el éxito duradero.</w:t>
      </w:r>
    </w:p>
    <w:p>
      <w:pPr>
        <w:pStyle w:val="Heading2"/>
        <w:spacing w:before="320" w:after="160"/>
      </w:pPr>
      <w:r>
        <w:rPr>
          <w:rFonts w:ascii="Times New Roman" w:cs="Times New Roman" w:eastAsia="Times New Roman" w:hAnsi="Times New Roman"/>
          <w:b/>
          <w:bCs/>
          <w:color w:val="2E5597"/>
          <w:sz w:val="24"/>
          <w:szCs w:val="24"/>
        </w:rPr>
        <w:t xml:space="preserve">2.6.2 Lo que este capítulo ha establecido y lo que no</w:t>
      </w:r>
    </w:p>
    <w:p>
      <w:pPr>
        <w:spacing w:before="0" w:after="200" w:line="360" w:lineRule="auto"/>
        <w:ind w:firstLine="720"/>
        <w:jc w:val="both"/>
      </w:pPr>
      <w:r>
        <w:rPr>
          <w:rFonts w:ascii="Times New Roman" w:cs="Times New Roman" w:eastAsia="Times New Roman" w:hAnsi="Times New Roman"/>
          <w:sz w:val="24"/>
          <w:szCs w:val="24"/>
        </w:rPr>
        <w:t xml:space="preserve">Este capítulo ha establecido </w:t>
      </w:r>
      <w:r>
        <w:rPr>
          <w:rFonts w:ascii="Times New Roman" w:cs="Times New Roman" w:eastAsia="Times New Roman" w:hAnsi="Times New Roman"/>
          <w:i/>
          <w:iCs/>
          <w:sz w:val="24"/>
          <w:szCs w:val="24"/>
        </w:rPr>
        <w:t xml:space="preserve">por qué</w:t>
      </w:r>
      <w:r>
        <w:rPr>
          <w:rFonts w:ascii="Times New Roman" w:cs="Times New Roman" w:eastAsia="Times New Roman" w:hAnsi="Times New Roman"/>
          <w:sz w:val="24"/>
          <w:szCs w:val="24"/>
        </w:rPr>
        <w:t xml:space="preserve"> esperamos que la cadena causal descrita sea verdadera: por la coherencia entre la historia de la deuda soberana, el debate teórico sobre el institucionalismo y la evidencia empírica existente. Lo que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ha hecho —deliberadamente— es contrastar las hipótesis. Ese es el trabajo de los Capítulos 4 y 5, con los datos del panel de 39 países y los métodos descritos en §2.5.</w:t>
      </w:r>
    </w:p>
    <w:p>
      <w:pPr>
        <w:spacing w:before="0" w:after="200" w:line="360" w:lineRule="auto"/>
        <w:ind w:firstLine="720"/>
        <w:jc w:val="both"/>
      </w:pPr>
      <w:r>
        <w:rPr>
          <w:rFonts w:ascii="Times New Roman" w:cs="Times New Roman" w:eastAsia="Times New Roman" w:hAnsi="Times New Roman"/>
          <w:sz w:val="24"/>
          <w:szCs w:val="24"/>
        </w:rPr>
        <w:t xml:space="preserve">La distinción entre el «por qué esperamos» del marco teórico y el «qué encontramos» del análisis empírico no es un trámite burocrático de la escritura académica: es la diferencia entre ciencia y narrativa. El marco teórico puede estar equivocado. Las hipótesis pueden ser rechazadas. Y si lo son, el rechazo informará la teoría tanto como la confirmación —porque nos dirá que el mecanismo que creíamos entender opera de manera diferente a la esperada. Esta apertura a la refutación es lo que, en la tradición de Popper que este capítulo adoptó desde su primera página, hace que la investigación sea científica.</w:t>
      </w:r>
    </w:p>
    <w:p>
      <w:pPr>
        <w:spacing w:before="0" w:after="0" w:line="240"/>
      </w:pPr>
      <w:r>
        <w:t xml:space="preserve"/>
      </w:r>
    </w:p>
    <w:p>
      <w:pPr>
        <w:spacing w:before="0" w:after="0" w:line="240"/>
      </w:pPr>
      <w:r>
        <w:t xml:space="preserve"/>
      </w:r>
    </w:p>
    <w:p>
      <w:r>
        <w:r>
          <w:br w:type="page"/>
        </w:r>
      </w:r>
    </w:p>
    <w:p>
      <w:pPr>
        <w:pStyle w:val="Heading1"/>
        <w:spacing w:before="480" w:after="200"/>
      </w:pPr>
      <w:r>
        <w:rPr>
          <w:rFonts w:ascii="Times New Roman" w:cs="Times New Roman" w:eastAsia="Times New Roman" w:hAnsi="Times New Roman"/>
          <w:b/>
          <w:bCs/>
          <w:color w:val="1F3864"/>
          <w:sz w:val="28"/>
          <w:szCs w:val="28"/>
        </w:rPr>
        <w:t xml:space="preserve">Referencias citadas en el Capítulo 2</w:t>
      </w:r>
    </w:p>
    <w:p>
      <w:pPr>
        <w:spacing w:before="0" w:after="0" w:line="240"/>
      </w:pPr>
      <w:r>
        <w:t xml:space="preserve"/>
      </w:r>
    </w:p>
    <w:p>
      <w:pPr>
        <w:spacing w:before="0" w:after="140" w:line="300" w:lineRule="auto"/>
        <w:ind w:left="720" w:hanging="720"/>
        <w:jc w:val="both"/>
      </w:pPr>
      <w:r>
        <w:rPr>
          <w:rFonts w:ascii="Times New Roman" w:cs="Times New Roman" w:eastAsia="Times New Roman" w:hAnsi="Times New Roman"/>
          <w:sz w:val="20"/>
          <w:szCs w:val="20"/>
        </w:rPr>
        <w:t xml:space="preserve">Abadie, A., Diamond, A., &amp; Hainmueller, J. (2010). Synthetic control methods for comparative case studies: Estimating the effect of California's tobacco control program. Journal of the American Statistical Association, 105(490), 493–505. https://doi.org/10.1198/jasa.2009.ap08746</w:t>
      </w:r>
    </w:p>
    <w:p>
      <w:pPr>
        <w:spacing w:before="0" w:after="140" w:line="300" w:lineRule="auto"/>
        <w:ind w:left="720" w:hanging="720"/>
        <w:jc w:val="both"/>
      </w:pPr>
      <w:r>
        <w:rPr>
          <w:rFonts w:ascii="Times New Roman" w:cs="Times New Roman" w:eastAsia="Times New Roman" w:hAnsi="Times New Roman"/>
          <w:sz w:val="20"/>
          <w:szCs w:val="20"/>
        </w:rPr>
        <w:t xml:space="preserve">Acemoglu, D., Johnson, S., &amp; Robinson, J. A. (2001). The colonial origins of comparative development: An empirical investigation. American Economic Review, 91(5), 1369–1401. https://doi.org/10.1257/aer.91.5.1369</w:t>
      </w:r>
    </w:p>
    <w:p>
      <w:pPr>
        <w:spacing w:before="0" w:after="140" w:line="300" w:lineRule="auto"/>
        <w:ind w:left="720" w:hanging="720"/>
        <w:jc w:val="both"/>
      </w:pPr>
      <w:r>
        <w:rPr>
          <w:rFonts w:ascii="Times New Roman" w:cs="Times New Roman" w:eastAsia="Times New Roman" w:hAnsi="Times New Roman"/>
          <w:sz w:val="20"/>
          <w:szCs w:val="20"/>
        </w:rPr>
        <w:t xml:space="preserve">Acemoglu, D., &amp; Robinson, J. A. (2012). Why nations fail: The origins of power, prosperity and poverty. Crown Publishers.</w:t>
      </w:r>
    </w:p>
    <w:p>
      <w:pPr>
        <w:spacing w:before="0" w:after="140" w:line="300" w:lineRule="auto"/>
        <w:ind w:left="720" w:hanging="720"/>
        <w:jc w:val="both"/>
      </w:pPr>
      <w:r>
        <w:rPr>
          <w:rFonts w:ascii="Times New Roman" w:cs="Times New Roman" w:eastAsia="Times New Roman" w:hAnsi="Times New Roman"/>
          <w:sz w:val="20"/>
          <w:szCs w:val="20"/>
        </w:rPr>
        <w:t xml:space="preserve">AidData. (2023). AidData's global Chinese development finance dataset, version 2.0. William &amp; Mary. https://www.aiddata.org</w:t>
      </w:r>
    </w:p>
    <w:p>
      <w:pPr>
        <w:spacing w:before="0" w:after="140" w:line="300" w:lineRule="auto"/>
        <w:ind w:left="720" w:hanging="720"/>
        <w:jc w:val="both"/>
      </w:pPr>
      <w:r>
        <w:rPr>
          <w:rFonts w:ascii="Times New Roman" w:cs="Times New Roman" w:eastAsia="Times New Roman" w:hAnsi="Times New Roman"/>
          <w:sz w:val="20"/>
          <w:szCs w:val="20"/>
        </w:rPr>
        <w:t xml:space="preserve">Arcade, J., Godet, M., Meunier, F., &amp; Roubelat, F. (1999). Structural analysis with the MICMAC method and actors' strategy with MACTOR method. En J. Glenn (Ed.), Futures research methodology. AC/UNU Millennium Project.</w:t>
      </w:r>
    </w:p>
    <w:p>
      <w:pPr>
        <w:spacing w:before="0" w:after="140" w:line="300" w:lineRule="auto"/>
        <w:ind w:left="720" w:hanging="720"/>
        <w:jc w:val="both"/>
      </w:pPr>
      <w:r>
        <w:rPr>
          <w:rFonts w:ascii="Times New Roman" w:cs="Times New Roman" w:eastAsia="Times New Roman" w:hAnsi="Times New Roman"/>
          <w:sz w:val="20"/>
          <w:szCs w:val="20"/>
        </w:rPr>
        <w:t xml:space="preserve">Arslanalp, S., &amp; Henry, P. B. (2006). Debt relief. Journal of Economic Perspectives, 20(1), 207–220. https://doi.org/10.1257/089533006776526287</w:t>
      </w:r>
    </w:p>
    <w:p>
      <w:pPr>
        <w:spacing w:before="0" w:after="140" w:line="300" w:lineRule="auto"/>
        <w:ind w:left="720" w:hanging="720"/>
        <w:jc w:val="both"/>
      </w:pPr>
      <w:r>
        <w:rPr>
          <w:rFonts w:ascii="Times New Roman" w:cs="Times New Roman" w:eastAsia="Times New Roman" w:hAnsi="Times New Roman"/>
          <w:sz w:val="20"/>
          <w:szCs w:val="20"/>
        </w:rPr>
        <w:t xml:space="preserve">Azen, R., &amp; Budescu, D. V. (2003). The dominance analysis approach for comparing predictors in multiple regression. Psychological Methods, 8(2), 129–148. https://doi.org/10.1037/1082-989X.8.2.129</w:t>
      </w:r>
    </w:p>
    <w:p>
      <w:pPr>
        <w:spacing w:before="0" w:after="140" w:line="300" w:lineRule="auto"/>
        <w:ind w:left="720" w:hanging="720"/>
        <w:jc w:val="both"/>
      </w:pPr>
      <w:r>
        <w:rPr>
          <w:rFonts w:ascii="Times New Roman" w:cs="Times New Roman" w:eastAsia="Times New Roman" w:hAnsi="Times New Roman"/>
          <w:sz w:val="20"/>
          <w:szCs w:val="20"/>
        </w:rPr>
        <w:t xml:space="preserve">Budescu, D. V. (1993). Dominance analysis: A new approach to the problem of relative importance of predictors in multiple regression. Psychological Bulletin, 114(3), 542–551. https://doi.org/10.1037/0033-2909.114.3.542</w:t>
      </w:r>
    </w:p>
    <w:p>
      <w:pPr>
        <w:spacing w:before="0" w:after="140" w:line="300" w:lineRule="auto"/>
        <w:ind w:left="720" w:hanging="720"/>
        <w:jc w:val="both"/>
      </w:pPr>
      <w:r>
        <w:rPr>
          <w:rFonts w:ascii="Times New Roman" w:cs="Times New Roman" w:eastAsia="Times New Roman" w:hAnsi="Times New Roman"/>
          <w:sz w:val="20"/>
          <w:szCs w:val="20"/>
        </w:rPr>
        <w:t xml:space="preserve">Callaway, B., &amp; Sant'Anna, P. H. C. (2021). Difference-in-differences with multiple time periods. Journal of Econometrics, 225(2), 200–230. https://doi.org/10.1016/j.jeconom.2020.12.001</w:t>
      </w:r>
    </w:p>
    <w:p>
      <w:pPr>
        <w:spacing w:before="0" w:after="140" w:line="300" w:lineRule="auto"/>
        <w:ind w:left="720" w:hanging="720"/>
        <w:jc w:val="both"/>
      </w:pPr>
      <w:r>
        <w:rPr>
          <w:rFonts w:ascii="Times New Roman" w:cs="Times New Roman" w:eastAsia="Times New Roman" w:hAnsi="Times New Roman"/>
          <w:sz w:val="20"/>
          <w:szCs w:val="20"/>
        </w:rPr>
        <w:t xml:space="preserve">Chauvin, N. D., &amp; Kraay, A. (2005). What has 100 billion dollars worth of debt relief done for low-income countries? World Bank Policy Research Working Paper No. 3484.</w:t>
      </w:r>
    </w:p>
    <w:p>
      <w:pPr>
        <w:spacing w:before="0" w:after="140" w:line="300" w:lineRule="auto"/>
        <w:ind w:left="720" w:hanging="720"/>
        <w:jc w:val="both"/>
      </w:pPr>
      <w:r>
        <w:rPr>
          <w:rFonts w:ascii="Times New Roman" w:cs="Times New Roman" w:eastAsia="Times New Roman" w:hAnsi="Times New Roman"/>
          <w:sz w:val="20"/>
          <w:szCs w:val="20"/>
        </w:rPr>
        <w:t xml:space="preserve">Cordella, T., Ricci, L. A., &amp; Ruiz-Arranz, M. (2010). Debt overhang or debt irrelevance? IMF Staff Papers, 57(1), 1–24. https://doi.org/10.1057/imfsp.2009.20</w:t>
      </w:r>
    </w:p>
    <w:p>
      <w:pPr>
        <w:spacing w:before="0" w:after="140" w:line="300" w:lineRule="auto"/>
        <w:ind w:left="720" w:hanging="720"/>
        <w:jc w:val="both"/>
      </w:pPr>
      <w:r>
        <w:rPr>
          <w:rFonts w:ascii="Times New Roman" w:cs="Times New Roman" w:eastAsia="Times New Roman" w:hAnsi="Times New Roman"/>
          <w:sz w:val="20"/>
          <w:szCs w:val="20"/>
        </w:rPr>
        <w:t xml:space="preserve">Cox, D. R. (1972). Regression models and life-tables. Journal of the Royal Statistical Society: Series B (Methodological), 34(2), 187–202.</w:t>
      </w:r>
    </w:p>
    <w:p>
      <w:pPr>
        <w:spacing w:before="0" w:after="140" w:line="300" w:lineRule="auto"/>
        <w:ind w:left="720" w:hanging="720"/>
        <w:jc w:val="both"/>
      </w:pPr>
      <w:r>
        <w:rPr>
          <w:rFonts w:ascii="Times New Roman" w:cs="Times New Roman" w:eastAsia="Times New Roman" w:hAnsi="Times New Roman"/>
          <w:sz w:val="20"/>
          <w:szCs w:val="20"/>
        </w:rPr>
        <w:t xml:space="preserve">Dijkstra, G. (2008). The PRSP approach and the illusion of improved aid effectiveness. Development Policy Review, 26(2), 195–211. https://doi.org/10.1111/j.1467-7679.2008.00404.x</w:t>
      </w:r>
    </w:p>
    <w:p>
      <w:pPr>
        <w:spacing w:before="0" w:after="140" w:line="300" w:lineRule="auto"/>
        <w:ind w:left="720" w:hanging="720"/>
        <w:jc w:val="both"/>
      </w:pPr>
      <w:r>
        <w:rPr>
          <w:rFonts w:ascii="Times New Roman" w:cs="Times New Roman" w:eastAsia="Times New Roman" w:hAnsi="Times New Roman"/>
          <w:sz w:val="20"/>
          <w:szCs w:val="20"/>
        </w:rPr>
        <w:t xml:space="preserve">Dreher, A., Sturm, J. E., &amp; Vreeland, J. R. (2009). Development aid and international politics: Does membership on the UN Security Council influence World Bank decisions? Journal of Development Economics, 88(1), 1–18. https://doi.org/10.1016/j.jdeveco.2008.02.003</w:t>
      </w:r>
    </w:p>
    <w:p>
      <w:pPr>
        <w:spacing w:before="0" w:after="140" w:line="300" w:lineRule="auto"/>
        <w:ind w:left="720" w:hanging="720"/>
        <w:jc w:val="both"/>
      </w:pPr>
      <w:r>
        <w:rPr>
          <w:rFonts w:ascii="Times New Roman" w:cs="Times New Roman" w:eastAsia="Times New Roman" w:hAnsi="Times New Roman"/>
          <w:sz w:val="20"/>
          <w:szCs w:val="20"/>
        </w:rPr>
        <w:t xml:space="preserve">Easterly, W. (2006). The white man's burden: Why the West's efforts to aid the rest have done so much ill and so little good. Penguin Press.</w:t>
      </w:r>
    </w:p>
    <w:p>
      <w:pPr>
        <w:spacing w:before="0" w:after="140" w:line="300" w:lineRule="auto"/>
        <w:ind w:left="720" w:hanging="720"/>
        <w:jc w:val="both"/>
      </w:pPr>
      <w:r>
        <w:rPr>
          <w:rFonts w:ascii="Times New Roman" w:cs="Times New Roman" w:eastAsia="Times New Roman" w:hAnsi="Times New Roman"/>
          <w:sz w:val="20"/>
          <w:szCs w:val="20"/>
        </w:rPr>
        <w:t xml:space="preserve">Evans, P. (1995). Embedded autonomy: States and industrial transformation. Princeton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Fondo Monetario Internacional. (2022). Debt sustainability analysis — Low-income countries. DSA Database. https://www.imf.org/en/Publications/DSA</w:t>
      </w:r>
    </w:p>
    <w:p>
      <w:pPr>
        <w:spacing w:before="0" w:after="140" w:line="300" w:lineRule="auto"/>
        <w:ind w:left="720" w:hanging="720"/>
        <w:jc w:val="both"/>
      </w:pPr>
      <w:r>
        <w:rPr>
          <w:rFonts w:ascii="Times New Roman" w:cs="Times New Roman" w:eastAsia="Times New Roman" w:hAnsi="Times New Roman"/>
          <w:sz w:val="20"/>
          <w:szCs w:val="20"/>
        </w:rPr>
        <w:t xml:space="preserve">Freytag, A., &amp; Pehnelt, G. (2009). Debt relief and governance quality in developing countries. World Development, 37(1), 62–74. https://doi.org/10.1016/j.worlddev.2008.01.017</w:t>
      </w:r>
    </w:p>
    <w:p>
      <w:pPr>
        <w:spacing w:before="0" w:after="140" w:line="300" w:lineRule="auto"/>
        <w:ind w:left="720" w:hanging="720"/>
        <w:jc w:val="both"/>
      </w:pPr>
      <w:r>
        <w:rPr>
          <w:rFonts w:ascii="Times New Roman" w:cs="Times New Roman" w:eastAsia="Times New Roman" w:hAnsi="Times New Roman"/>
          <w:sz w:val="20"/>
          <w:szCs w:val="20"/>
        </w:rPr>
        <w:t xml:space="preserve">G20. (2020). Common framework for debt treatments beyond the DSSI. G20 Finance Ministers and Central Bank Governors.</w:t>
      </w:r>
    </w:p>
    <w:p>
      <w:pPr>
        <w:spacing w:before="0" w:after="140" w:line="300" w:lineRule="auto"/>
        <w:ind w:left="720" w:hanging="720"/>
        <w:jc w:val="both"/>
      </w:pPr>
      <w:r>
        <w:rPr>
          <w:rFonts w:ascii="Times New Roman" w:cs="Times New Roman" w:eastAsia="Times New Roman" w:hAnsi="Times New Roman"/>
          <w:sz w:val="20"/>
          <w:szCs w:val="20"/>
        </w:rPr>
        <w:t xml:space="preserve">Gelpern, A., Horn, S., Morris, S., Parks, B., &amp; Trebesch, C. (2021). How China lends: A rare look at 100 debt contracts with foreign governments. AidData Working Paper No. 111. https://doi.org/10.48558/A7E5-A244</w:t>
      </w:r>
    </w:p>
    <w:p>
      <w:pPr>
        <w:spacing w:before="0" w:after="140" w:line="300" w:lineRule="auto"/>
        <w:ind w:left="720" w:hanging="720"/>
        <w:jc w:val="both"/>
      </w:pPr>
      <w:r>
        <w:rPr>
          <w:rFonts w:ascii="Times New Roman" w:cs="Times New Roman" w:eastAsia="Times New Roman" w:hAnsi="Times New Roman"/>
          <w:sz w:val="20"/>
          <w:szCs w:val="20"/>
        </w:rPr>
        <w:t xml:space="preserve">Glaeser, E. L., La Porta, R., Lopez-de-Silanes, F., &amp; Shleifer, A. (2004). Do institutions cause growth? Journal of Economic Growth, 9(3), 271–303. https://doi.org/10.1023/B:JOEG.0000038933.16398.ed</w:t>
      </w:r>
    </w:p>
    <w:p>
      <w:pPr>
        <w:spacing w:before="0" w:after="140" w:line="300" w:lineRule="auto"/>
        <w:ind w:left="720" w:hanging="720"/>
        <w:jc w:val="both"/>
      </w:pPr>
      <w:r>
        <w:rPr>
          <w:rFonts w:ascii="Times New Roman" w:cs="Times New Roman" w:eastAsia="Times New Roman" w:hAnsi="Times New Roman"/>
          <w:sz w:val="20"/>
          <w:szCs w:val="20"/>
        </w:rPr>
        <w:t xml:space="preserve">Godet, M. (1993). From anticipation to action: A handbook of strategic prospective. UNESCO Publishing.</w:t>
      </w:r>
    </w:p>
    <w:p>
      <w:pPr>
        <w:spacing w:before="0" w:after="140" w:line="300" w:lineRule="auto"/>
        <w:ind w:left="720" w:hanging="720"/>
        <w:jc w:val="both"/>
      </w:pPr>
      <w:r>
        <w:rPr>
          <w:rFonts w:ascii="Times New Roman" w:cs="Times New Roman" w:eastAsia="Times New Roman" w:hAnsi="Times New Roman"/>
          <w:sz w:val="20"/>
          <w:szCs w:val="20"/>
        </w:rPr>
        <w:t xml:space="preserve">Godet, M., &amp; Durance, P. (2011). La prospective stratégique pour les entreprises et les territoires. Dunod.</w:t>
      </w:r>
    </w:p>
    <w:p>
      <w:pPr>
        <w:spacing w:before="0" w:after="140" w:line="300" w:lineRule="auto"/>
        <w:ind w:left="720" w:hanging="720"/>
        <w:jc w:val="both"/>
      </w:pPr>
      <w:r>
        <w:rPr>
          <w:rFonts w:ascii="Times New Roman" w:cs="Times New Roman" w:eastAsia="Times New Roman" w:hAnsi="Times New Roman"/>
          <w:sz w:val="20"/>
          <w:szCs w:val="20"/>
        </w:rPr>
        <w:t xml:space="preserve">Hepp, R. (2005). Can debt relief buy growth? Fordham University Department of Economics Discussion Paper No. 2005-05.</w:t>
      </w:r>
    </w:p>
    <w:p>
      <w:pPr>
        <w:spacing w:before="0" w:after="140" w:line="300" w:lineRule="auto"/>
        <w:ind w:left="720" w:hanging="720"/>
        <w:jc w:val="both"/>
      </w:pPr>
      <w:r>
        <w:rPr>
          <w:rFonts w:ascii="Times New Roman" w:cs="Times New Roman" w:eastAsia="Times New Roman" w:hAnsi="Times New Roman"/>
          <w:sz w:val="20"/>
          <w:szCs w:val="20"/>
        </w:rPr>
        <w:t xml:space="preserve">Horn, S., Reinhart, C. M., &amp; Trebesch, C. (2021). China's overseas lending. Journal of International Economics, 133, Article 103538. https://doi.org/10.1016/j.jinteco.2021.103538</w:t>
      </w:r>
    </w:p>
    <w:p>
      <w:pPr>
        <w:spacing w:before="0" w:after="140" w:line="300" w:lineRule="auto"/>
        <w:ind w:left="720" w:hanging="720"/>
        <w:jc w:val="both"/>
      </w:pPr>
      <w:r>
        <w:rPr>
          <w:rFonts w:ascii="Times New Roman" w:cs="Times New Roman" w:eastAsia="Times New Roman" w:hAnsi="Times New Roman"/>
          <w:sz w:val="20"/>
          <w:szCs w:val="20"/>
        </w:rPr>
        <w:t xml:space="preserve">Kentikelenis, A. E., Stubbs, T. H., &amp; King, L. P. (2016). IMF conditionality and development policy space, 1985–2014. Review of International Political Economy, 23(4), 543–582. https://doi.org/10.1080/09692290.2016.1174953</w:t>
      </w:r>
    </w:p>
    <w:p>
      <w:pPr>
        <w:spacing w:before="0" w:after="140" w:line="300" w:lineRule="auto"/>
        <w:ind w:left="720" w:hanging="720"/>
        <w:jc w:val="both"/>
      </w:pPr>
      <w:r>
        <w:rPr>
          <w:rFonts w:ascii="Times New Roman" w:cs="Times New Roman" w:eastAsia="Times New Roman" w:hAnsi="Times New Roman"/>
          <w:sz w:val="20"/>
          <w:szCs w:val="20"/>
        </w:rPr>
        <w:t xml:space="preserve">Krugman, P. (1988). Financing versus forgiving a debt overhang. Journal of Development Economics, 29(3), 253–268. https://doi.org/10.1016/0304-3878(88)90044-2</w:t>
      </w:r>
    </w:p>
    <w:p>
      <w:pPr>
        <w:spacing w:before="0" w:after="140" w:line="300" w:lineRule="auto"/>
        <w:ind w:left="720" w:hanging="720"/>
        <w:jc w:val="both"/>
      </w:pPr>
      <w:r>
        <w:rPr>
          <w:rFonts w:ascii="Times New Roman" w:cs="Times New Roman" w:eastAsia="Times New Roman" w:hAnsi="Times New Roman"/>
          <w:sz w:val="20"/>
          <w:szCs w:val="20"/>
        </w:rPr>
        <w:t xml:space="preserve">Mishra, P., &amp; Newhouse, D. (2009). Does health aid matter? Journal of Health Economics, 28(4), 855–872. https://doi.org/10.1016/j.jhealeco.2009.05.004</w:t>
      </w:r>
    </w:p>
    <w:p>
      <w:pPr>
        <w:spacing w:before="0" w:after="140" w:line="300" w:lineRule="auto"/>
        <w:ind w:left="720" w:hanging="720"/>
        <w:jc w:val="both"/>
      </w:pPr>
      <w:r>
        <w:rPr>
          <w:rFonts w:ascii="Times New Roman" w:cs="Times New Roman" w:eastAsia="Times New Roman" w:hAnsi="Times New Roman"/>
          <w:sz w:val="20"/>
          <w:szCs w:val="20"/>
        </w:rPr>
        <w:t xml:space="preserve">North, D. C. (1990). Institutions, institutional change and economic performance. Cambridge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North, D. C., &amp; Thomas, R. P. (1973). The rise of the western world: A new economic history. Cambridge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North, D. C., &amp; Weingast, B. R. (1989). Constitutions and commitment: The evolution of institutional governing public choice in seventeenth-century England. Journal of Economic History, 49(4), 803–832.</w:t>
      </w:r>
    </w:p>
    <w:p>
      <w:pPr>
        <w:spacing w:before="0" w:after="140" w:line="300" w:lineRule="auto"/>
        <w:ind w:left="720" w:hanging="720"/>
        <w:jc w:val="both"/>
      </w:pPr>
      <w:r>
        <w:rPr>
          <w:rFonts w:ascii="Times New Roman" w:cs="Times New Roman" w:eastAsia="Times New Roman" w:hAnsi="Times New Roman"/>
          <w:sz w:val="20"/>
          <w:szCs w:val="20"/>
        </w:rPr>
        <w:t xml:space="preserve">Presbitero, A. F. (2009). Debt relief effectiveness and institution-building. Development Policy Review, 27(5), 529–559. https://doi.org/10.1111/j.1467-7679.2009.00460.x</w:t>
      </w:r>
    </w:p>
    <w:p>
      <w:pPr>
        <w:spacing w:before="0" w:after="140" w:line="300" w:lineRule="auto"/>
        <w:ind w:left="720" w:hanging="720"/>
        <w:jc w:val="both"/>
      </w:pPr>
      <w:r>
        <w:rPr>
          <w:rFonts w:ascii="Times New Roman" w:cs="Times New Roman" w:eastAsia="Times New Roman" w:hAnsi="Times New Roman"/>
          <w:sz w:val="20"/>
          <w:szCs w:val="20"/>
        </w:rPr>
        <w:t xml:space="preserve">Prizzon, A., &amp; Mustapha, S. (2014). Debt sustainability in heavily indebted poor countries in a new age of choice. Overseas Development Institute Working Paper No. 397.</w:t>
      </w:r>
    </w:p>
    <w:p>
      <w:pPr>
        <w:spacing w:before="0" w:after="140" w:line="300" w:lineRule="auto"/>
        <w:ind w:left="720" w:hanging="720"/>
        <w:jc w:val="both"/>
      </w:pPr>
      <w:r>
        <w:rPr>
          <w:rFonts w:ascii="Times New Roman" w:cs="Times New Roman" w:eastAsia="Times New Roman" w:hAnsi="Times New Roman"/>
          <w:sz w:val="20"/>
          <w:szCs w:val="20"/>
        </w:rPr>
        <w:t xml:space="preserve">Reinhart, C. M., &amp; Rogoff, K. S. (2009). This time is different: Eight centuries of financial folly. Princeton University Press.</w:t>
      </w:r>
    </w:p>
    <w:p>
      <w:pPr>
        <w:spacing w:before="0" w:after="140" w:line="300" w:lineRule="auto"/>
        <w:ind w:left="720" w:hanging="720"/>
        <w:jc w:val="both"/>
      </w:pPr>
      <w:r>
        <w:rPr>
          <w:rFonts w:ascii="Times New Roman" w:cs="Times New Roman" w:eastAsia="Times New Roman" w:hAnsi="Times New Roman"/>
          <w:sz w:val="20"/>
          <w:szCs w:val="20"/>
        </w:rPr>
        <w:t xml:space="preserve">Reinhart, C. M., Reinhart, V., &amp; Trebesch, C. (2016). Global cycles: Capital flows, commodities, and sovereign defaults, 1815–2015. American Economic Review, 106(5), 574–580.</w:t>
      </w:r>
    </w:p>
    <w:p>
      <w:pPr>
        <w:spacing w:before="0" w:after="140" w:line="300" w:lineRule="auto"/>
        <w:ind w:left="720" w:hanging="720"/>
        <w:jc w:val="both"/>
      </w:pPr>
      <w:r>
        <w:rPr>
          <w:rFonts w:ascii="Times New Roman" w:cs="Times New Roman" w:eastAsia="Times New Roman" w:hAnsi="Times New Roman"/>
          <w:sz w:val="20"/>
          <w:szCs w:val="20"/>
        </w:rPr>
        <w:t xml:space="preserve">Rodrik, D. (2006). Goodbye Washington Consensus, hello Washington confusion? A review of the World Bank's economic growth in the 1990s. Journal of Economic Literature, 44(4), 973–987. https://doi.org/10.1257/jel.44.4.973</w:t>
      </w:r>
    </w:p>
    <w:p>
      <w:pPr>
        <w:spacing w:before="0" w:after="140" w:line="300" w:lineRule="auto"/>
        <w:ind w:left="720" w:hanging="720"/>
        <w:jc w:val="both"/>
      </w:pPr>
      <w:r>
        <w:rPr>
          <w:rFonts w:ascii="Times New Roman" w:cs="Times New Roman" w:eastAsia="Times New Roman" w:hAnsi="Times New Roman"/>
          <w:sz w:val="20"/>
          <w:szCs w:val="20"/>
        </w:rPr>
        <w:t xml:space="preserve">Rodrik, D., Subramanian, A., &amp; Trebbi, F. (2004). Institutions rule: The primacy of institutions over geography and integration in economic development. Journal of Economic Growth, 9(2), 131–165.</w:t>
      </w:r>
    </w:p>
    <w:p>
      <w:pPr>
        <w:spacing w:before="0" w:after="140" w:line="300" w:lineRule="auto"/>
        <w:ind w:left="720" w:hanging="720"/>
        <w:jc w:val="both"/>
      </w:pPr>
      <w:r>
        <w:rPr>
          <w:rFonts w:ascii="Times New Roman" w:cs="Times New Roman" w:eastAsia="Times New Roman" w:hAnsi="Times New Roman"/>
          <w:sz w:val="20"/>
          <w:szCs w:val="20"/>
        </w:rPr>
        <w:t xml:space="preserve">Sachs, J. D. (1989). The debt overhang of developing countries. En G. A. Calvo, R. Findlay, P. Kouri, &amp; J. B. de Macedo (Eds.), Debt, stabilization and development (pp. 80–102). Blackwell.</w:t>
      </w:r>
    </w:p>
    <w:p>
      <w:pPr>
        <w:spacing w:before="0" w:after="140" w:line="300" w:lineRule="auto"/>
        <w:ind w:left="720" w:hanging="720"/>
        <w:jc w:val="both"/>
      </w:pPr>
      <w:r>
        <w:rPr>
          <w:rFonts w:ascii="Times New Roman" w:cs="Times New Roman" w:eastAsia="Times New Roman" w:hAnsi="Times New Roman"/>
          <w:sz w:val="20"/>
          <w:szCs w:val="20"/>
        </w:rPr>
        <w:t xml:space="preserve">Sachs, J. D. (2005). The end of poverty: Economic possibilities for our time. Penguin Press.</w:t>
      </w:r>
    </w:p>
    <w:p>
      <w:pPr>
        <w:spacing w:before="0" w:after="140" w:line="300" w:lineRule="auto"/>
        <w:ind w:left="720" w:hanging="720"/>
        <w:jc w:val="both"/>
      </w:pPr>
      <w:r>
        <w:rPr>
          <w:rFonts w:ascii="Times New Roman" w:cs="Times New Roman" w:eastAsia="Times New Roman" w:hAnsi="Times New Roman"/>
          <w:sz w:val="20"/>
          <w:szCs w:val="20"/>
        </w:rPr>
        <w:t xml:space="preserve">Sachs, J. D., &amp; Warner, A. M. (1997). Sources of slow growth in African economies. Journal of African Economies, 6(3), 335–376.</w:t>
      </w:r>
    </w:p>
    <w:p>
      <w:pPr>
        <w:spacing w:before="0" w:after="140" w:line="300" w:lineRule="auto"/>
        <w:ind w:left="720" w:hanging="720"/>
        <w:jc w:val="both"/>
      </w:pPr>
      <w:r>
        <w:rPr>
          <w:rFonts w:ascii="Times New Roman" w:cs="Times New Roman" w:eastAsia="Times New Roman" w:hAnsi="Times New Roman"/>
          <w:sz w:val="20"/>
          <w:szCs w:val="20"/>
        </w:rPr>
        <w:t xml:space="preserve">Stiglitz, J. E. (2002). Globalization and its discontents. W. W. Norton.</w:t>
      </w:r>
    </w:p>
    <w:p>
      <w:pPr>
        <w:spacing w:before="0" w:after="140" w:line="300" w:lineRule="auto"/>
        <w:ind w:left="720" w:hanging="720"/>
        <w:jc w:val="both"/>
      </w:pPr>
      <w:r>
        <w:rPr>
          <w:rFonts w:ascii="Times New Roman" w:cs="Times New Roman" w:eastAsia="Times New Roman" w:hAnsi="Times New Roman"/>
          <w:sz w:val="20"/>
          <w:szCs w:val="20"/>
        </w:rPr>
        <w:t xml:space="preserve">Stone, R. W. (2008). The scope of IMF conditionality. International Organization, 62(4), 589–620. https://doi.org/10.1017/S0020818308080211</w:t>
      </w:r>
    </w:p>
    <w:p>
      <w:pPr>
        <w:spacing w:before="0" w:after="140" w:line="300" w:lineRule="auto"/>
        <w:ind w:left="720" w:hanging="720"/>
        <w:jc w:val="both"/>
      </w:pPr>
      <w:r>
        <w:rPr>
          <w:rFonts w:ascii="Times New Roman" w:cs="Times New Roman" w:eastAsia="Times New Roman" w:hAnsi="Times New Roman"/>
          <w:sz w:val="20"/>
          <w:szCs w:val="20"/>
        </w:rPr>
        <w:t xml:space="preserve">Teorell, J., Sundström, A., Holmberg, S., Rothstein, B., Alvarado Pacheco, N., &amp; Dahl, M. (2021). The Quality of Government Standard Dataset, version Jan21. University of Gothenburg: The Quality of Government Institute. https://doi.org/10.18157/qogstdjan21</w:t>
      </w:r>
    </w:p>
    <w:p>
      <w:pPr>
        <w:spacing w:before="0" w:after="140" w:line="300" w:lineRule="auto"/>
        <w:ind w:left="720" w:hanging="720"/>
        <w:jc w:val="both"/>
      </w:pPr>
      <w:r>
        <w:rPr>
          <w:rFonts w:ascii="Times New Roman" w:cs="Times New Roman" w:eastAsia="Times New Roman" w:hAnsi="Times New Roman"/>
          <w:sz w:val="20"/>
          <w:szCs w:val="20"/>
        </w:rPr>
        <w:t xml:space="preserve">Williamson, J. (1990). What Washington means by policy reform. En J. Williamson (Ed.), Latin American adjustment: How much has happened? (pp. 7–20). Institute for International Economics.</w:t>
      </w:r>
    </w:p>
    <w:p>
      <w:pPr>
        <w:spacing w:before="0" w:after="140" w:line="300" w:lineRule="auto"/>
        <w:ind w:left="720" w:hanging="720"/>
        <w:jc w:val="both"/>
      </w:pPr>
      <w:r>
        <w:rPr>
          <w:rFonts w:ascii="Times New Roman" w:cs="Times New Roman" w:eastAsia="Times New Roman" w:hAnsi="Times New Roman"/>
          <w:sz w:val="20"/>
          <w:szCs w:val="20"/>
        </w:rPr>
        <w:t xml:space="preserve">World Bank. (1996). The HIPC debt initiative: A progress report. World Bank Development Committee Paper.</w:t>
      </w:r>
    </w:p>
    <w:p>
      <w:pPr>
        <w:spacing w:before="0" w:after="0" w:line="240"/>
      </w:pPr>
      <w:r>
        <w:t xml:space="preserve"/>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597" w:sz="4" w:space="1"/>
      </w:pBd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7" w:sz="4" w:space="1"/>
      </w:pBdr>
      <w:spacing w:after="80"/>
      <w:jc w:val="right"/>
    </w:pPr>
    <w:r>
      <w:rPr>
        <w:rFonts w:ascii="Times New Roman" w:cs="Times New Roman" w:eastAsia="Times New Roman" w:hAnsi="Times New Roman"/>
        <w:color w:val="666666"/>
        <w:sz w:val="18"/>
        <w:szCs w:val="18"/>
      </w:rPr>
      <w:t xml:space="preserve">Tesis doctoral — Iniciativa HIPC · Capítulo 2: Marco teórico, histórico y metodológico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320" w:after="160"/>
      <w:outlineLvl w:val="1"/>
    </w:pPr>
    <w:rPr>
      <w:rFonts w:ascii="Times New Roman" w:cs="Times New Roman" w:eastAsia="Times New Roman" w:hAnsi="Times New Roman"/>
      <w:b/>
      <w:bCs/>
      <w:color w:val="2E5597"/>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2026-03-27T23:00:12.949Z</dcterms:created>
  <dcterms:modified xsi:type="dcterms:W3CDTF">2026-03-27T23:00:12.950Z</dcterms:modified>
</cp:coreProperties>
</file>

<file path=docProps/custom.xml><?xml version="1.0" encoding="utf-8"?>
<Properties xmlns="http://schemas.openxmlformats.org/officeDocument/2006/custom-properties" xmlns:vt="http://schemas.openxmlformats.org/officeDocument/2006/docPropsVTypes"/>
</file>