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26DB" w14:textId="651196C5" w:rsidR="00B564A0" w:rsidRDefault="00B564A0">
      <w:r>
        <w:rPr>
          <w:noProof/>
        </w:rPr>
        <w:drawing>
          <wp:inline distT="0" distB="0" distL="0" distR="0" wp14:anchorId="6ED1FAED" wp14:editId="5E4A5FFD">
            <wp:extent cx="5612130" cy="4305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6296"/>
      </w:tblGrid>
      <w:tr w:rsidR="00B564A0" w:rsidRPr="00B564A0" w14:paraId="2305827C" w14:textId="77777777" w:rsidTr="00B56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B58D2" w14:textId="77777777" w:rsidR="00B564A0" w:rsidRPr="00B564A0" w:rsidRDefault="00B564A0" w:rsidP="00B564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Término / Campo</w:t>
            </w:r>
          </w:p>
        </w:tc>
        <w:tc>
          <w:tcPr>
            <w:tcW w:w="0" w:type="auto"/>
            <w:vAlign w:val="center"/>
            <w:hideMark/>
          </w:tcPr>
          <w:p w14:paraId="461B5E82" w14:textId="77777777" w:rsidR="00B564A0" w:rsidRPr="00B564A0" w:rsidRDefault="00B564A0" w:rsidP="00B564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Definición o Explicación</w:t>
            </w:r>
          </w:p>
        </w:tc>
      </w:tr>
      <w:tr w:rsidR="00B564A0" w:rsidRPr="00B564A0" w14:paraId="4EF3EF01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A00C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Base de Datos Relacional (RDBMS)</w:t>
            </w:r>
          </w:p>
        </w:tc>
        <w:tc>
          <w:tcPr>
            <w:tcW w:w="0" w:type="auto"/>
            <w:vAlign w:val="center"/>
            <w:hideMark/>
          </w:tcPr>
          <w:p w14:paraId="2CE7AD66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Sistema que organiza la información en tablas relacionadas mediante claves primarias y foráneas (en este caso, se usa </w:t>
            </w:r>
            <w:r w:rsidRPr="00B564A0">
              <w:rPr>
                <w:rFonts w:ascii="Arial" w:eastAsia="Times New Roman" w:hAnsi="Arial" w:cs="Arial"/>
                <w:i/>
                <w:iCs/>
                <w:lang w:eastAsia="es-CO"/>
              </w:rPr>
              <w:t>MySQL/</w:t>
            </w:r>
            <w:proofErr w:type="spellStart"/>
            <w:r w:rsidRPr="00B564A0">
              <w:rPr>
                <w:rFonts w:ascii="Arial" w:eastAsia="Times New Roman" w:hAnsi="Arial" w:cs="Arial"/>
                <w:i/>
                <w:iCs/>
                <w:lang w:eastAsia="es-CO"/>
              </w:rPr>
              <w:t>MariaDB</w:t>
            </w:r>
            <w:proofErr w:type="spellEnd"/>
            <w:r w:rsidRPr="00B564A0">
              <w:rPr>
                <w:rFonts w:ascii="Arial" w:eastAsia="Times New Roman" w:hAnsi="Arial" w:cs="Arial"/>
                <w:lang w:eastAsia="es-CO"/>
              </w:rPr>
              <w:t>).</w:t>
            </w:r>
          </w:p>
        </w:tc>
      </w:tr>
      <w:tr w:rsidR="00B564A0" w:rsidRPr="00B564A0" w14:paraId="20352C46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E81B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Normalización de Datos</w:t>
            </w:r>
          </w:p>
        </w:tc>
        <w:tc>
          <w:tcPr>
            <w:tcW w:w="0" w:type="auto"/>
            <w:vAlign w:val="center"/>
            <w:hideMark/>
          </w:tcPr>
          <w:p w14:paraId="45E93F7B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Proceso de organizar los datos para reducir redundancias y mejorar la integridad. En el proyecto se aplican varias tablas (departamentos, municipios, proveedores, etc.) en vez de una sola grande.</w:t>
            </w:r>
          </w:p>
        </w:tc>
      </w:tr>
      <w:tr w:rsidR="00B564A0" w:rsidRPr="00B564A0" w14:paraId="49A4E73F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440F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466FC9FE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División territorial principal de Colombia (equivalente a una “región” o “estado”).</w:t>
            </w:r>
          </w:p>
        </w:tc>
      </w:tr>
      <w:tr w:rsidR="00B564A0" w:rsidRPr="00B564A0" w14:paraId="37CEA9E0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2AC9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Municipio</w:t>
            </w:r>
          </w:p>
        </w:tc>
        <w:tc>
          <w:tcPr>
            <w:tcW w:w="0" w:type="auto"/>
            <w:vAlign w:val="center"/>
            <w:hideMark/>
          </w:tcPr>
          <w:p w14:paraId="299E452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Subdivisión administrativa dentro de un departamento. Contiene una o varias localidades o centros poblados.</w:t>
            </w:r>
          </w:p>
        </w:tc>
      </w:tr>
      <w:tr w:rsidR="00B564A0" w:rsidRPr="00B564A0" w14:paraId="39C421DC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DAA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Centro Poblado</w:t>
            </w:r>
          </w:p>
        </w:tc>
        <w:tc>
          <w:tcPr>
            <w:tcW w:w="0" w:type="auto"/>
            <w:vAlign w:val="center"/>
            <w:hideMark/>
          </w:tcPr>
          <w:p w14:paraId="5B6B2DAD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Área habitada dentro de un municipio (puede ser cabecera municipal o zona rural concentrada).</w:t>
            </w:r>
          </w:p>
        </w:tc>
      </w:tr>
      <w:tr w:rsidR="00B564A0" w:rsidRPr="00B564A0" w14:paraId="6D786FEA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D0DC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Cabecera Municipal</w:t>
            </w:r>
          </w:p>
        </w:tc>
        <w:tc>
          <w:tcPr>
            <w:tcW w:w="0" w:type="auto"/>
            <w:vAlign w:val="center"/>
            <w:hideMark/>
          </w:tcPr>
          <w:p w14:paraId="0E805CE5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Población principal del municipio, donde usualmente se encuentra la administración local.</w:t>
            </w:r>
          </w:p>
        </w:tc>
      </w:tr>
      <w:tr w:rsidR="00B564A0" w:rsidRPr="00B564A0" w14:paraId="5182E4E9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6316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4C681F3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Empresa que ofrece servicios de telecomunicaciones móviles (ej. Claro, Tigo, Movistar).</w:t>
            </w:r>
          </w:p>
        </w:tc>
      </w:tr>
      <w:tr w:rsidR="00B564A0" w:rsidRPr="00B564A0" w14:paraId="36287767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AD9E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Nombre Comercial</w:t>
            </w:r>
          </w:p>
        </w:tc>
        <w:tc>
          <w:tcPr>
            <w:tcW w:w="0" w:type="auto"/>
            <w:vAlign w:val="center"/>
            <w:hideMark/>
          </w:tcPr>
          <w:p w14:paraId="53D53A3F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Denominación bajo la cual opera el proveedor ante los usuarios (puede diferir del nombre jurídico).</w:t>
            </w:r>
          </w:p>
        </w:tc>
      </w:tr>
      <w:tr w:rsidR="00B564A0" w:rsidRPr="00B564A0" w14:paraId="28D5E36B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6F34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Indicadores Socioeconómicos</w:t>
            </w:r>
          </w:p>
        </w:tc>
        <w:tc>
          <w:tcPr>
            <w:tcW w:w="0" w:type="auto"/>
            <w:vAlign w:val="center"/>
            <w:hideMark/>
          </w:tcPr>
          <w:p w14:paraId="52ABEDFD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Conjunto de variables que describen el nivel de desarrollo o condiciones de vida de una población (ingresos, pobreza, desempleo, etc.).</w:t>
            </w:r>
          </w:p>
        </w:tc>
      </w:tr>
      <w:tr w:rsidR="00B564A0" w:rsidRPr="00B564A0" w14:paraId="4E986D65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57E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Estrato Promedio</w:t>
            </w:r>
          </w:p>
        </w:tc>
        <w:tc>
          <w:tcPr>
            <w:tcW w:w="0" w:type="auto"/>
            <w:vAlign w:val="center"/>
            <w:hideMark/>
          </w:tcPr>
          <w:p w14:paraId="13736FE5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Promedio del nivel socioeconómico de los hogares de un municipio, según clasificación oficial de Colombia (1 a 6).</w:t>
            </w:r>
          </w:p>
        </w:tc>
      </w:tr>
      <w:tr w:rsidR="00B564A0" w:rsidRPr="00B564A0" w14:paraId="660864BE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A74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Ingreso Promedio del Hogar</w:t>
            </w:r>
          </w:p>
        </w:tc>
        <w:tc>
          <w:tcPr>
            <w:tcW w:w="0" w:type="auto"/>
            <w:vAlign w:val="center"/>
            <w:hideMark/>
          </w:tcPr>
          <w:p w14:paraId="2F83956E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Valor promedio mensual o anual que reciben los hogares en un municipio.</w:t>
            </w:r>
          </w:p>
        </w:tc>
      </w:tr>
      <w:tr w:rsidR="00B564A0" w:rsidRPr="00B564A0" w14:paraId="5D4734BC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A74F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Tasa de Pobreza</w:t>
            </w:r>
          </w:p>
        </w:tc>
        <w:tc>
          <w:tcPr>
            <w:tcW w:w="0" w:type="auto"/>
            <w:vAlign w:val="center"/>
            <w:hideMark/>
          </w:tcPr>
          <w:p w14:paraId="05D87D2F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Porcentaje de la población con ingresos por debajo del umbral de pobreza definido nacionalmente.</w:t>
            </w:r>
          </w:p>
        </w:tc>
      </w:tr>
      <w:tr w:rsidR="00B564A0" w:rsidRPr="00B564A0" w14:paraId="39254D0B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0723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Índice NBI (Necesidades Básicas Insatisfechas)</w:t>
            </w:r>
          </w:p>
        </w:tc>
        <w:tc>
          <w:tcPr>
            <w:tcW w:w="0" w:type="auto"/>
            <w:vAlign w:val="center"/>
            <w:hideMark/>
          </w:tcPr>
          <w:p w14:paraId="2E818057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Indicador que mide las carencias esenciales en vivienda, educación, servicios, etc.</w:t>
            </w:r>
          </w:p>
        </w:tc>
      </w:tr>
      <w:tr w:rsidR="00B564A0" w:rsidRPr="00B564A0" w14:paraId="1E6D9034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64C1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Tasa de Desempleo</w:t>
            </w:r>
          </w:p>
        </w:tc>
        <w:tc>
          <w:tcPr>
            <w:tcW w:w="0" w:type="auto"/>
            <w:vAlign w:val="center"/>
            <w:hideMark/>
          </w:tcPr>
          <w:p w14:paraId="6E6B1E1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Porcentaje de personas que no tienen </w:t>
            </w:r>
            <w:proofErr w:type="gramStart"/>
            <w:r w:rsidRPr="00B564A0">
              <w:rPr>
                <w:rFonts w:ascii="Arial" w:eastAsia="Times New Roman" w:hAnsi="Arial" w:cs="Arial"/>
                <w:lang w:eastAsia="es-CO"/>
              </w:rPr>
              <w:t>empleo</w:t>
            </w:r>
            <w:proofErr w:type="gramEnd"/>
            <w:r w:rsidRPr="00B564A0">
              <w:rPr>
                <w:rFonts w:ascii="Arial" w:eastAsia="Times New Roman" w:hAnsi="Arial" w:cs="Arial"/>
                <w:lang w:eastAsia="es-CO"/>
              </w:rPr>
              <w:t xml:space="preserve"> pero buscan activamente trabajo.</w:t>
            </w:r>
          </w:p>
        </w:tc>
      </w:tr>
      <w:tr w:rsidR="00B564A0" w:rsidRPr="00B564A0" w14:paraId="508A5A16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D183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Tasa de Electrificación</w:t>
            </w:r>
          </w:p>
        </w:tc>
        <w:tc>
          <w:tcPr>
            <w:tcW w:w="0" w:type="auto"/>
            <w:vAlign w:val="center"/>
            <w:hideMark/>
          </w:tcPr>
          <w:p w14:paraId="340F7864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Porcentaje de hogares que tienen acceso al servicio de energía eléctrica.</w:t>
            </w:r>
          </w:p>
        </w:tc>
      </w:tr>
      <w:tr w:rsidR="00B564A0" w:rsidRPr="00B564A0" w14:paraId="6C800419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DBF3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Pct. Hogares con Internet</w:t>
            </w:r>
          </w:p>
        </w:tc>
        <w:tc>
          <w:tcPr>
            <w:tcW w:w="0" w:type="auto"/>
            <w:vAlign w:val="center"/>
            <w:hideMark/>
          </w:tcPr>
          <w:p w14:paraId="5D38F0F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Porcentaje de hogares con acceso a Internet fijo o móvil.</w:t>
            </w:r>
          </w:p>
        </w:tc>
      </w:tr>
      <w:tr w:rsidR="00B564A0" w:rsidRPr="00B564A0" w14:paraId="297B70EC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15EB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Inversión Pública per Cápita</w:t>
            </w:r>
          </w:p>
        </w:tc>
        <w:tc>
          <w:tcPr>
            <w:tcW w:w="0" w:type="auto"/>
            <w:vAlign w:val="center"/>
            <w:hideMark/>
          </w:tcPr>
          <w:p w14:paraId="17977BF7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Monto promedio de inversión pública por persona en un municipio.</w:t>
            </w:r>
          </w:p>
        </w:tc>
      </w:tr>
      <w:tr w:rsidR="00B564A0" w:rsidRPr="00B564A0" w14:paraId="1EBF6FA2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DE6E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Cobertura Móvil</w:t>
            </w:r>
          </w:p>
        </w:tc>
        <w:tc>
          <w:tcPr>
            <w:tcW w:w="0" w:type="auto"/>
            <w:vAlign w:val="center"/>
            <w:hideMark/>
          </w:tcPr>
          <w:p w14:paraId="660D13D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Disponibilidad o acceso de señal de red móvil (2G, 3G, 4G, LTE, 5G) en una zona determinada.</w:t>
            </w:r>
          </w:p>
        </w:tc>
      </w:tr>
      <w:tr w:rsidR="00B564A0" w:rsidRPr="00B564A0" w14:paraId="120B6983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60BC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lastRenderedPageBreak/>
              <w:t>2G / 3G / 4G / LTE / 5G</w:t>
            </w:r>
          </w:p>
        </w:tc>
        <w:tc>
          <w:tcPr>
            <w:tcW w:w="0" w:type="auto"/>
            <w:vAlign w:val="center"/>
            <w:hideMark/>
          </w:tcPr>
          <w:p w14:paraId="41CDDFB1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Generaciones de tecnología móvil, donde cada una mejora la velocidad y calidad de conexión.</w:t>
            </w:r>
          </w:p>
        </w:tc>
      </w:tr>
      <w:tr w:rsidR="00B564A0" w:rsidRPr="00B564A0" w14:paraId="14DCEC8B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82C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Cobertura HSPA / HSPA+ / DC-HSPA</w:t>
            </w:r>
          </w:p>
        </w:tc>
        <w:tc>
          <w:tcPr>
            <w:tcW w:w="0" w:type="auto"/>
            <w:vAlign w:val="center"/>
            <w:hideMark/>
          </w:tcPr>
          <w:p w14:paraId="323420D9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Tecnologías intermedias entre 3G y 4G, que mejoran la velocidad de transmisión.</w:t>
            </w:r>
          </w:p>
        </w:tc>
      </w:tr>
      <w:tr w:rsidR="00B564A0" w:rsidRPr="00B564A0" w14:paraId="3F14C3F7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3D73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CSV (</w:t>
            </w: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Comma</w:t>
            </w:r>
            <w:proofErr w:type="spell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 xml:space="preserve"> </w:t>
            </w: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Separated</w:t>
            </w:r>
            <w:proofErr w:type="spell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 xml:space="preserve"> </w:t>
            </w: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Values</w:t>
            </w:r>
            <w:proofErr w:type="spell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21646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Formato de archivo de texto en el que los datos se separan por comas, usado para importar/exportar grandes volúmenes de información.</w:t>
            </w:r>
          </w:p>
        </w:tc>
      </w:tr>
      <w:tr w:rsidR="00B564A0" w:rsidRPr="00B564A0" w14:paraId="3BA4BBC2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B5C5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Script en Python</w:t>
            </w:r>
          </w:p>
        </w:tc>
        <w:tc>
          <w:tcPr>
            <w:tcW w:w="0" w:type="auto"/>
            <w:vAlign w:val="center"/>
            <w:hideMark/>
          </w:tcPr>
          <w:p w14:paraId="3B8014A4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Archivo que contiene código Python para automatizar tareas (en este caso, crear la base de datos y cargar los datos).</w:t>
            </w:r>
          </w:p>
        </w:tc>
      </w:tr>
      <w:tr w:rsidR="00B564A0" w:rsidRPr="00B564A0" w14:paraId="315486AC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D5B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Librería Pandas</w:t>
            </w:r>
          </w:p>
        </w:tc>
        <w:tc>
          <w:tcPr>
            <w:tcW w:w="0" w:type="auto"/>
            <w:vAlign w:val="center"/>
            <w:hideMark/>
          </w:tcPr>
          <w:p w14:paraId="28E9EDCC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Herramienta de Python para manejo y análisis de datos en estructuras tipo tabla (</w:t>
            </w:r>
            <w:proofErr w:type="spellStart"/>
            <w:r w:rsidRPr="00B564A0">
              <w:rPr>
                <w:rFonts w:ascii="Arial" w:eastAsia="Times New Roman" w:hAnsi="Arial" w:cs="Arial"/>
                <w:lang w:eastAsia="es-CO"/>
              </w:rPr>
              <w:t>DataFrames</w:t>
            </w:r>
            <w:proofErr w:type="spellEnd"/>
            <w:r w:rsidRPr="00B564A0">
              <w:rPr>
                <w:rFonts w:ascii="Arial" w:eastAsia="Times New Roman" w:hAnsi="Arial" w:cs="Arial"/>
                <w:lang w:eastAsia="es-CO"/>
              </w:rPr>
              <w:t>).</w:t>
            </w:r>
          </w:p>
        </w:tc>
      </w:tr>
      <w:tr w:rsidR="00B564A0" w:rsidRPr="00B564A0" w14:paraId="18D5E103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4CF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 xml:space="preserve">MySQL </w:t>
            </w: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Connector</w:t>
            </w:r>
            <w:proofErr w:type="spell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 xml:space="preserve"> / </w:t>
            </w: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8DA27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Módulos de Python que permiten conectarse y ejecutar comandos en bases de datos MySQL o </w:t>
            </w:r>
            <w:proofErr w:type="spellStart"/>
            <w:r w:rsidRPr="00B564A0">
              <w:rPr>
                <w:rFonts w:ascii="Arial" w:eastAsia="Times New Roman" w:hAnsi="Arial" w:cs="Arial"/>
                <w:lang w:eastAsia="es-CO"/>
              </w:rPr>
              <w:t>MariaDB</w:t>
            </w:r>
            <w:proofErr w:type="spellEnd"/>
            <w:r w:rsidRPr="00B564A0">
              <w:rPr>
                <w:rFonts w:ascii="Arial" w:eastAsia="Times New Roman" w:hAnsi="Arial" w:cs="Arial"/>
                <w:lang w:eastAsia="es-CO"/>
              </w:rPr>
              <w:t>.</w:t>
            </w:r>
          </w:p>
        </w:tc>
      </w:tr>
      <w:tr w:rsidR="00B564A0" w:rsidRPr="00B564A0" w14:paraId="6E35B787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F79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Cursor SQL</w:t>
            </w:r>
          </w:p>
        </w:tc>
        <w:tc>
          <w:tcPr>
            <w:tcW w:w="0" w:type="auto"/>
            <w:vAlign w:val="center"/>
            <w:hideMark/>
          </w:tcPr>
          <w:p w14:paraId="2B9780D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Objeto que ejecuta consultas y comandos dentro de una conexión a base de datos.</w:t>
            </w:r>
          </w:p>
        </w:tc>
      </w:tr>
      <w:tr w:rsidR="00B564A0" w:rsidRPr="00B564A0" w14:paraId="33C6C622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9B93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30EAD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Operación que guarda definitivamente los cambios realizados en una transacción de base de datos.</w:t>
            </w:r>
          </w:p>
        </w:tc>
      </w:tr>
      <w:tr w:rsidR="00B564A0" w:rsidRPr="00B564A0" w14:paraId="79CEBE00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E489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Foreign</w:t>
            </w:r>
            <w:proofErr w:type="spell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 xml:space="preserve"> Key (Clave Foránea)</w:t>
            </w:r>
          </w:p>
        </w:tc>
        <w:tc>
          <w:tcPr>
            <w:tcW w:w="0" w:type="auto"/>
            <w:vAlign w:val="center"/>
            <w:hideMark/>
          </w:tcPr>
          <w:p w14:paraId="3C6B41F9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Campo que establece una relación entre dos tablas (por ejemplo, </w:t>
            </w:r>
            <w:proofErr w:type="spellStart"/>
            <w:r w:rsidRPr="00B564A0">
              <w:rPr>
                <w:rFonts w:ascii="Arial" w:eastAsia="Times New Roman" w:hAnsi="Arial" w:cs="Arial"/>
                <w:lang w:eastAsia="es-CO"/>
              </w:rPr>
              <w:t>cod_departamento</w:t>
            </w:r>
            <w:proofErr w:type="spellEnd"/>
            <w:r w:rsidRPr="00B564A0">
              <w:rPr>
                <w:rFonts w:ascii="Arial" w:eastAsia="Times New Roman" w:hAnsi="Arial" w:cs="Arial"/>
                <w:lang w:eastAsia="es-CO"/>
              </w:rPr>
              <w:t xml:space="preserve"> en municipios apunta a departamentos).</w:t>
            </w:r>
          </w:p>
        </w:tc>
      </w:tr>
      <w:tr w:rsidR="00B564A0" w:rsidRPr="00B564A0" w14:paraId="7D9D66AE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105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Primary</w:t>
            </w:r>
            <w:proofErr w:type="spell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 xml:space="preserve"> Key (Clave Primaria)</w:t>
            </w:r>
          </w:p>
        </w:tc>
        <w:tc>
          <w:tcPr>
            <w:tcW w:w="0" w:type="auto"/>
            <w:vAlign w:val="center"/>
            <w:hideMark/>
          </w:tcPr>
          <w:p w14:paraId="65EAD94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Campo único que identifica de forma exclusiva cada registro dentro de una tabla.</w:t>
            </w:r>
          </w:p>
        </w:tc>
      </w:tr>
      <w:tr w:rsidR="00B564A0" w:rsidRPr="00B564A0" w14:paraId="1CA5BA20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19C6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INSERT IGNORE</w:t>
            </w:r>
          </w:p>
        </w:tc>
        <w:tc>
          <w:tcPr>
            <w:tcW w:w="0" w:type="auto"/>
            <w:vAlign w:val="center"/>
            <w:hideMark/>
          </w:tcPr>
          <w:p w14:paraId="32DE7E7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Comando SQL que inserta registros nuevos, ignorando los duplicados para evitar errores.</w:t>
            </w:r>
          </w:p>
        </w:tc>
      </w:tr>
      <w:tr w:rsidR="00B564A0" w:rsidRPr="00B564A0" w14:paraId="21F7EB0D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27E2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gram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AVG(</w:t>
            </w:r>
            <w:proofErr w:type="gram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20BCCE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Función SQL que calcula el promedio de los valores de una columna.</w:t>
            </w:r>
          </w:p>
        </w:tc>
      </w:tr>
      <w:tr w:rsidR="00B564A0" w:rsidRPr="00B564A0" w14:paraId="525055A2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1EC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gram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ROUND(</w:t>
            </w:r>
            <w:proofErr w:type="gram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057B1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Función SQL que redondea un número a cierta cantidad de decimales.</w:t>
            </w:r>
          </w:p>
        </w:tc>
      </w:tr>
      <w:tr w:rsidR="00B564A0" w:rsidRPr="00B564A0" w14:paraId="5D005850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02BD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CASE WHEN ... THEN ... ELSE ... END</w:t>
            </w:r>
          </w:p>
        </w:tc>
        <w:tc>
          <w:tcPr>
            <w:tcW w:w="0" w:type="auto"/>
            <w:vAlign w:val="center"/>
            <w:hideMark/>
          </w:tcPr>
          <w:p w14:paraId="555FF329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Expresión condicional en SQL que permite evaluar condiciones (similar a un </w:t>
            </w:r>
            <w:proofErr w:type="spellStart"/>
            <w:r w:rsidRPr="00B564A0">
              <w:rPr>
                <w:rFonts w:ascii="Arial" w:eastAsia="Times New Roman" w:hAnsi="Arial" w:cs="Arial"/>
                <w:lang w:eastAsia="es-CO"/>
              </w:rPr>
              <w:t>if</w:t>
            </w:r>
            <w:proofErr w:type="spellEnd"/>
            <w:r w:rsidRPr="00B564A0">
              <w:rPr>
                <w:rFonts w:ascii="Arial" w:eastAsia="Times New Roman" w:hAnsi="Arial" w:cs="Arial"/>
                <w:lang w:eastAsia="es-CO"/>
              </w:rPr>
              <w:t xml:space="preserve"> en Python).</w:t>
            </w:r>
          </w:p>
        </w:tc>
      </w:tr>
      <w:tr w:rsidR="00B564A0" w:rsidRPr="00B564A0" w14:paraId="598B2AA2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EEE5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JOIN / Relación entre Tablas</w:t>
            </w:r>
          </w:p>
        </w:tc>
        <w:tc>
          <w:tcPr>
            <w:tcW w:w="0" w:type="auto"/>
            <w:vAlign w:val="center"/>
            <w:hideMark/>
          </w:tcPr>
          <w:p w14:paraId="1601AE5F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Vinculación entre dos o más tablas mediante claves comunes para combinar información.</w:t>
            </w:r>
          </w:p>
        </w:tc>
      </w:tr>
      <w:tr w:rsidR="00B564A0" w:rsidRPr="00B564A0" w14:paraId="43950E1D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649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Brecha Digital</w:t>
            </w:r>
          </w:p>
        </w:tc>
        <w:tc>
          <w:tcPr>
            <w:tcW w:w="0" w:type="auto"/>
            <w:vAlign w:val="center"/>
            <w:hideMark/>
          </w:tcPr>
          <w:p w14:paraId="5CF1CEBD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Diferencia en el acceso, uso o aprovechamiento de las tecnologías de la información entre diferentes grupos sociales o territoriales.</w:t>
            </w:r>
          </w:p>
        </w:tc>
      </w:tr>
      <w:tr w:rsidR="00B564A0" w:rsidRPr="00B564A0" w14:paraId="20BED788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462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E206E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Conjunto estructurado de datos (en este caso, los registros del archivo CSV cargado).</w:t>
            </w:r>
          </w:p>
        </w:tc>
      </w:tr>
      <w:tr w:rsidR="00B564A0" w:rsidRPr="00B564A0" w14:paraId="29789EB0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3F64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proofErr w:type="gram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Iterrows</w:t>
            </w:r>
            <w:proofErr w:type="spell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(</w:t>
            </w:r>
            <w:proofErr w:type="gramEnd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0FC800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Función de Pandas que permite recorrer un </w:t>
            </w:r>
            <w:proofErr w:type="spellStart"/>
            <w:r w:rsidRPr="00B564A0">
              <w:rPr>
                <w:rFonts w:ascii="Arial" w:eastAsia="Times New Roman" w:hAnsi="Arial" w:cs="Arial"/>
                <w:lang w:eastAsia="es-CO"/>
              </w:rPr>
              <w:t>DataFrame</w:t>
            </w:r>
            <w:proofErr w:type="spellEnd"/>
            <w:r w:rsidRPr="00B564A0">
              <w:rPr>
                <w:rFonts w:ascii="Arial" w:eastAsia="Times New Roman" w:hAnsi="Arial" w:cs="Arial"/>
                <w:lang w:eastAsia="es-CO"/>
              </w:rPr>
              <w:t xml:space="preserve"> fila por fila.</w:t>
            </w:r>
          </w:p>
        </w:tc>
      </w:tr>
      <w:tr w:rsidR="00B564A0" w:rsidRPr="00B564A0" w14:paraId="58F15ADD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94FD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C7996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Estructura de datos en Pandas que almacena información tabular (similar a una hoja de cálculo).</w:t>
            </w:r>
          </w:p>
        </w:tc>
      </w:tr>
      <w:tr w:rsidR="00B564A0" w:rsidRPr="00B564A0" w14:paraId="04FE61B6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B54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UTF-8 / UTF8MB4</w:t>
            </w:r>
          </w:p>
        </w:tc>
        <w:tc>
          <w:tcPr>
            <w:tcW w:w="0" w:type="auto"/>
            <w:vAlign w:val="center"/>
            <w:hideMark/>
          </w:tcPr>
          <w:p w14:paraId="7A32AC06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Codificación de texto que permite representar caracteres especiales y acentos de forma segura.</w:t>
            </w:r>
          </w:p>
        </w:tc>
      </w:tr>
      <w:tr w:rsidR="00B564A0" w:rsidRPr="00B564A0" w14:paraId="19A5B979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3C97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ENGINE=</w:t>
            </w:r>
            <w:proofErr w:type="spellStart"/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InnoDB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C2C8C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>Motor de almacenamiento de MySQL que permite integridad referencial y transacciones.</w:t>
            </w:r>
          </w:p>
        </w:tc>
      </w:tr>
      <w:tr w:rsidR="00B564A0" w:rsidRPr="00B564A0" w14:paraId="4C4F4463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1CCC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lastRenderedPageBreak/>
              <w:t>Códigos de Centros Poblados</w:t>
            </w:r>
          </w:p>
        </w:tc>
        <w:tc>
          <w:tcPr>
            <w:tcW w:w="0" w:type="auto"/>
            <w:vAlign w:val="center"/>
            <w:hideMark/>
          </w:tcPr>
          <w:p w14:paraId="0F6261D1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Sistema de codificación jerárquica usado por el DANE para identificar territorialmente cada unidad. Ejemplo: </w:t>
            </w: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Departamento Antioquia:</w:t>
            </w:r>
            <w:r w:rsidRPr="00B564A0">
              <w:rPr>
                <w:rFonts w:ascii="Arial" w:eastAsia="Times New Roman" w:hAnsi="Arial" w:cs="Arial"/>
                <w:lang w:eastAsia="es-CO"/>
              </w:rPr>
              <w:t xml:space="preserve"> 05 </w:t>
            </w: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Medellín (Municipio):</w:t>
            </w:r>
            <w:r w:rsidRPr="00B564A0">
              <w:rPr>
                <w:rFonts w:ascii="Arial" w:eastAsia="Times New Roman" w:hAnsi="Arial" w:cs="Arial"/>
                <w:lang w:eastAsia="es-CO"/>
              </w:rPr>
              <w:t xml:space="preserve"> 05001 </w:t>
            </w: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Palmitas (Centro Poblado):</w:t>
            </w:r>
            <w:r w:rsidRPr="00B564A0">
              <w:rPr>
                <w:rFonts w:ascii="Arial" w:eastAsia="Times New Roman" w:hAnsi="Arial" w:cs="Arial"/>
                <w:lang w:eastAsia="es-CO"/>
              </w:rPr>
              <w:t xml:space="preserve"> 05001001 </w:t>
            </w: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Santa Elena (Centro Poblado):</w:t>
            </w:r>
            <w:r w:rsidRPr="00B564A0">
              <w:rPr>
                <w:rFonts w:ascii="Arial" w:eastAsia="Times New Roman" w:hAnsi="Arial" w:cs="Arial"/>
                <w:lang w:eastAsia="es-CO"/>
              </w:rPr>
              <w:t xml:space="preserve"> 05001004</w:t>
            </w:r>
          </w:p>
        </w:tc>
      </w:tr>
      <w:tr w:rsidR="00B564A0" w:rsidRPr="00B564A0" w14:paraId="65E6BCEB" w14:textId="77777777" w:rsidTr="00B56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67AA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b/>
                <w:bCs/>
                <w:lang w:eastAsia="es-CO"/>
              </w:rPr>
              <w:t>Altitud msnm</w:t>
            </w:r>
          </w:p>
        </w:tc>
        <w:tc>
          <w:tcPr>
            <w:tcW w:w="0" w:type="auto"/>
            <w:vAlign w:val="center"/>
            <w:hideMark/>
          </w:tcPr>
          <w:p w14:paraId="3C38B0E3" w14:textId="77777777" w:rsidR="00B564A0" w:rsidRPr="00B564A0" w:rsidRDefault="00B564A0" w:rsidP="00B564A0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564A0">
              <w:rPr>
                <w:rFonts w:ascii="Arial" w:eastAsia="Times New Roman" w:hAnsi="Arial" w:cs="Arial"/>
                <w:lang w:eastAsia="es-CO"/>
              </w:rPr>
              <w:t xml:space="preserve">Sigla de </w:t>
            </w:r>
            <w:r w:rsidRPr="00B564A0">
              <w:rPr>
                <w:rFonts w:ascii="Arial" w:eastAsia="Times New Roman" w:hAnsi="Arial" w:cs="Arial"/>
                <w:i/>
                <w:iCs/>
                <w:lang w:eastAsia="es-CO"/>
              </w:rPr>
              <w:t>metros sobre el nivel del mar</w:t>
            </w:r>
            <w:r w:rsidRPr="00B564A0">
              <w:rPr>
                <w:rFonts w:ascii="Arial" w:eastAsia="Times New Roman" w:hAnsi="Arial" w:cs="Arial"/>
                <w:lang w:eastAsia="es-CO"/>
              </w:rPr>
              <w:t>. Indica la altura de un punto geográfico respecto al nivel medio del mar.</w:t>
            </w:r>
          </w:p>
        </w:tc>
      </w:tr>
    </w:tbl>
    <w:p w14:paraId="10A80001" w14:textId="77777777" w:rsidR="00182292" w:rsidRPr="009A42F7" w:rsidRDefault="00182292">
      <w:pPr>
        <w:rPr>
          <w:rFonts w:ascii="Arial" w:hAnsi="Arial" w:cs="Arial"/>
        </w:rPr>
      </w:pPr>
    </w:p>
    <w:sectPr w:rsidR="00182292" w:rsidRPr="009A42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A0"/>
    <w:rsid w:val="00182292"/>
    <w:rsid w:val="009A42F7"/>
    <w:rsid w:val="00B5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DDBD"/>
  <w15:chartTrackingRefBased/>
  <w15:docId w15:val="{F06AB726-BB3B-4809-9F65-2609ECB6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564A0"/>
    <w:rPr>
      <w:b/>
      <w:bCs/>
    </w:rPr>
  </w:style>
  <w:style w:type="character" w:styleId="nfasis">
    <w:name w:val="Emphasis"/>
    <w:basedOn w:val="Fuentedeprrafopredeter"/>
    <w:uiPriority w:val="20"/>
    <w:qFormat/>
    <w:rsid w:val="00B564A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564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7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Facultad de Ingeniería</dc:creator>
  <cp:keywords/>
  <dc:description/>
  <cp:lastModifiedBy>Estudiante Facultad de Ingeniería</cp:lastModifiedBy>
  <cp:revision>2</cp:revision>
  <dcterms:created xsi:type="dcterms:W3CDTF">2025-11-09T15:34:00Z</dcterms:created>
  <dcterms:modified xsi:type="dcterms:W3CDTF">2025-11-09T15:38:00Z</dcterms:modified>
</cp:coreProperties>
</file>