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La filosofía del creador de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Obra del genio informático holandés, Van Rossum, Python goza de una filosofía propia que lo hace único, y se basa, ante todo en dos premisas: legibilidad y transparencia. Además de un manifiesto de principios basados en los recién mencionados que haría de cualquier código, </w:t>
      </w:r>
      <w:r w:rsidDel="00000000" w:rsidR="00000000" w:rsidRPr="00000000">
        <w:rPr>
          <w:i w:val="1"/>
          <w:rtl w:val="0"/>
        </w:rPr>
        <w:t xml:space="preserve">pythonico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* Bello es mejor que feo.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* Explícito es mejor que implícito.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* Simple es mejor que complejo.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* Complejo es mejor que complicado.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* Plano es mejor que anidado.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* Disperso es mejor que denso.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* La legibilidad cuenta.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* Los casos especiales no son tan especiales como para quebrantar las reglas.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* Aunque lo práctico gana a la pureza.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* Los errores nunca deberían dejarse pasar silenciosamente.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* A menos que hayan sido silenciados explícitamente.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* Frente a la ambigüedad, rechaza la tentación de adivinar.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* Debería haber una -y preferiblemente sólo una- manera obvia de hacerlo.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* Aunque esa manera puede no ser obvia al principio a menos que usted sea holandés.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* Ahora es mejor que nunca.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* Aunque nunca es a menudo mejor que ya mismo.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* Si la implementación es difícil de explicar, es una mala idea.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* Si la implementación es fácil de explicar, puede que sea una buena idea.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