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proofErr w:type="gramStart"/>
            <w:r w:rsidR="00BE005F" w:rsidRPr="00BE005F">
              <w:rPr>
                <w:rFonts w:asciiTheme="minorHAnsi" w:eastAsiaTheme="minorEastAsia" w:hAnsiTheme="minorHAnsi" w:cstheme="minorBidi"/>
                <w:color w:val="000000" w:themeColor="text1"/>
              </w:rPr>
              <w:t>abstract</w:t>
            </w:r>
            <w:proofErr w:type="spellEnd"/>
            <w:proofErr w:type="gram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shd w:val="clear" w:color="auto" w:fill="C6EFCE"/>
            <w:vAlign w:val="center"/>
          </w:tcPr>
          <w:p>
            <w:pPr>
              <w:spacing w:after="40"/>
            </w:pPr>
            <w:r>
              <w:rPr>
                <w:rFonts w:asciiTheme="minorHAnsi" w:hAnsiTheme="minorHAnsi"/>
                <w:b/>
                <w:color w:val="006100"/>
                <w:sz w:val="18"/>
              </w:rPr>
              <w:t xml:space="preserve">✔ NIVEL AUTOEVALUADO</w:t>
            </w:r>
          </w:p>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vAlign w:val="center"/>
          </w:tcPr>
          <w:p w14:paraId="6E094A27" w14:textId="11F34AAA"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shd w:val="clear" w:color="auto" w:fill="C6EFCE"/>
            <w:vAlign w:val="center"/>
          </w:tcPr>
          <w:p>
            <w:pPr>
              <w:spacing w:after="40"/>
            </w:pPr>
            <w:r>
              <w:rPr>
                <w:rFonts w:asciiTheme="minorHAnsi" w:hAnsiTheme="minorHAnsi"/>
                <w:b/>
                <w:color w:val="006100"/>
                <w:sz w:val="18"/>
              </w:rPr>
              <w:t xml:space="preserve">✔ NIVEL AUTOEVALUADO</w:t>
            </w:r>
          </w:p>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 xml:space="preserve">de acuerdo </w:t>
            </w:r>
            <w:r w:rsidRPr="3BD34F3F">
              <w:rPr>
                <w:rFonts w:asciiTheme="minorHAnsi" w:eastAsiaTheme="minorEastAsia" w:hAnsiTheme="minorHAnsi" w:cstheme="minorBidi"/>
                <w:color w:val="000000" w:themeColor="text1"/>
              </w:rPr>
              <w:lastRenderedPageBreak/>
              <w:t>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shd w:val="clear" w:color="auto" w:fill="C6EFCE"/>
            <w:vAlign w:val="center"/>
          </w:tcPr>
          <w:p>
            <w:pPr>
              <w:spacing w:after="40"/>
            </w:pPr>
            <w:r>
              <w:rPr>
                <w:rFonts w:asciiTheme="minorHAnsi" w:hAnsiTheme="minorHAnsi"/>
                <w:b/>
                <w:color w:val="006100"/>
                <w:sz w:val="18"/>
              </w:rPr>
              <w:t xml:space="preserve">✔ NIVEL AUTOEVALUADO</w:t>
            </w:r>
          </w:p>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C6EFCE"/>
            <w:vAlign w:val="center"/>
          </w:tcPr>
          <w:p>
            <w:pPr>
              <w:spacing w:after="40"/>
            </w:pPr>
            <w:r>
              <w:rPr>
                <w:rFonts w:asciiTheme="minorHAnsi" w:hAnsiTheme="minorHAnsi"/>
                <w:b/>
                <w:color w:val="006100"/>
                <w:sz w:val="18"/>
              </w:rPr>
              <w:t xml:space="preserve">✔ NIVEL AUTOEVALUADO</w:t>
            </w:r>
          </w:p>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C6EFCE"/>
            <w:vAlign w:val="center"/>
          </w:tcPr>
          <w:p>
            <w:pPr>
              <w:spacing w:after="40"/>
            </w:pPr>
            <w:r>
              <w:rPr>
                <w:rFonts w:asciiTheme="minorHAnsi" w:hAnsiTheme="minorHAnsi"/>
                <w:b/>
                <w:color w:val="006100"/>
                <w:sz w:val="18"/>
              </w:rPr>
              <w:t xml:space="preserve">✔ NIVEL AUTOEVALUADO</w:t>
            </w:r>
          </w:p>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C6EFCE"/>
            <w:vAlign w:val="center"/>
          </w:tcPr>
          <w:p>
            <w:pPr>
              <w:spacing w:after="40"/>
            </w:pPr>
            <w:r>
              <w:rPr>
                <w:rFonts w:asciiTheme="minorHAnsi" w:hAnsiTheme="minorHAnsi"/>
                <w:b/>
                <w:color w:val="006100"/>
                <w:sz w:val="18"/>
              </w:rPr>
              <w:t xml:space="preserve">✔ NIVEL AUTOEVALUADO</w:t>
            </w:r>
          </w:p>
          <w:p w14:paraId="4BC941F4" w14:textId="6ACA949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vAlign w:val="center"/>
          </w:tcPr>
          <w:p w14:paraId="68C5EC73" w14:textId="0537CD6D"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C6EFCE"/>
            <w:vAlign w:val="center"/>
          </w:tcPr>
          <w:p>
            <w:pPr>
              <w:spacing w:after="40"/>
            </w:pPr>
            <w:r>
              <w:rPr>
                <w:rFonts w:asciiTheme="minorHAnsi" w:hAnsiTheme="minorHAnsi"/>
                <w:b/>
                <w:color w:val="006100"/>
                <w:sz w:val="18"/>
              </w:rPr>
              <w:t xml:space="preserve">✔ NIVEL AUTOEVALUADO</w:t>
            </w:r>
          </w:p>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proofErr w:type="gramStart"/>
            <w:r w:rsidRPr="00BE005F">
              <w:rPr>
                <w:rFonts w:ascii="Calibri" w:eastAsia="Calibri" w:hAnsi="Calibri" w:cs="Calibri"/>
                <w:color w:val="000000" w:themeColor="text1"/>
              </w:rPr>
              <w:t>abstract</w:t>
            </w:r>
            <w:proofErr w:type="spellEnd"/>
            <w:proofErr w:type="gram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shd w:val="clear" w:color="auto" w:fill="C6EFCE"/>
            <w:vAlign w:val="center"/>
          </w:tcPr>
          <w:p>
            <w:pPr>
              <w:spacing w:after="40"/>
            </w:pPr>
            <w:r>
              <w:rPr>
                <w:rFonts w:asciiTheme="minorHAnsi" w:hAnsiTheme="minorHAnsi"/>
                <w:b/>
                <w:color w:val="006100"/>
                <w:sz w:val="18"/>
              </w:rPr>
              <w:t xml:space="preserve">✔ NIVEL AUTOEVALUADO</w:t>
            </w:r>
          </w:p>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lastRenderedPageBreak/>
              <w:t>No produce texto en inglés</w:t>
            </w:r>
          </w:p>
          <w:p w14:paraId="70F38F07" w14:textId="77777777" w:rsidR="00BE005F" w:rsidRPr="00BE005F" w:rsidRDefault="00BE005F" w:rsidP="00BE005F">
            <w:pPr>
              <w:rPr>
                <w:rFonts w:asciiTheme="minorHAnsi" w:hAnsiTheme="minorHAnsi" w:cstheme="minorHAnsi"/>
              </w:rPr>
            </w:pPr>
            <w:r w:rsidRPr="00BE005F">
              <w:rPr>
                <w:rFonts w:asciiTheme="minorHAnsi" w:hAnsiTheme="minorHAnsi" w:cstheme="minorHAnsi"/>
              </w:rPr>
              <w:t xml:space="preserve">o escribe frases sueltas que no se relacionan entre ellas impidiendo la comprensión de las ideas, </w:t>
            </w:r>
          </w:p>
          <w:p w14:paraId="0A5A67D7" w14:textId="4AC2F58E"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p>
      <w:pPr>
        <w:spacing w:before="0" w:after="80"/>
        <w:jc w:val="both"/>
      </w:pPr>
      <w:r>
        <w:br w:type="page"/>
      </w:r>
      <w:r>
        <w:rPr>
          <w:rFonts w:asciiTheme="minorHAnsi" w:hAnsiTheme="minorHAnsi"/>
          <w:b/>
          <w:color w:val="1F3864"/>
          <w:sz w:val="28"/>
        </w:rPr>
        <w:t xml:space="preserve">Resultado de la autoevaluación</w:t>
      </w:r>
    </w:p>
    <w:p>
      <w:pPr>
        <w:spacing w:before="0" w:after="120"/>
        <w:jc w:val="both"/>
      </w:pPr>
      <w:r>
        <w:rPr>
          <w:rFonts w:asciiTheme="minorHAnsi" w:hAnsiTheme="minorHAnsi"/>
          <w:b/>
          <w:color w:val="000000"/>
          <w:sz w:val="20"/>
        </w:rPr>
        <w:t xml:space="preserve">Estudiante:</w:t>
      </w:r>
      <w:r>
        <w:rPr>
          <w:rFonts w:asciiTheme="minorHAnsi" w:hAnsiTheme="minorHAnsi"/>
          <w:color w:val="000000"/>
          <w:sz w:val="20"/>
        </w:rPr>
        <w:t xml:space="preserve"> Agustín Valdés · </w:t>
      </w:r>
      <w:r>
        <w:rPr>
          <w:rFonts w:asciiTheme="minorHAnsi" w:hAnsiTheme="minorHAnsi"/>
          <w:b/>
          <w:color w:val="000000"/>
          <w:sz w:val="20"/>
        </w:rPr>
        <w:t xml:space="preserve">Equipo:</w:t>
      </w:r>
      <w:r>
        <w:rPr>
          <w:rFonts w:asciiTheme="minorHAnsi" w:hAnsiTheme="minorHAnsi"/>
          <w:color w:val="000000"/>
          <w:sz w:val="20"/>
        </w:rPr>
        <w:t xml:space="preserve"> N.º 14 · </w:t>
      </w:r>
      <w:r>
        <w:rPr>
          <w:rFonts w:asciiTheme="minorHAnsi" w:hAnsiTheme="minorHAnsi"/>
          <w:b/>
          <w:color w:val="000000"/>
          <w:sz w:val="20"/>
        </w:rPr>
        <w:t xml:space="preserve">Proyecto:</w:t>
      </w:r>
      <w:r>
        <w:rPr>
          <w:rFonts w:asciiTheme="minorHAnsi" w:hAnsiTheme="minorHAnsi"/>
          <w:color w:val="000000"/>
          <w:sz w:val="20"/>
        </w:rPr>
        <w:t xml:space="preserve"> CorePulse · </w:t>
      </w:r>
      <w:r>
        <w:rPr>
          <w:rFonts w:asciiTheme="minorHAnsi" w:hAnsiTheme="minorHAnsi"/>
          <w:b/>
          <w:color w:val="000000"/>
          <w:sz w:val="20"/>
        </w:rPr>
        <w:t xml:space="preserve">Fecha:</w:t>
      </w:r>
      <w:r>
        <w:rPr>
          <w:rFonts w:asciiTheme="minorHAnsi" w:hAnsiTheme="minorHAnsi"/>
          <w:color w:val="000000"/>
          <w:sz w:val="20"/>
        </w:rPr>
        <w:t xml:space="preserve"> 17-10-2026</w:t>
      </w:r>
    </w:p>
    <w:p>
      <w:pPr>
        <w:spacing w:before="0" w:after="200"/>
        <w:jc w:val="both"/>
      </w:pPr>
      <w:r>
        <w:rPr>
          <w:rFonts w:asciiTheme="minorHAnsi" w:hAnsiTheme="minorHAnsi"/>
          <w:b/>
          <w:color w:val="000000"/>
          <w:sz w:val="20"/>
        </w:rPr>
        <w:t xml:space="preserve">Informe evaluado:</w:t>
      </w:r>
      <w:r>
        <w:rPr>
          <w:rFonts w:asciiTheme="minorHAnsi" w:hAnsiTheme="minorHAnsi"/>
          <w:color w:val="000000"/>
          <w:sz w:val="20"/>
        </w:rPr>
        <w:t xml:space="preserve"> 2.4_Informe_Avance_Fase2_CorePulse.docx (23 páginas). El nivel elegido para cada indicador está marcado en verde en la rúbrica anterior.</w:t>
      </w:r>
    </w:p>
    <w:tbl>
      <w:tblPr>
        <w:tblW w:w="130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tblPr>
      <w:tblGrid>
        <w:gridCol w:w="2400"/>
        <w:gridCol w:w="1500"/>
        <w:gridCol w:w="1150"/>
        <w:gridCol w:w="900"/>
        <w:gridCol w:w="7054"/>
      </w:tblGrid>
      <w:tr>
        <w:trPr>
          <w:tblHeader/>
        </w:trPr>
        <w:tc>
          <w:tcPr>
            <w:tcW w:w="2400"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Indicador de evaluación</w:t>
            </w:r>
          </w:p>
        </w:tc>
        <w:tc>
          <w:tcPr>
            <w:tcW w:w="1500"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Nivel</w:t>
            </w:r>
          </w:p>
        </w:tc>
        <w:tc>
          <w:tcPr>
            <w:tcW w:w="1150"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Ponderación</w:t>
            </w:r>
          </w:p>
        </w:tc>
        <w:tc>
          <w:tcPr>
            <w:tcW w:w="900"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Puntaje</w:t>
            </w:r>
          </w:p>
        </w:tc>
        <w:tc>
          <w:tcPr>
            <w:tcW w:w="7054"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Comentario y acción de mejora</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1. Propone ajustes al Proyecto APT</w:t>
            </w:r>
          </w:p>
        </w:tc>
        <w:tc>
          <w:tcPr>
            <w:tcW w:w="1500" w:type="dxa"/>
            <w:shd w:val="clear" w:color="auto" w:fill="FFEB9C"/>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20</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12</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El informe señala y justifica los ajustes (cambio a PySide6/QML, tercer integrante, repositorio Git, congelamiento del alcance, OE1 y OE7) a partir de dificultades y facilitadores (secciones 2.2, 2.3 y 4). No incluye la retroalimentación del docente, que el nivel Completamente logrado exige. </w:t>
            </w:r>
            <w:r>
              <w:rPr>
                <w:rFonts w:asciiTheme="minorHAnsi" w:hAnsiTheme="minorHAnsi"/>
                <w:b/>
                <w:color w:val="000000"/>
                <w:sz w:val="18"/>
              </w:rPr>
              <w:t xml:space="preserve">Mejora:</w:t>
            </w:r>
            <w:r>
              <w:rPr>
                <w:rFonts w:asciiTheme="minorHAnsi" w:hAnsiTheme="minorHAnsi"/>
                <w:color w:val="000000"/>
                <w:sz w:val="18"/>
              </w:rPr>
              <w:t xml:space="preserve"> agregar en la sección 4 la retroalimentación recibida en la Fase 1 y en el taller, y qué ajuste generó cada observación.</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2. Aplica una metodología</w:t>
            </w:r>
          </w:p>
        </w:tc>
        <w:tc>
          <w:tcPr>
            <w:tcW w:w="1500" w:type="dxa"/>
            <w:shd w:val="clear" w:color="auto" w:fill="FFEB9C"/>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20</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12</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Se aplicó la metodología incremental con definición de terminado, un historial de 111 entradas y un Product Backlog de 30 elementos con prioridad, sprint, responsable y estado (Anexo D); los OE1 a OE5 están completos. Sin embargo, no hay registro de las revisiones de sprint y el OE7 está con retraso. </w:t>
            </w:r>
            <w:r>
              <w:rPr>
                <w:rFonts w:asciiTheme="minorHAnsi" w:hAnsiTheme="minorHAnsi"/>
                <w:b/>
                <w:color w:val="000000"/>
                <w:sz w:val="18"/>
              </w:rPr>
              <w:t xml:space="preserve">Mejora:</w:t>
            </w:r>
            <w:r>
              <w:rPr>
                <w:rFonts w:asciiTheme="minorHAnsi" w:hAnsiTheme="minorHAnsi"/>
                <w:color w:val="000000"/>
                <w:sz w:val="18"/>
              </w:rPr>
              <w:t xml:space="preserve"> agregar un registro breve de las revisiones semanales (fecha, asistentes, acuerdos) y cerrar el OE7.</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3. Genera evidencias de avance</w:t>
            </w:r>
          </w:p>
        </w:tc>
        <w:tc>
          <w:tcPr>
            <w:tcW w:w="1500" w:type="dxa"/>
            <w:shd w:val="clear" w:color="auto" w:fill="FFEB9C"/>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25</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15</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Las evidencias son sólidas y están justificadas (historial, suite de pruebas, modelo de datos, plan monitoreado, Product Backlog) y el Anexo C incluye 6 capturas reales de la aplicación. Sin embargo, 39 de 291 pruebas fallan por estar desactualizadas y las capturas son del build REBUILD 071, no de la versión actual. Requieren ajustes menores. </w:t>
            </w:r>
            <w:r>
              <w:rPr>
                <w:rFonts w:asciiTheme="minorHAnsi" w:hAnsiTheme="minorHAnsi"/>
                <w:b/>
                <w:color w:val="000000"/>
                <w:sz w:val="18"/>
              </w:rPr>
              <w:t xml:space="preserve">Mejora:</w:t>
            </w:r>
            <w:r>
              <w:rPr>
                <w:rFonts w:asciiTheme="minorHAnsi" w:hAnsiTheme="minorHAnsi"/>
                <w:color w:val="000000"/>
                <w:sz w:val="18"/>
              </w:rPr>
              <w:t xml:space="preserve"> actualizar las pruebas hasta el 100 %, agregar capturas del diagnóstico, el benchmark y el PDF de la versión actual, y sumar la matriz de pruebas en distintos equipos.</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4. Lenguaje técnico preciso</w:t>
            </w:r>
          </w:p>
        </w:tc>
        <w:tc>
          <w:tcPr>
            <w:tcW w:w="1500" w:type="dxa"/>
            <w:shd w:val="clear" w:color="auto" w:fill="C6EFCE"/>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Completamente 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5</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5</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Se usa terminología técnica precisa y consistente (telemetría, snapshot, rollback, DPAPI, PKCE, QPdfWriter, SQLite, pruebas de regresión, definición de terminado), explicada cuando es necesario.</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5. Redacción, ortografía y citas</w:t>
            </w:r>
          </w:p>
        </w:tc>
        <w:tc>
          <w:tcPr>
            <w:tcW w:w="1500" w:type="dxa"/>
            <w:shd w:val="clear" w:color="auto" w:fill="C6EFCE"/>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Completamente 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5</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5</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Redacción y ortografía revisadas. Las referencias siguen APA 7 y todas se citan en el texto, por ejemplo (Schwaber y Sutherland, 2020) e (International Organization for Standardization [ISO], 2011). </w:t>
            </w:r>
            <w:r>
              <w:rPr>
                <w:rFonts w:asciiTheme="minorHAnsi" w:hAnsiTheme="minorHAnsi"/>
                <w:b/>
                <w:color w:val="000000"/>
                <w:sz w:val="18"/>
              </w:rPr>
              <w:t xml:space="preserve">Condición:</w:t>
            </w:r>
            <w:r>
              <w:rPr>
                <w:rFonts w:asciiTheme="minorHAnsi" w:hAnsiTheme="minorHAnsi"/>
                <w:color w:val="000000"/>
                <w:sz w:val="18"/>
              </w:rPr>
              <w:t xml:space="preserve"> hacer una revisión ortográfica final en equipo antes de entregar.</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6. Formato del informe de avance</w:t>
            </w:r>
          </w:p>
        </w:tc>
        <w:tc>
          <w:tcPr>
            <w:tcW w:w="1500" w:type="dxa"/>
            <w:shd w:val="clear" w:color="auto" w:fill="C6EFCE"/>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Completamente 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5</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5</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Incluye portada, índice, abstract en español e inglés, desarrollo de ingeniería, conclusiones y reflexiones individuales, referencias y anexos de evidencia con capturas. Letra Calibri 11, interlineado 1,0 y número de página.</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7. Indicadores de calidad</w:t>
            </w:r>
          </w:p>
        </w:tc>
        <w:tc>
          <w:tcPr>
            <w:tcW w:w="1500" w:type="dxa"/>
            <w:shd w:val="clear" w:color="auto" w:fill="FFEB9C"/>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10</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6</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Se cumplen 9 de los 10 indicadores de calidad con evidencia (tabla 7 del informe). El 4.3 (implanta la solución) está en curso porque falta el instalador, y el 1.2 es parcial en la validación en distintos equipos. No se alcanza el 100 %. </w:t>
            </w:r>
            <w:r>
              <w:rPr>
                <w:rFonts w:asciiTheme="minorHAnsi" w:hAnsiTheme="minorHAnsi"/>
                <w:b/>
                <w:color w:val="000000"/>
                <w:sz w:val="18"/>
              </w:rPr>
              <w:t xml:space="preserve">Mejora:</w:t>
            </w:r>
            <w:r>
              <w:rPr>
                <w:rFonts w:asciiTheme="minorHAnsi" w:hAnsiTheme="minorHAnsi"/>
                <w:color w:val="000000"/>
                <w:sz w:val="18"/>
              </w:rPr>
              <w:t xml:space="preserve"> completar el instalador y la matriz de pruebas en la Fase 3.</w:t>
            </w:r>
          </w:p>
        </w:tc>
      </w:tr>
      <w:tr>
        <w:trPr>
          <w:cantSplit/>
        </w:trPr>
        <w:tc>
          <w:tcPr>
            <w:tcW w:w="24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8. Textos en inglés</w:t>
            </w:r>
          </w:p>
        </w:tc>
        <w:tc>
          <w:tcPr>
            <w:tcW w:w="1500" w:type="dxa"/>
            <w:shd w:val="clear" w:color="auto" w:fill="C6EFCE"/>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Completamente logrado</w:t>
            </w:r>
          </w:p>
        </w:tc>
        <w:tc>
          <w:tcPr>
            <w:tcW w:w="115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10</w:t>
            </w:r>
          </w:p>
        </w:tc>
        <w:tc>
          <w:tcPr>
            <w:tcW w:w="900" w:type="dxa"/>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10</w:t>
            </w:r>
          </w:p>
        </w:tc>
        <w:tc>
          <w:tcPr>
            <w:tcW w:w="7054" w:type="dxa"/>
            <w:tcMar>
              <w:top w:w="60" w:type="dxa"/>
              <w:left w:w="90" w:type="dxa"/>
              <w:bottom w:w="60" w:type="dxa"/>
              <w:right w:w="90" w:type="dxa"/>
            </w:tcMar>
            <w:vAlign w:val="center"/>
          </w:tcPr>
          <w:p>
            <w:pPr>
              <w:spacing w:after="40"/>
            </w:pPr>
            <w:r>
              <w:rPr>
                <w:rFonts w:asciiTheme="minorHAnsi" w:hAnsiTheme="minorHAnsi"/>
                <w:color w:val="000000"/>
                <w:sz w:val="18"/>
              </w:rPr>
              <w:t xml:space="preserve">El abstract, las tres conclusiones y las tres reflexiones están en inglés, con secuencia lógica y vocabulario técnico correcto. </w:t>
            </w:r>
            <w:r>
              <w:rPr>
                <w:rFonts w:asciiTheme="minorHAnsi" w:hAnsiTheme="minorHAnsi"/>
                <w:b/>
                <w:color w:val="000000"/>
                <w:sz w:val="18"/>
              </w:rPr>
              <w:t xml:space="preserve">Condición:</w:t>
            </w:r>
            <w:r>
              <w:rPr>
                <w:rFonts w:asciiTheme="minorHAnsi" w:hAnsiTheme="minorHAnsi"/>
                <w:color w:val="000000"/>
                <w:sz w:val="18"/>
              </w:rPr>
              <w:t xml:space="preserve"> cada integrante debe revisar y personalizar su propio texto antes de la entrega.</w:t>
            </w:r>
          </w:p>
        </w:tc>
      </w:tr>
      <w:tr>
        <w:trPr>
          <w:cantSplit/>
        </w:trPr>
        <w:tc>
          <w:tcPr>
            <w:tcW w:w="2400" w:type="dxa"/>
            <w:shd w:val="clear" w:color="auto" w:fill="DEEAF6"/>
            <w:tcMar>
              <w:top w:w="60" w:type="dxa"/>
              <w:left w:w="90" w:type="dxa"/>
              <w:bottom w:w="60" w:type="dxa"/>
              <w:right w:w="90" w:type="dxa"/>
            </w:tcMar>
            <w:vAlign w:val="center"/>
          </w:tcPr>
          <w:p>
            <w:pPr>
              <w:spacing w:after="40"/>
            </w:pPr>
            <w:r>
              <w:rPr>
                <w:rFonts w:asciiTheme="minorHAnsi" w:hAnsiTheme="minorHAnsi"/>
                <w:b/>
                <w:color w:val="000000"/>
                <w:sz w:val="18"/>
              </w:rPr>
              <w:t xml:space="preserve">Total</w:t>
            </w:r>
          </w:p>
        </w:tc>
        <w:tc>
          <w:tcPr>
            <w:tcW w:w="1500" w:type="dxa"/>
            <w:shd w:val="clear" w:color="auto" w:fill="DEEAF6"/>
            <w:tcMar>
              <w:top w:w="60" w:type="dxa"/>
              <w:left w:w="90" w:type="dxa"/>
              <w:bottom w:w="60" w:type="dxa"/>
              <w:right w:w="90" w:type="dxa"/>
            </w:tcMar>
            <w:vAlign w:val="center"/>
          </w:tcPr>
          <w:p>
            <w:pPr>
              <w:spacing w:after="40"/>
              <w:jc w:val="center"/>
            </w:pPr>
          </w:p>
        </w:tc>
        <w:tc>
          <w:tcPr>
            <w:tcW w:w="1150" w:type="dxa"/>
            <w:shd w:val="clear" w:color="auto" w:fill="DEEAF6"/>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100</w:t>
            </w:r>
          </w:p>
        </w:tc>
        <w:tc>
          <w:tcPr>
            <w:tcW w:w="900" w:type="dxa"/>
            <w:shd w:val="clear" w:color="auto" w:fill="DEEAF6"/>
            <w:tcMar>
              <w:top w:w="60" w:type="dxa"/>
              <w:left w:w="90" w:type="dxa"/>
              <w:bottom w:w="60" w:type="dxa"/>
              <w:right w:w="90" w:type="dxa"/>
            </w:tcMar>
            <w:vAlign w:val="center"/>
          </w:tcPr>
          <w:p>
            <w:pPr>
              <w:spacing w:after="40"/>
              <w:jc w:val="center"/>
            </w:pPr>
            <w:r>
              <w:rPr>
                <w:rFonts w:asciiTheme="minorHAnsi" w:hAnsiTheme="minorHAnsi"/>
                <w:color w:val="000000"/>
                <w:sz w:val="18"/>
              </w:rPr>
              <w:t xml:space="preserve">70</w:t>
            </w:r>
          </w:p>
        </w:tc>
        <w:tc>
          <w:tcPr>
            <w:tcW w:w="7054" w:type="dxa"/>
            <w:shd w:val="clear" w:color="auto" w:fill="DEEAF6"/>
            <w:tcMar>
              <w:top w:w="60" w:type="dxa"/>
              <w:left w:w="90" w:type="dxa"/>
              <w:bottom w:w="60" w:type="dxa"/>
              <w:right w:w="90" w:type="dxa"/>
            </w:tcMar>
            <w:vAlign w:val="center"/>
          </w:tcPr>
          <w:p>
            <w:pPr>
              <w:spacing w:after="40"/>
            </w:pPr>
            <w:r>
              <w:rPr>
                <w:rFonts w:asciiTheme="minorHAnsi" w:hAnsiTheme="minorHAnsi"/>
                <w:color w:val="000000"/>
                <w:sz w:val="18"/>
              </w:rPr>
              <w:t xml:space="preserve">Puntaje estimado del informe en su estado actual.</w:t>
            </w:r>
          </w:p>
        </w:tc>
      </w:tr>
    </w:tbl>
    <w:p>
      <w:pPr>
        <w:spacing w:before="0" w:after="120"/>
        <w:jc w:val="both"/>
      </w:pPr>
    </w:p>
    <w:p>
      <w:pPr>
        <w:spacing w:before="0" w:after="240"/>
        <w:jc w:val="both"/>
      </w:pPr>
      <w:r>
        <w:rPr>
          <w:rFonts w:asciiTheme="minorHAnsi" w:hAnsiTheme="minorHAnsi"/>
          <w:b/>
          <w:color w:val="000000"/>
          <w:sz w:val="20"/>
        </w:rPr>
        <w:t xml:space="preserve">Proyección:</w:t>
      </w:r>
      <w:r>
        <w:rPr>
          <w:rFonts w:asciiTheme="minorHAnsi" w:hAnsiTheme="minorHAnsi"/>
          <w:color w:val="000000"/>
          <w:sz w:val="20"/>
        </w:rPr>
        <w:t xml:space="preserve"> si se agregan la retroalimentación del docente, las pruebas al 100 %, capturas de la versión actual y el registro de revisiones de sprint, los indicadores 1, 2 y 3 pasan a Completamente logrado y el puntaje sube a 96 %.</w:t>
      </w:r>
    </w:p>
    <w:p>
      <w:pPr>
        <w:spacing w:before="0" w:after="120"/>
        <w:jc w:val="both"/>
      </w:pPr>
      <w:r>
        <w:rPr>
          <w:rFonts w:asciiTheme="minorHAnsi" w:hAnsiTheme="minorHAnsi"/>
          <w:b/>
          <w:color w:val="1F3864"/>
          <w:sz w:val="24"/>
        </w:rPr>
        <w:t xml:space="preserve">Indicadores de calidad disciplinarios presentes en el informe</w:t>
      </w:r>
    </w:p>
    <w:tbl>
      <w:tblPr>
        <w:tblW w:w="13004"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tblPr>
      <w:tblGrid>
        <w:gridCol w:w="3600"/>
        <w:gridCol w:w="1400"/>
        <w:gridCol w:w="8004"/>
      </w:tblGrid>
      <w:tr>
        <w:trPr>
          <w:tblHeader/>
        </w:trPr>
        <w:tc>
          <w:tcPr>
            <w:tcW w:w="3600"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Indicador de calidad</w:t>
            </w:r>
          </w:p>
        </w:tc>
        <w:tc>
          <w:tcPr>
            <w:tcW w:w="1400"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¿Presente?</w:t>
            </w:r>
          </w:p>
        </w:tc>
        <w:tc>
          <w:tcPr>
            <w:tcW w:w="8004" w:type="dxa"/>
            <w:shd w:val="clear" w:color="auto" w:fill="1F3864"/>
            <w:tcMar>
              <w:top w:w="60" w:type="dxa"/>
              <w:left w:w="90" w:type="dxa"/>
              <w:bottom w:w="60" w:type="dxa"/>
              <w:right w:w="90" w:type="dxa"/>
            </w:tcMar>
            <w:vAlign w:val="center"/>
          </w:tcPr>
          <w:p>
            <w:pPr>
              <w:spacing w:after="40"/>
            </w:pPr>
            <w:r>
              <w:rPr>
                <w:rFonts w:asciiTheme="minorHAnsi" w:hAnsiTheme="minorHAnsi"/>
                <w:b/>
                <w:color w:val="FFFFFF"/>
                <w:sz w:val="18"/>
              </w:rPr>
              <w:t xml:space="preserve">Evidencia en el informe</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1.1 Diseña pruebas de validación</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291 pruebas automatizadas que cubren telemetría, N/A, tweaks, rollback, IA, cuenta, benchmark, tendencias e interfaz.</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1.2 Aplica pruebas de validación</w:t>
            </w:r>
          </w:p>
        </w:tc>
        <w:tc>
          <w:tcPr>
            <w:tcW w:w="1400" w:type="dxa"/>
            <w:shd w:val="clear" w:color="auto" w:fill="FFEB9C"/>
            <w:tcMar>
              <w:top w:w="60" w:type="dxa"/>
              <w:left w:w="90" w:type="dxa"/>
              <w:bottom w:w="60" w:type="dxa"/>
              <w:right w:w="90" w:type="dxa"/>
            </w:tcMar>
            <w:vAlign w:val="center"/>
          </w:tcPr>
          <w:p>
            <w:pPr>
              <w:spacing w:after="40"/>
            </w:pPr>
            <w:r>
              <w:rPr>
                <w:rFonts w:asciiTheme="minorHAnsi" w:hAnsiTheme="minorHAnsi"/>
                <w:color w:val="000000"/>
                <w:sz w:val="18"/>
              </w:rPr>
              <w:t xml:space="preserve">Parcial</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Suite ejecutada sobre REBUILD 108 (252/291) y validación en el hardware de los integrantes; falta la matriz en tres equipos.</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1.3 Desarrolla mejoras según resultados</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Versiones correctivas registradas (REBUILD 023, 032, 069) y plan para actualizar pruebas desactualizadas.</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2.1 Planifica proyectos informáticos</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Plan de trabajo con recursos, duración, responsables y riesgos; carta Gantt de 18 semanas.</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2.2 Controla proyectos informáticos</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Monitoreo del plan con estados y ajustes; historial de 111 entradas; respaldos ZIP.</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3.1 Diseña modelos de datos</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Modelo de datos documentado (tabla 3 del informe).</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3.2 Implementa modelos de datos</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Tablas SQLite (samples, windows_sessions, alert_events) y estructuras JSON de rollback en uso.</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4.1 Construye una solución de software</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Aplicación con 34 módulos Python y 23 componentes QML.</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4.2 Integra componentes</w:t>
            </w:r>
          </w:p>
        </w:tc>
        <w:tc>
          <w:tcPr>
            <w:tcW w:w="1400" w:type="dxa"/>
            <w:shd w:val="clear" w:color="auto" w:fill="C6EFCE"/>
            <w:tcMar>
              <w:top w:w="60" w:type="dxa"/>
              <w:left w:w="90" w:type="dxa"/>
              <w:bottom w:w="60" w:type="dxa"/>
              <w:right w:w="90" w:type="dxa"/>
            </w:tcMar>
            <w:vAlign w:val="center"/>
          </w:tcPr>
          <w:p>
            <w:pPr>
              <w:spacing w:after="40"/>
            </w:pPr>
            <w:r>
              <w:rPr>
                <w:rFonts w:asciiTheme="minorHAnsi" w:hAnsiTheme="minorHAnsi"/>
                <w:color w:val="000000"/>
                <w:sz w:val="18"/>
              </w:rPr>
              <w:t xml:space="preserve">Sí</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Telemetría, salud, IA, PDF, overlay, benchmark y cuenta integrados en una sola aplicación.</w:t>
            </w:r>
          </w:p>
        </w:tc>
      </w:tr>
      <w:tr>
        <w:trPr>
          <w:cantSplit/>
        </w:trPr>
        <w:tc>
          <w:tcPr>
            <w:tcW w:w="3600" w:type="dxa"/>
            <w:tcMar>
              <w:top w:w="60" w:type="dxa"/>
              <w:left w:w="90" w:type="dxa"/>
              <w:bottom w:w="60" w:type="dxa"/>
              <w:right w:w="90" w:type="dxa"/>
            </w:tcMar>
            <w:vAlign w:val="center"/>
          </w:tcPr>
          <w:p>
            <w:pPr>
              <w:spacing w:after="40"/>
            </w:pPr>
            <w:r>
              <w:rPr>
                <w:rFonts w:asciiTheme="minorHAnsi" w:hAnsiTheme="minorHAnsi"/>
                <w:b/>
                <w:color w:val="000000"/>
                <w:sz w:val="18"/>
              </w:rPr>
              <w:t xml:space="preserve">4.3 Implanta una solución de software</w:t>
            </w:r>
          </w:p>
        </w:tc>
        <w:tc>
          <w:tcPr>
            <w:tcW w:w="1400" w:type="dxa"/>
            <w:shd w:val="clear" w:color="auto" w:fill="FFEB9C"/>
            <w:tcMar>
              <w:top w:w="60" w:type="dxa"/>
              <w:left w:w="90" w:type="dxa"/>
              <w:bottom w:w="60" w:type="dxa"/>
              <w:right w:w="90" w:type="dxa"/>
            </w:tcMar>
            <w:vAlign w:val="center"/>
          </w:tcPr>
          <w:p>
            <w:pPr>
              <w:spacing w:after="40"/>
            </w:pPr>
            <w:r>
              <w:rPr>
                <w:rFonts w:asciiTheme="minorHAnsi" w:hAnsiTheme="minorHAnsi"/>
                <w:color w:val="000000"/>
                <w:sz w:val="18"/>
              </w:rPr>
              <w:t xml:space="preserve">En curso</w:t>
            </w:r>
          </w:p>
        </w:tc>
        <w:tc>
          <w:tcPr>
            <w:tcW w:w="8004" w:type="dxa"/>
            <w:tcMar>
              <w:top w:w="60" w:type="dxa"/>
              <w:left w:w="90" w:type="dxa"/>
              <w:bottom w:w="60" w:type="dxa"/>
              <w:right w:w="90" w:type="dxa"/>
            </w:tcMar>
            <w:vAlign w:val="center"/>
          </w:tcPr>
          <w:p>
            <w:pPr>
              <w:spacing w:after="40"/>
            </w:pPr>
            <w:r>
              <w:rPr>
                <w:rFonts w:asciiTheme="minorHAnsi" w:hAnsiTheme="minorHAnsi"/>
                <w:color w:val="000000"/>
                <w:sz w:val="18"/>
              </w:rPr>
              <w:t xml:space="preserve">Lanzador con preparación automática del entorno; instalador planificado para S15–S17.</w:t>
            </w:r>
          </w:p>
        </w:tc>
      </w:tr>
    </w:tbl>
    <w:p>
      <w:pPr>
        <w:spacing w:before="0" w:after="0"/>
        <w:jc w:val="both"/>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C4907" w14:textId="77777777" w:rsidR="00B40606" w:rsidRDefault="00B40606" w:rsidP="00B2162E">
      <w:r>
        <w:separator/>
      </w:r>
    </w:p>
  </w:endnote>
  <w:endnote w:type="continuationSeparator" w:id="0">
    <w:p w14:paraId="38D5210D" w14:textId="77777777" w:rsidR="00B40606" w:rsidRDefault="00B4060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1A54E" w14:textId="77777777" w:rsidR="00B40606" w:rsidRDefault="00B40606" w:rsidP="00B2162E">
      <w:r>
        <w:separator/>
      </w:r>
    </w:p>
  </w:footnote>
  <w:footnote w:type="continuationSeparator" w:id="0">
    <w:p w14:paraId="665FAAC9" w14:textId="77777777" w:rsidR="00B40606" w:rsidRDefault="00B4060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133251192">
    <w:abstractNumId w:val="29"/>
  </w:num>
  <w:num w:numId="2" w16cid:durableId="705132383">
    <w:abstractNumId w:val="20"/>
  </w:num>
  <w:num w:numId="3" w16cid:durableId="994186184">
    <w:abstractNumId w:val="21"/>
  </w:num>
  <w:num w:numId="4" w16cid:durableId="624889109">
    <w:abstractNumId w:val="13"/>
  </w:num>
  <w:num w:numId="5" w16cid:durableId="419836849">
    <w:abstractNumId w:val="11"/>
  </w:num>
  <w:num w:numId="6" w16cid:durableId="690305666">
    <w:abstractNumId w:val="7"/>
  </w:num>
  <w:num w:numId="7" w16cid:durableId="1793287822">
    <w:abstractNumId w:val="28"/>
  </w:num>
  <w:num w:numId="8" w16cid:durableId="138694677">
    <w:abstractNumId w:val="3"/>
  </w:num>
  <w:num w:numId="9" w16cid:durableId="1925795879">
    <w:abstractNumId w:val="12"/>
  </w:num>
  <w:num w:numId="10" w16cid:durableId="1475023224">
    <w:abstractNumId w:val="0"/>
  </w:num>
  <w:num w:numId="11" w16cid:durableId="246425810">
    <w:abstractNumId w:val="10"/>
  </w:num>
  <w:num w:numId="12" w16cid:durableId="1676372125">
    <w:abstractNumId w:val="22"/>
  </w:num>
  <w:num w:numId="13" w16cid:durableId="265774980">
    <w:abstractNumId w:val="26"/>
  </w:num>
  <w:num w:numId="14" w16cid:durableId="1486316050">
    <w:abstractNumId w:val="24"/>
  </w:num>
  <w:num w:numId="15" w16cid:durableId="534660010">
    <w:abstractNumId w:val="32"/>
  </w:num>
  <w:num w:numId="16" w16cid:durableId="1572421995">
    <w:abstractNumId w:val="31"/>
  </w:num>
  <w:num w:numId="17" w16cid:durableId="851917863">
    <w:abstractNumId w:val="5"/>
  </w:num>
  <w:num w:numId="18" w16cid:durableId="654527562">
    <w:abstractNumId w:val="16"/>
  </w:num>
  <w:num w:numId="19" w16cid:durableId="662394230">
    <w:abstractNumId w:val="15"/>
  </w:num>
  <w:num w:numId="20" w16cid:durableId="1246571120">
    <w:abstractNumId w:val="8"/>
  </w:num>
  <w:num w:numId="21" w16cid:durableId="1983004589">
    <w:abstractNumId w:val="19"/>
  </w:num>
  <w:num w:numId="22" w16cid:durableId="502014778">
    <w:abstractNumId w:val="14"/>
  </w:num>
  <w:num w:numId="23" w16cid:durableId="893659273">
    <w:abstractNumId w:val="9"/>
  </w:num>
  <w:num w:numId="24" w16cid:durableId="515196162">
    <w:abstractNumId w:val="18"/>
  </w:num>
  <w:num w:numId="25" w16cid:durableId="297730752">
    <w:abstractNumId w:val="6"/>
  </w:num>
  <w:num w:numId="26" w16cid:durableId="86654206">
    <w:abstractNumId w:val="2"/>
  </w:num>
  <w:num w:numId="27" w16cid:durableId="276061562">
    <w:abstractNumId w:val="1"/>
  </w:num>
  <w:num w:numId="28" w16cid:durableId="1461652616">
    <w:abstractNumId w:val="23"/>
  </w:num>
  <w:num w:numId="29" w16cid:durableId="36514742">
    <w:abstractNumId w:val="27"/>
  </w:num>
  <w:num w:numId="30" w16cid:durableId="1610701255">
    <w:abstractNumId w:val="25"/>
  </w:num>
  <w:num w:numId="31" w16cid:durableId="600063975">
    <w:abstractNumId w:val="17"/>
  </w:num>
  <w:num w:numId="32" w16cid:durableId="144517991">
    <w:abstractNumId w:val="4"/>
  </w:num>
  <w:num w:numId="33" w16cid:durableId="7285286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71</cp:revision>
  <cp:lastPrinted>2021-11-25T12:30:00Z</cp:lastPrinted>
  <dcterms:created xsi:type="dcterms:W3CDTF">2022-08-25T15:56:00Z</dcterms:created>
  <dcterms:modified xsi:type="dcterms:W3CDTF">2023-06-30T21:15:00Z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