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3864"/>
          <w:sz w:val="64"/>
          <w:szCs w:val="64"/>
        </w:rPr>
        <w:t xml:space="preserve">METANOIA SMX</w:t>
      </w:r>
    </w:p>
    <w:p>
      <w:pPr>
        <w:spacing w:after="0" w:before="120"/>
        <w:jc w:val="center"/>
      </w:pPr>
      <w:r>
        <w:rPr>
          <w:b/>
          <w:bCs/>
          <w:color w:val="2E75B6"/>
          <w:sz w:val="30"/>
          <w:szCs w:val="30"/>
        </w:rPr>
        <w:t xml:space="preserve">Documento Base — Consolidado (v4)</w:t>
      </w:r>
    </w:p>
    <w:p>
      <w:pPr>
        <w:spacing w:after="0" w:before="200"/>
        <w:jc w:val="center"/>
      </w:pPr>
      <w:r>
        <w:rPr>
          <w:color w:val="595959"/>
          <w:sz w:val="24"/>
          <w:szCs w:val="24"/>
        </w:rPr>
        <w:t xml:space="preserve">Contexto · Estructura · Roles · Finanzas · Flujo de trabajo</w:t>
      </w:r>
    </w:p>
    <w:p>
      <w:pPr>
        <w:spacing w:after="0" w:before="120"/>
        <w:jc w:val="center"/>
      </w:pPr>
      <w:r>
        <w:rPr>
          <w:color w:val="595959"/>
          <w:sz w:val="24"/>
          <w:szCs w:val="24"/>
        </w:rPr>
        <w:t xml:space="preserve">Junio 2026</w:t>
      </w:r>
    </w:p>
    <w:p>
      <w:pPr>
        <w:spacing w:after="0" w:before="2400"/>
        <w:jc w:val="center"/>
      </w:pPr>
      <w:r>
        <w:rPr>
          <w:i/>
          <w:iCs/>
          <w:color w:val="595959"/>
          <w:sz w:val="20"/>
          <w:szCs w:val="20"/>
        </w:rPr>
        <w:t xml:space="preserve">Documento interno de trabajo — fuente única de verdad del proyecto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Cómo usar este documento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Este documento es la fuente única de verdad de Metanoia SMX. Consolida el contexto, las bases conceptuales, las áreas, los roles, la coordinación, las finanzas y la gobernanza del proyecto. Cumple tres funciones: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Alinear al equipo</w:t>
      </w:r>
      <w:r>
        <w:rPr>
          <w:b w:val="false"/>
          <w:bCs w:val="false"/>
          <w:i w:val="false"/>
          <w:iCs w:val="false"/>
        </w:rPr>
        <w:t xml:space="preserve"> en una sola visión compartida.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Servir de base</w:t>
      </w:r>
      <w:r>
        <w:rPr>
          <w:b w:val="false"/>
          <w:bCs w:val="false"/>
          <w:i w:val="false"/>
          <w:iCs w:val="false"/>
        </w:rPr>
        <w:t xml:space="preserve"> para trabajos y decisiones futuras.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Ordenar la operación</w:t>
      </w:r>
      <w:r>
        <w:rPr>
          <w:b w:val="false"/>
          <w:bCs w:val="false"/>
          <w:i w:val="false"/>
          <w:iCs w:val="false"/>
        </w:rPr>
        <w:t xml:space="preserve"> a partir del flujo de trabajo definido en la sección 7.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Lo acompañan tres anexos (archivos aparte): el </w:t>
      </w:r>
      <w:r>
        <w:rPr>
          <w:b/>
          <w:bCs/>
          <w:i w:val="false"/>
          <w:iCs w:val="false"/>
        </w:rPr>
        <w:t xml:space="preserve">modelo financiero</w:t>
      </w:r>
      <w:r>
        <w:rPr>
          <w:b w:val="false"/>
          <w:bCs w:val="false"/>
          <w:i w:val="false"/>
          <w:iCs w:val="false"/>
        </w:rPr>
        <w:t xml:space="preserve"> (Excel), la </w:t>
      </w:r>
      <w:r>
        <w:rPr>
          <w:b/>
          <w:bCs/>
          <w:i w:val="false"/>
          <w:iCs w:val="false"/>
        </w:rPr>
        <w:t xml:space="preserve">plantilla de intake de oportunidades</w:t>
      </w:r>
      <w:r>
        <w:rPr>
          <w:b w:val="false"/>
          <w:bCs w:val="false"/>
          <w:i w:val="false"/>
          <w:iCs w:val="false"/>
        </w:rPr>
        <w:t xml:space="preserve">, y los </w:t>
      </w:r>
      <w:r>
        <w:rPr>
          <w:b/>
          <w:bCs/>
          <w:i w:val="false"/>
          <w:iCs w:val="false"/>
        </w:rPr>
        <w:t xml:space="preserve">documentos de COFRADIA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1"/>
      </w:pPr>
      <w:r>
        <w:t xml:space="preserve">1. Encuadre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Familia</w:t>
      </w:r>
      <w:r>
        <w:rPr>
          <w:b w:val="false"/>
          <w:bCs w:val="false"/>
          <w:i w:val="false"/>
          <w:iCs w:val="false"/>
        </w:rPr>
        <w:t xml:space="preserve"> (propiedad y gobierno) → </w:t>
      </w:r>
      <w:r>
        <w:rPr>
          <w:b/>
          <w:bCs/>
          <w:i w:val="false"/>
          <w:iCs w:val="false"/>
        </w:rPr>
        <w:t xml:space="preserve">SUDES S.A.S.</w:t>
      </w:r>
      <w:r>
        <w:rPr>
          <w:b w:val="false"/>
          <w:bCs w:val="false"/>
          <w:i w:val="false"/>
          <w:iCs w:val="false"/>
        </w:rPr>
        <w:t xml:space="preserve"> (empresa / vehículo) → </w:t>
      </w:r>
      <w:r>
        <w:rPr>
          <w:b/>
          <w:bCs/>
          <w:i w:val="false"/>
          <w:iCs w:val="false"/>
        </w:rPr>
        <w:t xml:space="preserve">Proyecto METANOIA SMX</w:t>
      </w:r>
      <w:r>
        <w:rPr>
          <w:b w:val="false"/>
          <w:bCs w:val="false"/>
          <w:i w:val="false"/>
          <w:iCs w:val="false"/>
        </w:rPr>
        <w:t xml:space="preserve"> (unidad académica y centro de simulación). </w:t>
      </w:r>
      <w:r>
        <w:rPr>
          <w:b/>
          <w:bCs/>
          <w:i w:val="false"/>
          <w:iCs w:val="false"/>
        </w:rPr>
        <w:t xml:space="preserve">COFRADIA EMC</w:t>
      </w:r>
      <w:r>
        <w:rPr>
          <w:b w:val="false"/>
          <w:bCs w:val="false"/>
          <w:i w:val="false"/>
          <w:iCs w:val="false"/>
        </w:rPr>
        <w:t xml:space="preserve"> es la submarca: la comunidad por suscripción.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Metanoia no es una empresa: es un proyecto dentro de Sudes. Se mantiene separado lo que es del proyecto (qué hace, cómo opera) de lo que es del vehículo Sudes (lo societario y fiscal).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Nombre único: </w:t>
      </w:r>
      <w:r>
        <w:rPr>
          <w:b/>
          <w:bCs/>
          <w:i w:val="false"/>
          <w:iCs w:val="false"/>
        </w:rPr>
        <w:t xml:space="preserve">METANOIA SMX</w:t>
      </w:r>
      <w:r>
        <w:rPr>
          <w:b w:val="false"/>
          <w:bCs w:val="false"/>
          <w:i w:val="false"/>
          <w:iCs w:val="false"/>
        </w:rPr>
        <w:t xml:space="preserve">. Se migra todo a SMX; el dominio metanoiasme.com redirige.</w:t>
      </w:r>
    </w:p>
    <w:p>
      <w:pPr>
        <w:pStyle w:val="Heading1"/>
      </w:pPr>
      <w:r>
        <w:t xml:space="preserve">2. Propósito y misión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Misión (aprobada): </w:t>
      </w:r>
      <w:r>
        <w:rPr>
          <w:b w:val="false"/>
          <w:bCs w:val="false"/>
          <w:i/>
          <w:iCs/>
        </w:rPr>
        <w:t xml:space="preserve">Formar profesionales de la salud mediante simulación médica con rigor académico certificable, construyendo autoridad académica regional y, sobre esa autoridad, un negocio sostenible que financie su propia independencia.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Doble norte integrado: académico (ser referente regional; autoridad antes que volumen) y comercial (caja recurrente que da autonomía progresiva). Meta de autonomía: ningún ingreso debe superar el 40% del total en el mediano plazo.</w:t>
      </w:r>
    </w:p>
    <w:p>
      <w:pPr>
        <w:pStyle w:val="Heading1"/>
      </w:pPr>
      <w:r>
        <w:t xml:space="preserve">3. Contexto y mapa de estado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Vehículo: </w:t>
      </w:r>
      <w:r>
        <w:rPr>
          <w:b w:val="false"/>
          <w:bCs w:val="false"/>
          <w:i w:val="false"/>
          <w:iCs w:val="false"/>
        </w:rPr>
        <w:t xml:space="preserve">SUDES S.A.S., CUIT 30-71699117-9, constituida en Salta el 19/10/2020. Cierre de ejercicio 30/06. Administradora titular: Valentina Larran. </w:t>
      </w:r>
      <w:r>
        <w:rPr>
          <w:b/>
          <w:bCs/>
          <w:i w:val="false"/>
          <w:iCs w:val="false"/>
        </w:rPr>
        <w:t xml:space="preserve">Sede: </w:t>
      </w:r>
      <w:r>
        <w:rPr>
          <w:b w:val="false"/>
          <w:bCs w:val="false"/>
          <w:i w:val="false"/>
          <w:iCs w:val="false"/>
        </w:rPr>
        <w:t xml:space="preserve">España 1440, Salta (inmueble de Colmedsa cedido en comodato, no propio).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3560"/>
        <w:gridCol w:w="19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Instrumento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Fecha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Vigencia / hito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Estado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Constitución SUDES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19/10/2020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99 años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Vigente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Convenio Colmedsa–Sudes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17/12/2024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hasta 16/12/2029 (rescisión desde 31/12/2027)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Vigente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Comodato España 1440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17/12/2024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hasta 16/12/2029 (atado al convenio)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Vigente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Obra civil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prevista 03/2025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+ adicionales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Habilitado Nivel 1 y 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Decreto provincial 447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31/07/2025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interés provincial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Vigente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Nota a Colmedsa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6/3/2026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especialidades, instructores, cronograma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Esperando respuesta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Contrato Ministerio (MSP)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22/06/2026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inicio 1/7/2026, 6 meses renovable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firmar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Señales a tener presentes: </w:t>
      </w:r>
      <w:r>
        <w:rPr>
          <w:b w:val="false"/>
          <w:bCs w:val="false"/>
          <w:i w:val="false"/>
          <w:iCs w:val="false"/>
        </w:rPr>
        <w:t xml:space="preserve">el comodato y el convenio están acoplados (perder el inmueble = perder la operación), y la presidencia de Colmedsa cambió (Robredo → Beretta). La dependencia institucional es un riesgo a gestionar.</w:t>
      </w:r>
    </w:p>
    <w:p>
      <w:pPr>
        <w:pStyle w:val="Heading1"/>
      </w:pPr>
      <w:r>
        <w:t xml:space="preserve">4. Bases conceptuales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7 niveles de simulación: </w:t>
      </w:r>
      <w:r>
        <w:rPr>
          <w:b w:val="false"/>
          <w:bCs w:val="false"/>
          <w:i w:val="false"/>
          <w:iCs w:val="false"/>
        </w:rPr>
        <w:t xml:space="preserve">básica · procedural · casos clínicos · equipo y comunicación · emergencias · VR/AR · híbrida.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Categorías de objetivo: </w:t>
      </w:r>
      <w:r>
        <w:rPr>
          <w:b w:val="false"/>
          <w:bCs w:val="false"/>
          <w:i w:val="false"/>
          <w:iCs w:val="false"/>
        </w:rPr>
        <w:t xml:space="preserve">aptitud · destreza · habilidad general · habilidad específica · competencia.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Metodología PEV (Kaizen-PDCA): </w:t>
      </w:r>
      <w:r>
        <w:rPr>
          <w:b w:val="false"/>
          <w:bCs w:val="false"/>
          <w:i w:val="false"/>
          <w:iCs w:val="false"/>
        </w:rPr>
        <w:t xml:space="preserve">PEV1 → PEV2 → PEV3 → aprobación plenaria; solo PROTOTIPO/APROBADO habilitan comercializar.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Reglas editoriales: </w:t>
      </w:r>
      <w:r>
        <w:rPr>
          <w:b w:val="false"/>
          <w:bCs w:val="false"/>
          <w:i w:val="false"/>
          <w:iCs w:val="false"/>
        </w:rPr>
        <w:t xml:space="preserve">qué SÍ y qué NO es Metanoia; curaduría obligatoria; la industria acompaña pero no define el contenido clínico.</w:t>
      </w:r>
    </w:p>
    <w:p>
      <w:pPr>
        <w:pStyle w:val="Heading1"/>
      </w:pPr>
      <w:r>
        <w:t xml:space="preserve">5. Áreas y líneas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560"/>
        <w:gridCol w:w="9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Línea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Qué es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Caja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A. Convenio MSP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Simulación para residentes públicos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Valentina+Tomás (legal) / Dir. Médico (académico)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Sí (ancla)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firmar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B. Colmedsa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Capacitación sin cargo + certificación + comodato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Dir. Médico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directa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Vigente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C. Cursos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Catálogo arancelado (nomenclador)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Amparo / Tomás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Sí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Incipiente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D. COFRADIA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Comunidad por suscripción + contenidos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Dir. Médico / Tomás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Sí (recurrente)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 lanzamiento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Colmedsa (B) no paga</w:t>
      </w:r>
      <w:r>
        <w:rPr>
          <w:b w:val="false"/>
          <w:bCs w:val="false"/>
          <w:i w:val="false"/>
          <w:iCs w:val="false"/>
        </w:rPr>
        <w:t xml:space="preserve">: aporta inmueble, certificación y legitimidad. El único pagador hoy es el Ministerio (A). La autonomía depende de hacer crecer C y D.</w:t>
      </w:r>
    </w:p>
    <w:p>
      <w:pPr>
        <w:pStyle w:val="Heading2"/>
      </w:pPr>
      <w:r>
        <w:t xml:space="preserve">COFRADIA EMC — el motor de autonomía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Comunidad cerrada por suscripción que construye ingreso propio recurrente. Tres capas: abierta (capta) · exclusiva paga (ingresos) · expertos (generan el contenido). Cinco planes: Libre · Individual (US$12) · Premium (US$25, ancla) · Institucional (US$20/usuario) · Experto (gratis a cambio de aportar). Regla de marca: Biblioteca enseña · Blog cuenta · COFRADIA conecta.</w:t>
      </w:r>
    </w:p>
    <w:p>
      <w:pPr>
        <w:pStyle w:val="Heading1"/>
      </w:pPr>
      <w:r>
        <w:t xml:space="preserve">6. Mapa de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22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Función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Hace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Decide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Apoyo / externo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Dirección y oportunidades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Mario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Mario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Coordinación general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Amparo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Amparo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herramientas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Dirección Médica (clínica/editorial)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Director Médico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Director Médico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comité 5 médicos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Sistemas / plataforma / APIs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Tomás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Tomás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Claude / herramientas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Comunicación / redes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Florencia y Daniela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Amparo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Tomás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Curaduría editorial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 médicos + herramienta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Director Médico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Amparo / Tomás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Coordinación de instructores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Valentina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Valentina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referentes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Administración / fiscal / legal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Tomás (coordina)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Valentina + Tomás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Finnegans · AUREN · Farah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Representación legal (MSP/Colmedsa)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Valentina + Tomás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Valentina + Tomás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Lógica: dos traducciones entre la visión y la ejecución. </w:t>
      </w:r>
      <w:r>
        <w:rPr>
          <w:b/>
          <w:bCs/>
          <w:i w:val="false"/>
          <w:iCs w:val="false"/>
        </w:rPr>
        <w:t xml:space="preserve">Amparo</w:t>
      </w:r>
      <w:r>
        <w:rPr>
          <w:b w:val="false"/>
          <w:bCs w:val="false"/>
          <w:i w:val="false"/>
          <w:iCs w:val="false"/>
        </w:rPr>
        <w:t xml:space="preserve"> es el puente humano (decodifica a Mario, aterriza y coordina). </w:t>
      </w:r>
      <w:r>
        <w:rPr>
          <w:b/>
          <w:bCs/>
          <w:i w:val="false"/>
          <w:iCs w:val="false"/>
        </w:rPr>
        <w:t xml:space="preserve">Tomás</w:t>
      </w:r>
      <w:r>
        <w:rPr>
          <w:b w:val="false"/>
          <w:bCs w:val="false"/>
          <w:i w:val="false"/>
          <w:iCs w:val="false"/>
        </w:rPr>
        <w:t xml:space="preserve"> es el puente de sistemas (lo vuelve proceso, herramienta y API). Así Valentina y las áreas reciben dirección ya aterrizada, no abstracción cruda.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Referentes académicos (núcleo): </w:t>
      </w:r>
      <w:r>
        <w:rPr>
          <w:b w:val="false"/>
          <w:bCs w:val="false"/>
          <w:i w:val="false"/>
          <w:iCs w:val="false"/>
        </w:rPr>
        <w:t xml:space="preserve">Virasoro, Juárez Muas, De la Vega, Passarell, Jaime, Van Cawlaert.</w:t>
      </w:r>
    </w:p>
    <w:p>
      <w:pPr>
        <w:pStyle w:val="Heading1"/>
      </w:pPr>
      <w:r>
        <w:t xml:space="preserve">7. Coordinación y flujo de trabajo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El flujo central que ordena la operación diaria:</w:t>
      </w:r>
    </w:p>
    <w:p>
      <w:pPr>
        <w:shd w:fill="D9E2F3" w:val="clear"/>
        <w:spacing w:after="160" w:before="80"/>
        <w:jc w:val="center"/>
      </w:pPr>
      <w:r>
        <w:rPr>
          <w:b/>
          <w:bCs/>
          <w:color w:val="1F3864"/>
        </w:rPr>
        <w:t xml:space="preserve">Mario origina  →  Amparo decodifica (plantilla de intake)  →  ejecución / Tomás sistematiza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Tres mecanismos, nada más: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b/>
          <w:bCs/>
          <w:i w:val="false"/>
          <w:iCs w:val="false"/>
        </w:rPr>
        <w:t xml:space="preserve">Bandeja de oportunidades: </w:t>
      </w:r>
      <w:r>
        <w:rPr>
          <w:b w:val="false"/>
          <w:bCs w:val="false"/>
          <w:i w:val="false"/>
          <w:iCs w:val="false"/>
        </w:rPr>
        <w:t xml:space="preserve">Mario vuelca las ideas crudas en un solo lugar; Amparo las decodifica con la plantilla de intake (Anexo) antes de que lleguen a ejecución. Nada pasa de su cabeza directo a quien lo hace.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b/>
          <w:bCs/>
          <w:i w:val="false"/>
          <w:iCs w:val="false"/>
        </w:rPr>
        <w:t xml:space="preserve">Sync operativo semanal (30 min), liderado por Amparo: </w:t>
      </w:r>
      <w:r>
        <w:rPr>
          <w:b w:val="false"/>
          <w:bCs w:val="false"/>
          <w:i w:val="false"/>
          <w:iCs w:val="false"/>
        </w:rPr>
        <w:t xml:space="preserve">qué se aterrizó, qué pasa a ejecución, qué traba.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b/>
          <w:bCs/>
          <w:i w:val="false"/>
          <w:iCs w:val="false"/>
        </w:rPr>
        <w:t xml:space="preserve">Revisión mensual </w:t>
      </w:r>
      <w:r>
        <w:rPr>
          <w:b w:val="false"/>
          <w:bCs w:val="false"/>
          <w:i w:val="false"/>
          <w:iCs w:val="false"/>
        </w:rPr>
        <w:t xml:space="preserve">contra las metas por línea de negocio.</w:t>
      </w:r>
    </w:p>
    <w:p>
      <w:pPr>
        <w:pStyle w:val="Heading1"/>
      </w:pPr>
      <w:r>
        <w:t xml:space="preserve">8. Herramientas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Nomenclador v1.1: </w:t>
      </w:r>
      <w:r>
        <w:rPr>
          <w:b w:val="false"/>
          <w:bCs w:val="false"/>
          <w:i w:val="false"/>
          <w:iCs w:val="false"/>
        </w:rPr>
        <w:t xml:space="preserve">parámetros, catálogo, calculadoras Vía A/B y cotizador PEV.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Herramienta de curaduría editorial → API </w:t>
      </w:r>
      <w:r>
        <w:rPr>
          <w:b w:val="false"/>
          <w:bCs w:val="false"/>
          <w:i w:val="false"/>
          <w:iCs w:val="false"/>
        </w:rPr>
        <w:t xml:space="preserve">hacia la plataforma de e-learning (en desarrollo).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Estandarización de comunicación </w:t>
      </w:r>
      <w:r>
        <w:rPr>
          <w:b w:val="false"/>
          <w:bCs w:val="false"/>
          <w:i w:val="false"/>
          <w:iCs w:val="false"/>
        </w:rPr>
        <w:t xml:space="preserve">(procesos de Florencia y Daniela, en curso).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Modelo financiero integrado y plantilla de intake </w:t>
      </w:r>
      <w:r>
        <w:rPr>
          <w:b w:val="false"/>
          <w:bCs w:val="false"/>
          <w:i w:val="false"/>
          <w:iCs w:val="false"/>
        </w:rPr>
        <w:t xml:space="preserve">(anexos).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Estas herramientas reducen la dependencia de la presencia de Mario y Amparo y descargan a Tomás. La persona arranca, el proceso sostiene.</w:t>
      </w:r>
    </w:p>
    <w:p>
      <w:pPr>
        <w:pStyle w:val="Heading1"/>
      </w:pPr>
      <w:r>
        <w:t xml:space="preserve">9. Modelo financiero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Modelo integrado en pesos constantes a TC $1.450, horizonte 4 años, con las cuatro líneas (ver anexo Excel). El hallazgo central es estratégico: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La autonomía no la da COFRADIA: la da escalar los cursos (línea C).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Dependencia del MSP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Año 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Año 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Año 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Año 4</w:t>
            </w:r>
          </w:p>
        </w:tc>
      </w:tr>
      <w:tr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Escenario base (solo laparoscopía)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76%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62%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52%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50%</w:t>
            </w:r>
          </w:p>
        </w:tc>
      </w:tr>
      <w:tr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Objetivo 2027 (4 cursos/mes)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76%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32%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23%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Pendiente clave: </w:t>
      </w:r>
      <w:r>
        <w:rPr>
          <w:b w:val="false"/>
          <w:bCs w:val="false"/>
          <w:i w:val="false"/>
          <w:iCs w:val="false"/>
        </w:rPr>
        <w:t xml:space="preserve">el costo real de prestación del Convenio MSP (hoy un placeholder) lo debe cargar AUREN; es el número que más mueve la utilidad. Este modelo es una herramienta de gestión, no asesoramiento financiero: validar supuestos con AUREN antes de decidir.</w:t>
      </w:r>
    </w:p>
    <w:p>
      <w:pPr>
        <w:pStyle w:val="Heading1"/>
      </w:pPr>
      <w:r>
        <w:t xml:space="preserve">10. Reparto de ingresos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Línea C (cursos): </w:t>
      </w:r>
      <w:r>
        <w:rPr>
          <w:b w:val="false"/>
          <w:bCs w:val="false"/>
          <w:i w:val="false"/>
          <w:iCs w:val="false"/>
        </w:rPr>
        <w:t xml:space="preserve">el nomenclador costea por hora para cotizar, pero el pago al equipo de instructores tiene techo del 30% de la facturación del curso.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Línea D (plataforma): </w:t>
      </w:r>
      <w:r>
        <w:rPr>
          <w:b w:val="false"/>
          <w:bCs w:val="false"/>
          <w:i w:val="false"/>
          <w:iCs w:val="false"/>
        </w:rPr>
        <w:t xml:space="preserve">40% al médico por el contenido autoral (cursos, cirugías explicadas, clases); sistema de puntos por la participación en la comunidad. Test de frontera: ¿es una pieza vendible y atribuible a un autor? → 40%. ¿Es participación que da vida a la comunidad? → puntos. El Director Médico clasifica los casos grises.</w:t>
      </w:r>
    </w:p>
    <w:p>
      <w:pPr>
        <w:pStyle w:val="Heading1"/>
      </w:pPr>
      <w:r>
        <w:t xml:space="preserve">11. Gobernanza familia ↔ referentes</w:t>
      </w:r>
    </w:p>
    <w:p>
      <w:pPr>
        <w:pStyle w:val="ListParagraph"/>
        <w:numPr>
          <w:ilvl w:val="0"/>
          <w:numId w:val="4"/>
        </w:numPr>
        <w:spacing w:after="100" w:line="264"/>
      </w:pPr>
      <w:r>
        <w:rPr>
          <w:b/>
          <w:bCs/>
          <w:i w:val="false"/>
          <w:iCs w:val="false"/>
        </w:rPr>
        <w:t xml:space="preserve">Independencia editorial: </w:t>
      </w:r>
      <w:r>
        <w:rPr>
          <w:b w:val="false"/>
          <w:bCs w:val="false"/>
          <w:i w:val="false"/>
          <w:iCs w:val="false"/>
        </w:rPr>
        <w:t xml:space="preserve">la autoridad clínica/editorial es del Director Médico. Ni la familia ni la industria definen el contenido clínico. (Confirmado.)</w:t>
      </w:r>
    </w:p>
    <w:p>
      <w:pPr>
        <w:pStyle w:val="ListParagraph"/>
        <w:numPr>
          <w:ilvl w:val="0"/>
          <w:numId w:val="4"/>
        </w:numPr>
        <w:spacing w:after="100" w:line="264"/>
      </w:pPr>
      <w:r>
        <w:rPr>
          <w:b/>
          <w:bCs/>
          <w:i w:val="false"/>
          <w:iCs w:val="false"/>
        </w:rPr>
        <w:t xml:space="preserve">Conflicto de interés y vínculo familiar: </w:t>
      </w:r>
      <w:r>
        <w:rPr>
          <w:b w:val="false"/>
          <w:bCs w:val="false"/>
          <w:i w:val="false"/>
          <w:iCs w:val="false"/>
        </w:rPr>
        <w:t xml:space="preserve">los referentes con vínculo familiar participan en igualdad de condiciones, con declaración de conflictos por escrito. (Hablado con Ramón y Amparo; en redacción.)</w:t>
      </w:r>
    </w:p>
    <w:p>
      <w:pPr>
        <w:pStyle w:val="ListParagraph"/>
        <w:numPr>
          <w:ilvl w:val="0"/>
          <w:numId w:val="4"/>
        </w:numPr>
        <w:spacing w:after="100" w:line="264"/>
      </w:pPr>
      <w:r>
        <w:rPr>
          <w:b/>
          <w:bCs/>
          <w:i w:val="false"/>
          <w:iCs w:val="false"/>
        </w:rPr>
        <w:t xml:space="preserve">Contratos claros </w:t>
      </w:r>
      <w:r>
        <w:rPr>
          <w:b w:val="false"/>
          <w:bCs w:val="false"/>
          <w:i w:val="false"/>
          <w:iCs w:val="false"/>
        </w:rPr>
        <w:t xml:space="preserve">para curadores, referentes e instructores. (En borradores con Ángel Filli y Valentina.)</w:t>
      </w:r>
    </w:p>
    <w:p>
      <w:pPr>
        <w:pStyle w:val="ListParagraph"/>
        <w:numPr>
          <w:ilvl w:val="0"/>
          <w:numId w:val="4"/>
        </w:numPr>
        <w:spacing w:after="100" w:line="264"/>
      </w:pPr>
      <w:r>
        <w:rPr>
          <w:b/>
          <w:bCs/>
          <w:i w:val="false"/>
          <w:iCs w:val="false"/>
        </w:rPr>
        <w:t xml:space="preserve">Propiedad intelectual: </w:t>
      </w:r>
      <w:r>
        <w:rPr>
          <w:b w:val="false"/>
          <w:bCs w:val="false"/>
          <w:i w:val="false"/>
          <w:iCs w:val="false"/>
        </w:rPr>
        <w:t xml:space="preserve">el médico mantiene autoría y crédito, y licencia el uso a Metanoia mientras dure el contrato. (Decidido.)</w:t>
      </w:r>
    </w:p>
    <w:p>
      <w:pPr>
        <w:pStyle w:val="ListParagraph"/>
        <w:numPr>
          <w:ilvl w:val="0"/>
          <w:numId w:val="4"/>
        </w:numPr>
        <w:spacing w:after="100" w:line="264"/>
      </w:pPr>
      <w:r>
        <w:rPr>
          <w:b/>
          <w:bCs/>
          <w:i w:val="false"/>
          <w:iCs w:val="false"/>
        </w:rPr>
        <w:t xml:space="preserve">Exclusividad acotada: </w:t>
      </w:r>
      <w:r>
        <w:rPr>
          <w:b w:val="false"/>
          <w:bCs w:val="false"/>
          <w:i w:val="false"/>
          <w:iCs w:val="false"/>
        </w:rPr>
        <w:t xml:space="preserve">el contenido premium producido para/con Metanoia es exclusivo de la plataforma; el médico queda libre de enseñar y publicar en otros ámbitos en general. (Decidido.)</w:t>
      </w:r>
    </w:p>
    <w:p>
      <w:pPr>
        <w:pStyle w:val="ListParagraph"/>
        <w:numPr>
          <w:ilvl w:val="0"/>
          <w:numId w:val="4"/>
        </w:numPr>
        <w:spacing w:after="100" w:line="264"/>
      </w:pPr>
      <w:r>
        <w:rPr>
          <w:b/>
          <w:bCs/>
          <w:i w:val="false"/>
          <w:iCs w:val="false"/>
        </w:rPr>
        <w:t xml:space="preserve">Continuidad / salida: </w:t>
      </w:r>
      <w:r>
        <w:rPr>
          <w:b w:val="false"/>
          <w:bCs w:val="false"/>
          <w:i w:val="false"/>
          <w:iCs w:val="false"/>
        </w:rPr>
        <w:t xml:space="preserve">qué pasa con el contenido y el lugar de un referente si se va, con protección reputacional mutua. (Atado a 3 y 4.)</w:t>
      </w:r>
    </w:p>
    <w:p>
      <w:pPr>
        <w:pStyle w:val="Heading1"/>
      </w:pPr>
      <w:r>
        <w:t xml:space="preserve">12. Métricas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Académicas: </w:t>
      </w:r>
      <w:r>
        <w:rPr>
          <w:b w:val="false"/>
          <w:bCs w:val="false"/>
          <w:i w:val="false"/>
          <w:iCs w:val="false"/>
        </w:rPr>
        <w:t xml:space="preserve">calidad percibida, uso real de contenidos, adopción institucional, referencias externas.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Comerciales: </w:t>
      </w:r>
      <w:r>
        <w:rPr>
          <w:b w:val="false"/>
          <w:bCs w:val="false"/>
          <w:i w:val="false"/>
          <w:iCs w:val="false"/>
        </w:rPr>
        <w:t xml:space="preserve">suscriptores COFRADIA, % de ingresos privados, dependencia del Estado (meta: ningún ingreso &gt; 40%).</w:t>
      </w:r>
    </w:p>
    <w:p>
      <w:pPr>
        <w:pStyle w:val="Heading1"/>
      </w:pPr>
      <w:r>
        <w:t xml:space="preserve">13. Decisiones registradas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Ancla MSP: $80M/mes, 100% IPC INDEC trimestral, 6 meses renovable, cupo 300/400, reinversión ≥15%.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Nombre único METANOIA SMX; el dominio SME redirige.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Misión aprobada (sección 2).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Reparto: cursos techo 30% instructores; plataforma 40% autoral / puntos comunidad.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Director Médico: autoridad clínica/editorial y representación médica ante Colmedsa.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Coordinación general a cargo de Amparo.</w:t>
      </w:r>
    </w:p>
    <w:p>
      <w:pPr>
        <w:pStyle w:val="Heading1"/>
      </w:pPr>
      <w:r>
        <w:t xml:space="preserve">14. Fortalezas y debilidades</w:t>
      </w:r>
    </w:p>
    <w:p>
      <w:pPr>
        <w:pStyle w:val="Heading2"/>
      </w:pPr>
      <w:r>
        <w:t xml:space="preserve">Fortalezas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Base institucional difícil de replicar: decreto, dos convenios, inmueble cedido, referentes de primer nivel, Director Médico definido.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Activo metodológico (niveles + PEV + nomenclador) y un motor de autonomía diseñado y modelado (COFRADIA) con unit economics sanos.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Equipo completo, externos clave enganchados (Finnegans, AUREN, Farah) y el puente visión→ejecución resuelto (Amparo + Tomás).</w:t>
      </w:r>
    </w:p>
    <w:p>
      <w:pPr>
        <w:pStyle w:val="Heading2"/>
      </w:pPr>
      <w:r>
        <w:t xml:space="preserve">Debilidades y riesgos a vigilar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Dependencia de un único pagador estatal con plazo corto; la autonomía (cursos + COFRADIA) todavía en construcción.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La rentabilidad real depende del costo de prestación del MSP, aún sin medir (AUREN).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Concentración en la pareja Mario+Amparo y dependencia de Amparo como decodificadora — mitigación en marcha vía herramientas, procesos y la plantilla de intake.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Tomás como segundo cuello de botella (sistemas + procesos + administración): vigilar su carga.</w:t>
      </w:r>
    </w:p>
    <w:p>
      <w:pPr>
        <w:pStyle w:val="Heading1"/>
      </w:pPr>
      <w:r>
        <w:t xml:space="preserve">15. Estado de cierre y próximos pasos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Los diez huecos de organización están cerrados. Lo que resta no es organización, sino ejecución del equipo: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Costo real del Convenio MSP </w:t>
      </w:r>
      <w:r>
        <w:rPr>
          <w:b w:val="false"/>
          <w:bCs w:val="false"/>
          <w:i w:val="false"/>
          <w:iCs w:val="false"/>
        </w:rPr>
        <w:t xml:space="preserve">→ AUREN (destraba el modelo financiero y las metas por línea).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Contratos de médicos, referentes e instructores </w:t>
      </w:r>
      <w:r>
        <w:rPr>
          <w:b w:val="false"/>
          <w:bCs w:val="false"/>
          <w:i w:val="false"/>
          <w:iCs w:val="false"/>
        </w:rPr>
        <w:t xml:space="preserve">→ Ángel Filli (Estudio Farah) + Valentina.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Afinar la plantilla de intake con Amparo </w:t>
      </w:r>
      <w:r>
        <w:rPr>
          <w:b w:val="false"/>
          <w:bCs w:val="false"/>
          <w:i w:val="false"/>
          <w:iCs w:val="false"/>
        </w:rPr>
        <w:t xml:space="preserve">(charla corta para volcar sus criterios reales).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</w:rPr>
        <w:t xml:space="preserve">Definir el factor de escala de cursos para 2027 </w:t>
      </w:r>
      <w:r>
        <w:rPr>
          <w:b w:val="false"/>
          <w:bCs w:val="false"/>
          <w:i w:val="false"/>
          <w:iCs w:val="false"/>
        </w:rPr>
        <w:t xml:space="preserve">(objetivo: 4 cursos mensuales; cargarlo en el modelo).</w:t>
      </w:r>
    </w:p>
    <w:p>
      <w:pPr>
        <w:pStyle w:val="Heading1"/>
      </w:pPr>
      <w:r>
        <w:t xml:space="preserve">16. Anexos (archivos que acompañan)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Modelo Financiero Integrado (Excel).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Plantilla de Intake de Oportunidad.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COFRADIA: manual conceptual, estrategia de suscripciones y modelo financiero.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</w:rPr>
        <w:t xml:space="preserve">Resumen Ejecutivo — Programa Anual de Simulación Laparoscópica.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METANOIA SMX — Documento Base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2026-06-02T20:01:28.570Z</dcterms:created>
  <dcterms:modified xsi:type="dcterms:W3CDTF">2026-06-02T20:01:28.570Z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