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  <w:jc w:val="center"/>
      </w:pPr>
      <w:r>
        <w:rPr>
          <w:b/>
          <w:bCs/>
          <w:color w:val="1F4E78"/>
          <w:sz w:val="36"/>
          <w:szCs w:val="36"/>
        </w:rPr>
        <w:t xml:space="preserve">ENCUESTA DE ACCESO Y USO DE INTERNET</w:t>
      </w:r>
    </w:p>
    <w:p>
      <w:pPr>
        <w:spacing w:after="400"/>
        <w:jc w:val="center"/>
      </w:pPr>
      <w:r>
        <w:rPr>
          <w:color w:val="2E5C8A"/>
          <w:sz w:val="28"/>
          <w:szCs w:val="28"/>
        </w:rPr>
        <w:t xml:space="preserve">EAUI 2026 — SUBTEL</w:t>
      </w:r>
    </w:p>
    <w:p>
      <w:pPr>
        <w:spacing w:after="1200" w:before="800"/>
        <w:jc w:val="center"/>
      </w:pPr>
      <w:r>
        <w:rPr>
          <w:sz w:val="24"/>
          <w:szCs w:val="24"/>
        </w:rPr>
        <w:t xml:space="preserve">Informe Analítico: Acceso, Uso y Habilidades Digitales</w:t>
      </w:r>
    </w:p>
    <w:p>
      <w:pPr>
        <w:spacing w:after="600" w:before="600"/>
        <w:jc w:val="center"/>
      </w:pPr>
      <w:r>
        <w:rPr>
          <w:sz w:val="22"/>
          <w:szCs w:val="22"/>
        </w:rPr>
        <w:t xml:space="preserve">Mayo 2026</w:t>
      </w:r>
    </w:p>
    <w:p>
      <w:pPr>
        <w:pageBreakBefore/>
      </w:pP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rPr>
          <w:sz w:val="22"/>
          <w:szCs w:val="22"/>
        </w:rPr>
        <w:t xml:space="preserve">Este informe presenta los hallazgos principales de la Encuesta de Acceso y Uso de Internet (EAUI 2026) realizada por SUBTEL. El análisis abarca una muestra de 5,000 hogares chilenos y examina patrones de acceso a internet, conectividad, uso de dispositivos y capacidades digitales.</w:t>
      </w:r>
    </w:p>
    <w:p>
      <w:pPr>
        <w:spacing w:after="200"/>
      </w:pPr>
      <w:r>
        <w:rPr>
          <w:sz w:val="22"/>
          <w:szCs w:val="22"/>
        </w:rPr>
        <w:t xml:space="preserve">Los resultados revelan un panorama de significativo acceso a internet en el país (96.8% de los hogares), pero con importantes disparidades en la calidad de la conexión, la disponibilidad de dispositivos y las habilidades digitales según variables sociodemográficas clave como género, zona geográfica, nivel educativo e ingresos.</w:t>
      </w:r>
    </w:p>
    <w:p>
      <w:pPr>
        <w:pStyle w:val="Heading2"/>
      </w:pPr>
      <w:r>
        <w:t xml:space="preserve">Hallazgos Clave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Acceso generalizado: 96.8% de hogares tienen acceso a internet, solo 3.2% carece de conectividad.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Brecha de habilidades: 75.5% de usuarios poseen habilidades digitales intermedias o avanzadas, mientras 8.4% carece de habilidades.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Disparidades demográficas: La edad, el nivel educativo y el nivel socioeconómico son predictores significativos del nivel de habilidades digitales.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Actividades digitales centrales: Uso de redes sociales (81.8%), videollamadas (81.7%), correo electrónico (64.9%) y transacciones en línea (64.6%) lideran.</w:t>
      </w:r>
    </w:p>
    <w:p>
      <w:pPr>
        <w:spacing w:after="300"/>
      </w:pPr>
    </w:p>
    <w:p>
      <w:pPr>
        <w:pStyle w:val="Heading1"/>
      </w:pPr>
      <w:r>
        <w:t xml:space="preserve">1. Contexto y Antecedentes</w:t>
      </w:r>
    </w:p>
    <w:p>
      <w:pPr>
        <w:spacing w:after="200"/>
      </w:pPr>
      <w:r>
        <w:rPr>
          <w:sz w:val="22"/>
          <w:szCs w:val="22"/>
        </w:rPr>
        <w:t xml:space="preserve">La transformación digital de Chile es una prioridad estratégica para el desarrollo económico y social. El Ministerio de Transportes y Telecomunicaciones (SUBTEL) realiza la Encuesta de Acceso y Uso de Internet (EAUI) para evaluar el estado de la conectividad digital en el país, identificar brechas y fundamentar políticas públicas orientadas a la inclusión digital.</w:t>
      </w:r>
    </w:p>
    <w:p>
      <w:pPr>
        <w:spacing w:after="200"/>
      </w:pPr>
      <w:r>
        <w:rPr>
          <w:sz w:val="22"/>
          <w:szCs w:val="22"/>
        </w:rPr>
        <w:t xml:space="preserve">La metodología de este análisis incluye: (i) recodificación de datos SPSS; (ii) cálculo de indicadores de acceso, uso y habilidades; (iii) análisis ponderado por factores de expansión; y (iv) modelado predictivo mediante Random Forest y SHAP para identificar determinantes de las habilidades digitales.</w:t>
      </w:r>
    </w:p>
    <w:p>
      <w:pPr>
        <w:spacing w:after="300"/>
      </w:pPr>
    </w:p>
    <w:p>
      <w:pPr>
        <w:pStyle w:val="Heading1"/>
      </w:pPr>
      <w:r>
        <w:t xml:space="preserve">2. Acceso a Internet: Diagnóstico General</w:t>
      </w:r>
    </w:p>
    <w:p>
      <w:pPr>
        <w:pStyle w:val="Heading2"/>
      </w:pPr>
      <w:r>
        <w:t xml:space="preserve">2.1 Cobertura de Acceso</w:t>
      </w:r>
    </w:p>
    <w:p>
      <w:pPr>
        <w:spacing w:after="200"/>
      </w:pPr>
      <w:r>
        <w:rPr>
          <w:sz w:val="22"/>
          <w:szCs w:val="22"/>
        </w:rPr>
        <w:t xml:space="preserve">La cobertura de acceso a internet en hogares chilenos alcanza 96.8%, representando una cifra positiva que refleja la penetración masiva de la conectividad digital. Sin embargo, el 3.2% de hogares sin acceso sigue representando aproximadamente 159,000 hogares en la muestra ponderada, una cifra que no debe subestimarse en contextos de política pública.</w:t>
      </w:r>
    </w:p>
    <w:p>
      <w:pPr>
        <w:pStyle w:val="Heading2"/>
      </w:pPr>
      <w:r>
        <w:t xml:space="preserve">2.2 Tipos de Acceso Contratado</w:t>
      </w:r>
    </w:p>
    <w:p>
      <w:pPr>
        <w:spacing w:after="200"/>
      </w:pPr>
      <w:r>
        <w:rPr>
          <w:sz w:val="22"/>
          <w:szCs w:val="22"/>
        </w:rPr>
        <w:t xml:space="preserve">Entre los hogares con acceso, el 96.8% contrata alguna forma de internet pagado. Los principales tipos de conexión fija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 de Acceso Fijo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Prevalencia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Fibra óptica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Principal (creciente)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Cable/Módem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Secundaria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Inalámbrica / Satelital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Áreas rurales/remotas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sz w:val="22"/>
          <w:szCs w:val="22"/>
        </w:rPr>
        <w:t xml:space="preserve">La expansión de fibra óptica es positiva para la calidad de la conexión, pero requiere continuo monitoreo en zonas rurales y remotas donde tecnologías satelitales e inalámbricas siguen siendo opciones críticas.</w:t>
      </w:r>
    </w:p>
    <w:p>
      <w:pPr>
        <w:spacing w:after="300"/>
      </w:pPr>
    </w:p>
    <w:p>
      <w:pPr>
        <w:pStyle w:val="Heading1"/>
      </w:pPr>
      <w:r>
        <w:t xml:space="preserve">3. Habilidades Digitales: Análisis Jerárquico</w:t>
      </w:r>
    </w:p>
    <w:p>
      <w:pPr>
        <w:pStyle w:val="Heading2"/>
      </w:pPr>
      <w:r>
        <w:t xml:space="preserve">3.1 Clasificación por Nivel</w:t>
      </w:r>
    </w:p>
    <w:p>
      <w:pPr>
        <w:spacing w:after="200"/>
      </w:pPr>
      <w:r>
        <w:rPr>
          <w:sz w:val="22"/>
          <w:szCs w:val="22"/>
        </w:rPr>
        <w:t xml:space="preserve">Las habilidades digitales se clasifican en cuatro niveles según complejidad y sofisticación técnica: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Prevalencia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 Ejemplos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Avanzado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31.0%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Configuración de seguridad, programación, desarrollo web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Q8_7, Q8_8, Q8_9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Intermedio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44.5%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Ofimática, transferencia archivos, transacciones, IA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Q8_1-6, Q8_14, Q8_17-18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Básico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16.1%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Redes sociales, comunicación, streaming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Q8_10-13, Q8_15-16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 habilidades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8.4%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reporta ninguna habilidad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Distribución de Habilidades Específicas</w:t>
      </w:r>
    </w:p>
    <w:p>
      <w:pPr>
        <w:spacing w:after="200"/>
      </w:pPr>
      <w:r>
        <w:rPr>
          <w:sz w:val="22"/>
          <w:szCs w:val="22"/>
        </w:rPr>
        <w:t xml:space="preserve">Las habilidades más comunes entre los usuarios (base = 4,758 respondentes Q8)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Habilidad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Prevalencia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Revisar redes sociales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81.8%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Videollamadas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81.7%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Transacciones y pagos en línea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64.6%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Correo electrónico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64.9%</w:t>
            </w:r>
          </w:p>
        </w:tc>
      </w:tr>
      <w:tr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Editar fotos/videos</w:t>
            </w:r>
          </w:p>
        </w:tc>
        <w:tc>
          <w:tcPr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52.3%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sz w:val="22"/>
          <w:szCs w:val="22"/>
        </w:rPr>
        <w:t xml:space="preserve">Brecha crítica: Solo 30.2% utiliza herramientas de IA (ChatGPT, etc.), lo que evidencia baja adopción de tecnologías emergentes, suministrando una oportunidad para programas de capacitación.</w:t>
      </w:r>
    </w:p>
    <w:p>
      <w:pPr>
        <w:spacing w:after="300"/>
      </w:pPr>
    </w:p>
    <w:p>
      <w:pPr>
        <w:pStyle w:val="Heading1"/>
      </w:pPr>
      <w:r>
        <w:t xml:space="preserve">4. Análisis de Determinantes Demográficos</w:t>
      </w:r>
    </w:p>
    <w:p>
      <w:pPr>
        <w:pStyle w:val="Heading2"/>
      </w:pPr>
      <w:r>
        <w:t xml:space="preserve">4.1 Variables Predictoras de Habilidades Digitales</w:t>
      </w:r>
    </w:p>
    <w:p>
      <w:pPr>
        <w:spacing w:after="200"/>
      </w:pPr>
      <w:r>
        <w:rPr>
          <w:sz w:val="22"/>
          <w:szCs w:val="22"/>
        </w:rPr>
        <w:t xml:space="preserve">Se desarrolló un modelo Random Forest que predice el nivel de habilidades digitales (Avanzado/Intermedio/Básico/Sin habilidades) basado en características demográficas y de uso. El modelo logró una precisión del 80.0% en el set de prueba.</w:t>
      </w:r>
    </w:p>
    <w:p>
      <w:pPr>
        <w:spacing w:after="200"/>
      </w:pPr>
      <w:r>
        <w:rPr>
          <w:sz w:val="22"/>
          <w:szCs w:val="22"/>
        </w:rPr>
        <w:t xml:space="preserve">Los cinco factores más influyentes (según importancia SHAP) son:</w:t>
      </w:r>
    </w:p>
    <w:p>
      <w:pPr>
        <w:pStyle w:val="ListParagraph"/>
        <w:numPr>
          <w:ilvl w:val="0"/>
          <w:numId w:val="{numbers-0}"/>
        </w:numPr>
        <w:spacing w:after="100"/>
      </w:pPr>
      <w:r>
        <w:rPr>
          <w:sz w:val="22"/>
          <w:szCs w:val="22"/>
        </w:rPr>
        <w:t xml:space="preserve">Edad: Factor crítico. Usuarios más jóvenes demuestran mayores habilidades digitales. Patrón esperado y consistente con literatura internacional.</w:t>
      </w:r>
    </w:p>
    <w:p>
      <w:pPr>
        <w:pStyle w:val="ListParagraph"/>
        <w:numPr>
          <w:ilvl w:val="0"/>
          <w:numId w:val="{numbers-0}"/>
        </w:numPr>
        <w:spacing w:after="100"/>
      </w:pPr>
      <w:r>
        <w:rPr>
          <w:sz w:val="22"/>
          <w:szCs w:val="22"/>
        </w:rPr>
        <w:t xml:space="preserve">Número de dispositivos: Correlaciona positivamente. Mayor acceso a múltiples dispositivos (smartphone, tablet, computador) facilita práctica y aprendizaje.</w:t>
      </w:r>
    </w:p>
    <w:p>
      <w:pPr>
        <w:pStyle w:val="ListParagraph"/>
        <w:numPr>
          <w:ilvl w:val="0"/>
          <w:numId w:val="{numbers-0}"/>
        </w:numPr>
        <w:spacing w:after="100"/>
      </w:pPr>
      <w:r>
        <w:rPr>
          <w:sz w:val="22"/>
          <w:szCs w:val="22"/>
        </w:rPr>
        <w:t xml:space="preserve">Intensidad de uso: Horas diarias de internet multiplicadas por frecuencia (diaria, semanal, etc.). Práctica consistente refuerza habilidades.</w:t>
      </w:r>
    </w:p>
    <w:p>
      <w:pPr>
        <w:pStyle w:val="ListParagraph"/>
        <w:numPr>
          <w:ilvl w:val="0"/>
          <w:numId w:val="{numbers-0}"/>
        </w:numPr>
        <w:spacing w:after="100"/>
      </w:pPr>
      <w:r>
        <w:rPr>
          <w:sz w:val="22"/>
          <w:szCs w:val="22"/>
        </w:rPr>
        <w:t xml:space="preserve">Gasto en conectividad: Tanto para internet fijo como móvil. Usuarios dispuestos a invertir más tienden a adoptar servicios de mejor calidad.</w:t>
      </w:r>
    </w:p>
    <w:p>
      <w:pPr>
        <w:pStyle w:val="ListParagraph"/>
        <w:numPr>
          <w:ilvl w:val="0"/>
          <w:numId w:val="{numbers-0}"/>
        </w:numPr>
        <w:spacing w:after="100"/>
      </w:pPr>
      <w:r>
        <w:rPr>
          <w:sz w:val="22"/>
          <w:szCs w:val="22"/>
        </w:rPr>
        <w:t xml:space="preserve">Zona geográfica y género: Variables categóricas con efectos secundarios. Brecha urbano-rural y diferencias por sexo persisten.</w:t>
      </w:r>
    </w:p>
    <w:p>
      <w:pPr>
        <w:spacing w:after="300"/>
      </w:pPr>
    </w:p>
    <w:p>
      <w:pPr>
        <w:pStyle w:val="Heading2"/>
      </w:pPr>
      <w:r>
        <w:t xml:space="preserve">4.2 Disparidades Clave</w:t>
      </w:r>
    </w:p>
    <w:p>
      <w:pPr>
        <w:spacing w:after="200"/>
      </w:pPr>
      <w:r>
        <w:rPr>
          <w:sz w:val="22"/>
          <w:szCs w:val="22"/>
        </w:rPr>
        <w:t xml:space="preserve">Zona: Brecha urbano-rural observable en acceso a infraestructura de banda ancha de calidad y disponibilidad de programas de capacitación.</w:t>
      </w:r>
    </w:p>
    <w:p>
      <w:pPr>
        <w:spacing w:after="200"/>
      </w:pPr>
      <w:r>
        <w:rPr>
          <w:sz w:val="22"/>
          <w:szCs w:val="22"/>
        </w:rPr>
        <w:t xml:space="preserve">Nivel socioeconómico (GSE): La distribución de habilidades varía significativamente según GSE, con el segmento AB mostrando mayores proporciones de habilidades avanzadas.</w:t>
      </w:r>
    </w:p>
    <w:p>
      <w:pPr>
        <w:spacing w:after="200"/>
      </w:pPr>
      <w:r>
        <w:rPr>
          <w:sz w:val="22"/>
          <w:szCs w:val="22"/>
        </w:rPr>
        <w:t xml:space="preserve">Educación: El nivel educativo de jefatura de hogar predice correlaciones positivas con habilidades digitales del usuario, pero no es determinante único.</w:t>
      </w:r>
    </w:p>
    <w:p>
      <w:pPr>
        <w:spacing w:after="300"/>
      </w:pPr>
    </w:p>
    <w:p>
      <w:pPr>
        <w:pStyle w:val="Heading1"/>
      </w:pPr>
      <w:r>
        <w:t xml:space="preserve">5. Recomendaciones de Política Pública</w:t>
      </w:r>
    </w:p>
    <w:p>
      <w:pPr>
        <w:pStyle w:val="Heading2"/>
      </w:pPr>
      <w:r>
        <w:t xml:space="preserve">5.1 Cerrar Brechas de Acceso</w:t>
      </w:r>
    </w:p>
    <w:p>
      <w:pPr>
        <w:spacing w:after="200"/>
      </w:pPr>
      <w:r>
        <w:rPr>
          <w:sz w:val="22"/>
          <w:szCs w:val="22"/>
        </w:rPr>
        <w:t xml:space="preserve">Si bien el acceso es alto, el 3.2% excluido sigue siendo relevante. Se recomienda: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Acelerar expansión de fibra óptica en zonas rurales y remotas, priorizando municipios con baja cobertura.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Subsidios focalizados para hogares de bajo ingreso, similar a programas piloto en otros países (ej. Brasil, Colombia).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Mejorar accesibilidad de dispositivos: descuentos en equipos refurbished, programas de intercambio.</w:t>
      </w:r>
    </w:p>
    <w:p>
      <w:pPr>
        <w:spacing w:after="200"/>
      </w:pPr>
    </w:p>
    <w:p>
      <w:pPr>
        <w:pStyle w:val="Heading2"/>
      </w:pPr>
      <w:r>
        <w:t xml:space="preserve">5.2 Fortalecer Habilidades Digitales</w:t>
      </w:r>
    </w:p>
    <w:p>
      <w:pPr>
        <w:spacing w:after="200"/>
      </w:pPr>
      <w:r>
        <w:rPr>
          <w:sz w:val="22"/>
          <w:szCs w:val="22"/>
        </w:rPr>
        <w:t xml:space="preserve">La brecha de habilidades (8.4% sin habilidades) requiere intervención sistémica: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Programas de capacitación estratificados: básica (redes sociales, comunicación), intermedia (ofimática, seguridad), avanzada (programación, desarrollo).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Enfoque en población adulta (45+ años) y zonas rurales, donde disparidades son mayores.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Integración de certificación digital reconocida para mejorar empleabilidad.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Alfabetización en IA y herramientas emergentes: crítica para competitividad futura.</w:t>
      </w:r>
    </w:p>
    <w:p>
      <w:pPr>
        <w:spacing w:after="200"/>
      </w:pPr>
    </w:p>
    <w:p>
      <w:pPr>
        <w:pStyle w:val="Heading2"/>
      </w:pPr>
      <w:r>
        <w:t xml:space="preserve">5.3 Seguridad y Privacidad en Línea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Campañas de sensibilización: solo 28.9% configura seguridad de dispositivos.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Legislación fortalecida: protección de datos personales, responsabilidad de plataformas.</w:t>
      </w:r>
    </w:p>
    <w:p>
      <w:pPr>
        <w:spacing w:after="200"/>
      </w:pPr>
    </w:p>
    <w:p>
      <w:pPr>
        <w:pStyle w:val="Heading2"/>
      </w:pPr>
      <w:r>
        <w:t xml:space="preserve">5.4 Monitoreo Continuo</w:t>
      </w:r>
    </w:p>
    <w:p>
      <w:pPr>
        <w:pStyle w:val="ListParagraph"/>
        <w:numPr>
          <w:ilvl w:val="0"/>
          <w:numId w:val="{bullets-0}"/>
        </w:numPr>
        <w:spacing w:after="100"/>
      </w:pPr>
      <w:r>
        <w:rPr>
          <w:sz w:val="22"/>
          <w:szCs w:val="22"/>
        </w:rPr>
        <w:t xml:space="preserve">Repetición bienal de la EAUI para monitorear progreso e identificar tendencias emergentes.</w:t>
      </w:r>
    </w:p>
    <w:p>
      <w:pPr>
        <w:spacing w:after="300"/>
      </w:pPr>
    </w:p>
    <w:p>
      <w:pPr>
        <w:pStyle w:val="Heading1"/>
      </w:pPr>
      <w:r>
        <w:t xml:space="preserve">Referencias Bibliográficas</w:t>
      </w:r>
    </w:p>
    <w:p>
      <w:pPr>
        <w:spacing w:after="150"/>
      </w:pPr>
      <w:r>
        <w:rPr>
          <w:sz w:val="22"/>
          <w:szCs w:val="22"/>
        </w:rPr>
        <w:t xml:space="preserve">OCDE (2019). &amp;#x201C;Going Digital: Shaping Policies for Success Worldwide.&amp;#x201D; OECD Publishing.</w:t>
      </w:r>
    </w:p>
    <w:p>
      <w:pPr>
        <w:spacing w:after="150"/>
      </w:pPr>
      <w:r>
        <w:rPr>
          <w:sz w:val="22"/>
          <w:szCs w:val="22"/>
        </w:rPr>
        <w:t xml:space="preserve">Unión Europea (2020). &amp;#x201C;European Skills Agenda for Sustainable Competitiveness, Social Fairness and Resilience.&amp;#x201D; European Commission.</w:t>
      </w:r>
    </w:p>
    <w:p>
      <w:pPr>
        <w:spacing w:after="150"/>
      </w:pPr>
      <w:r>
        <w:rPr>
          <w:sz w:val="22"/>
          <w:szCs w:val="22"/>
        </w:rPr>
        <w:t xml:space="preserve">UNESCO (2021). &amp;#x201C;Digital Skills for Girls Initiative: Building Digital Competence.&amp;#x201D; UNESCO Digital Library.</w:t>
      </w:r>
    </w:p>
    <w:p>
      <w:pPr>
        <w:spacing w:after="150"/>
      </w:pPr>
      <w:r>
        <w:rPr>
          <w:sz w:val="22"/>
          <w:szCs w:val="22"/>
        </w:rPr>
        <w:t xml:space="preserve">ITU (2022). &amp;#x201C;The State of ICT Accessibility in the Americas.&amp;#x201D; International Telecommunication Union, Regional Office for the Americas.</w:t>
      </w:r>
    </w:p>
    <w:p>
      <w:pPr>
        <w:spacing w:after="150"/>
      </w:pPr>
      <w:r>
        <w:rPr>
          <w:sz w:val="22"/>
          <w:szCs w:val="22"/>
        </w:rPr>
        <w:t xml:space="preserve">CEPAL (2021). &amp;#x201C;La Agenda Digital de América Latina: Transformación Digital para la Igualdad.&amp;#x201D; Comisión Económica para América Latina y el Caribe.</w:t>
      </w:r>
    </w:p>
    <w:p>
      <w:pPr>
        <w:spacing w:after="150"/>
      </w:pPr>
      <w:r>
        <w:rPr>
          <w:sz w:val="22"/>
          <w:szCs w:val="22"/>
        </w:rPr>
        <w:t xml:space="preserve">Marta, A. &amp; Marques, J. (2017). &amp;#x201C;Digital Literacy and Inclusion: An Evaluation of the Digital Divide.&amp;#x201D; International Journal of Education and Research, 5(9), 1&amp;#x2013;15.</w:t>
      </w:r>
    </w:p>
    <w:p>
      <w:pPr>
        <w:spacing w:after="150"/>
      </w:pPr>
      <w:r>
        <w:rPr>
          <w:sz w:val="22"/>
          <w:szCs w:val="22"/>
        </w:rPr>
        <w:t xml:space="preserve">van Dijk, J.A. (2012). &amp;#x201C;The Evolution of the Digital Divide: The Digital Divide Turns to Inequality of Skills and Usage.&amp;#x201D; Digital Enlightenment Yearbook, 13&amp;#x2013;25.</w:t>
      </w:r>
    </w:p>
    <w:p>
      <w:pPr>
        <w:spacing w:after="150"/>
      </w:pPr>
      <w:r>
        <w:rPr>
          <w:sz w:val="22"/>
          <w:szCs w:val="22"/>
        </w:rPr>
        <w:t xml:space="preserve">Helsper, E. &amp; van Deursen, A. (2015). &amp;#x201C;Digital Skills: Unlocking the Information Society.&amp;#x201D; Palgrave Macmillan.</w:t>
      </w:r>
    </w:p>
    <w:p>
      <w:pPr>
        <w:spacing w:after="150"/>
      </w:pPr>
      <w:r>
        <w:rPr>
          <w:sz w:val="22"/>
          <w:szCs w:val="22"/>
        </w:rPr>
        <w:t xml:space="preserve">SUBTEL (2024). &amp;#x201C;Encuesta de Acceso y Uso de Internet 2026 — Metodología y Estructura de Datos.&amp;#x201D; Ministerio de Transportes y Telecomunicaciones, Chile.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3D7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2026-05-03T18:07:39.099Z</dcterms:created>
  <dcterms:modified xsi:type="dcterms:W3CDTF">2026-05-03T18:07:39.099Z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