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6.png" ContentType="image/png"/>
  <Override PartName="/word/media/rId103.png" ContentType="image/png"/>
  <Override PartName="/word/media/rId85.png" ContentType="image/png"/>
  <Override PartName="/word/media/rId122.png" ContentType="image/png"/>
  <Override PartName="/word/media/rId99.png" ContentType="image/png"/>
  <Override PartName="/word/media/rId95.png" ContentType="image/png"/>
  <Override PartName="/word/media/rId79.png" ContentType="image/png"/>
  <Override PartName="/word/media/rId71.png" ContentType="image/png"/>
  <Override PartName="/word/media/rId75.png" ContentType="image/png"/>
  <Override PartName="/word/media/rId89.png" ContentType="image/png"/>
  <Override PartName="/word/media/rId92.png" ContentType="image/png"/>
  <Override PartName="/word/media/rId82.png" ContentType="image/png"/>
  <Override PartName="/word/media/rId111.png" ContentType="image/png"/>
  <Override PartName="/word/media/rId20.png" ContentType="image/png"/>
  <Override PartName="/word/media/rId47.png" ContentType="image/png"/>
  <Override PartName="/word/media/rId66.png" ContentType="image/png"/>
  <Override PartName="/word/media/rId63.png" ContentType="image/png"/>
  <Override PartName="/word/media/rId52.png" ContentType="image/png"/>
  <Override PartName="/word/media/rId55.png" ContentType="image/png"/>
  <Override PartName="/word/media/rId44.png" ContentType="image/png"/>
  <Override PartName="/word/media/rId115.png" ContentType="image/png"/>
  <Override PartName="/word/media/rId118.png" ContentType="image/png"/>
  <Override PartName="/word/media/rId59.png" ContentType="image/png"/>
  <Override PartName="/word/media/rId29.png" ContentType="image/png"/>
  <Override PartName="/word/media/rId33.png" ContentType="image/png"/>
  <Override PartName="/word/media/rId37.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956816" cy="2175809"/>
            <wp:effectExtent b="0" l="0" r="0" t="0"/>
            <wp:docPr descr="" title="" id="21" name="Picture"/>
            <a:graphic>
              <a:graphicData uri="http://schemas.openxmlformats.org/drawingml/2006/picture">
                <pic:pic>
                  <pic:nvPicPr>
                    <pic:cNvPr descr="fig/icd_image20.png" id="22" name="Picture"/>
                    <pic:cNvPicPr>
                      <a:picLocks noChangeArrowheads="1" noChangeAspect="1"/>
                    </pic:cNvPicPr>
                  </pic:nvPicPr>
                  <pic:blipFill>
                    <a:blip r:embed="rId20"/>
                    <a:stretch>
                      <a:fillRect/>
                    </a:stretch>
                  </pic:blipFill>
                  <pic:spPr bwMode="auto">
                    <a:xfrm>
                      <a:off x="0" y="0"/>
                      <a:ext cx="1956816" cy="2175809"/>
                    </a:xfrm>
                    <a:prstGeom prst="rect">
                      <a:avLst/>
                    </a:prstGeom>
                    <a:noFill/>
                    <a:ln w="9525">
                      <a:noFill/>
                      <a:headEnd/>
                      <a:tailEnd/>
                    </a:ln>
                  </pic:spPr>
                </pic:pic>
              </a:graphicData>
            </a:graphic>
          </wp:inline>
        </w:drawing>
      </w:r>
    </w:p>
    <w:p>
      <w:pPr>
        <w:pStyle w:val="BodyText"/>
      </w:pPr>
      <w:r>
        <w:rPr>
          <w:bCs/>
          <w:b/>
        </w:rPr>
        <w:t xml:space="preserve">Anexo. Pequeña empresa y empleabilidad</w:t>
      </w:r>
    </w:p>
    <w:p>
      <w:pPr>
        <w:pStyle w:val="BodyText"/>
      </w:pPr>
      <w:r>
        <w:rPr>
          <w:bCs/>
          <w:b/>
        </w:rPr>
        <w:t xml:space="preserve">Índice de Ciudadanía Digital 2026: resultados de los dos módulos complementarios</w:t>
      </w:r>
    </w:p>
    <w:p>
      <w:pPr>
        <w:pStyle w:val="BodyText"/>
      </w:pPr>
      <w:r>
        <w:t xml:space="preserve">Centro de Estudios Digitales</w:t>
      </w:r>
    </w:p>
    <w:p>
      <w:pPr>
        <w:pStyle w:val="BodyText"/>
      </w:pPr>
      <w:r>
        <w:t xml:space="preserve">Fundación País Digital</w:t>
      </w:r>
    </w:p>
    <w:p>
      <w:pPr>
        <w:pStyle w:val="BodyText"/>
      </w:pPr>
      <w:r>
        <w:t xml:space="preserve">Agosto 2026</w:t>
      </w:r>
    </w:p>
    <w:bookmarkStart w:id="23" w:name="presentación-del-anexo"/>
    <w:p>
      <w:pPr>
        <w:pStyle w:val="Heading1"/>
      </w:pPr>
      <w:r>
        <w:t xml:space="preserve">Presentación del anexo</w:t>
      </w:r>
    </w:p>
    <w:p>
      <w:pPr>
        <w:pStyle w:val="FirstParagraph"/>
      </w:pPr>
      <w:r>
        <w:t xml:space="preserve">El informe del Índice de Ciudadanía Digital 2026 caracteriza el uso y las percepciones de la inteligencia artificial generativa en la población adulta del país. Su análisis establece cuánta gente utiliza estos servicios, con qué frecuencia, para qué funciones, qué razones declaran quienes no los usan, cómo se distribuyen esos comportamientos según sexo, edad, situación laboral y nivel socioeconómico, y qué perfiles de usuario emergen del conjunto.</w:t>
      </w:r>
    </w:p>
    <w:p>
      <w:pPr>
        <w:pStyle w:val="BodyText"/>
      </w:pPr>
      <w:r>
        <w:t xml:space="preserve">Ese análisis deja abiertas dos preguntas que su propio instrumento no puede responder. La primera es qué ocurre en el interior de las unidades productivas más pequeñas, hacia las que se dirige de manera preferente el discurso sobre productividad e inteligencia artificial. La segunda es qué ocurre en el proceso de búsqueda y mejora de empleo, hacia el que se dirige el discurso sobre reconversión laboral. En ambos casos el informe principal permite describir la adopción, pero no las condiciones concretas en que esa adopción tendría que producirse.</w:t>
      </w:r>
    </w:p>
    <w:p>
      <w:pPr>
        <w:pStyle w:val="BodyText"/>
      </w:pPr>
      <w:r>
        <w:t xml:space="preserve">Para abordar esas dos preguntas se anexaron al instrumento principal dos baterías de preguntas dirigidas a submuestras específicas. La primera fue respondida por 368 personas propietarias de micro y pequeñas empresas e indaga en la operación cotidiana del negocio. La segunda fue respondida por 503 personas ocupadas en mejorar su empleabilidad o en búsqueda de trabajo e indaga en las barreras y necesidades del proceso de búsqueda. El presente documento reporta exclusivamente los resultados de esas dos baterías.</w:t>
      </w:r>
    </w:p>
    <w:p>
      <w:pPr>
        <w:pStyle w:val="BodyText"/>
      </w:pPr>
      <w:r>
        <w:t xml:space="preserve">En consecuencia, este anexo no reproduce, resume ni reinterpreta los resultados del informe principal. Cada vez que resulta necesario situar un hallazgo, se remite al análisis correspondiente de dicho informe sin volver a exponerlo. La sección de anclaje desarrolla de manera explícita en qué puntos los resultados aquí reportados extienden, precisan o acotan las conclusiones del documento principal, que es la función que este anexo cumple dentro del estudio.</w:t>
      </w:r>
    </w:p>
    <w:p>
      <w:pPr>
        <w:pStyle w:val="BodyText"/>
      </w:pPr>
      <w:r>
        <w:t xml:space="preserve">Sobre el alcance de lo que aquí se reporta corresponde una precisión inicial. Las submuestras de ambas baterías son de tamaño moderado y varias de sus variables presentan categorías con muy pocos casos, condiciones bajo las cuales las pruebas de contraste disponibles no entregan conclusiones utilizables. Por esa razón el documento se limita a tres niveles de análisis: la descripción de cada variable por separado, el cruce entre pares de variables expresado en porcentajes por fila, y la interpretación de los conglomerados obtenidos mediante un procedimiento de segmentación. Las diferencias que se describen entre grupos deben leerse como diferencias observadas en quienes respondieron, útiles para orientar decisiones de diseño, y no como estimaciones proyectables a la población.</w:t>
      </w:r>
    </w:p>
    <w:bookmarkEnd w:id="23"/>
    <w:bookmarkStart w:id="27" w:name="métodos-de-los-módulos-complementarios"/>
    <w:p>
      <w:pPr>
        <w:pStyle w:val="Heading1"/>
      </w:pPr>
      <w:r>
        <w:t xml:space="preserve">Métodos de los módulos complementarios</w:t>
      </w:r>
    </w:p>
    <w:bookmarkStart w:id="24" w:name="instrumentos"/>
    <w:p>
      <w:pPr>
        <w:pStyle w:val="Heading2"/>
      </w:pPr>
      <w:r>
        <w:t xml:space="preserve">Instrumentos</w:t>
      </w:r>
    </w:p>
    <w:p>
      <w:pPr>
        <w:pStyle w:val="FirstParagraph"/>
      </w:pPr>
      <w:r>
        <w:t xml:space="preserve">La batería de pequeña empresa contiene cuatro preguntas cerradas de selección única: la tarea del negocio que consume más tiempo, la fuente a la que se recurre primero cuando se necesita ayuda, la principal barrera para el crecimiento del negocio, y el tiempo semanal que la persona estaría dispuesta a dedicar al aprendizaje de una herramienta digital que le permitiera vender más o ahorrar tiempo. Las tres opciones de respuesta abierta incluidas en el instrumento no registraron ninguna selección, por lo que no aportan información adicional.</w:t>
      </w:r>
    </w:p>
    <w:p>
      <w:pPr>
        <w:pStyle w:val="BodyText"/>
      </w:pPr>
      <w:r>
        <w:t xml:space="preserve">La batería de empleabilidad contiene una pregunta cerrada sobre la principal barrera para aprender a usar herramientas digitales, un bloque de respuesta múltiple sobre el tipo de apoyo que se querría recibir de una herramienta digital durante la búsqueda de trabajo, y una pregunta cerrada sobre el atractivo de un formato de aprendizaje breve a través del teléfono móvil. En el bloque de respuesta múltiple, la ausencia de dato indica que la opción no fue seleccionada y no constituye no respuesta, criterio que se aplicó de manera consistente en todo el análisis.</w:t>
      </w:r>
    </w:p>
    <w:p>
      <w:pPr>
        <w:pStyle w:val="BodyText"/>
      </w:pPr>
      <w:r>
        <w:t xml:space="preserve">Ambas baterías incorporan las variables de caracterización sociodemográfica del instrumento principal y registran adicionalmente nivel educacional y tipo de trabajo según la clasificación ocupacional de AIM (2024a), que distingue diez categorías. A partir de esa variable se construyó adicionalmente una recodificación en cuatro categorías de situación laboral (empleado, desempleado, estudiante e inactivo), que se analiza en detalle en la sección correspondiente. La variable ocupacional detallada se conserva íntegra en todos los análisis y la recodificación se incorpora como columna adicional, de manera que ambas versiones son analizables en paralelo.</w:t>
      </w:r>
    </w:p>
    <w:bookmarkEnd w:id="24"/>
    <w:bookmarkStart w:id="25" w:name="submuestras"/>
    <w:p>
      <w:pPr>
        <w:pStyle w:val="Heading2"/>
      </w:pPr>
      <w:r>
        <w:t xml:space="preserve">Submuestras</w:t>
      </w:r>
    </w:p>
    <w:p>
      <w:pPr>
        <w:pStyle w:val="FirstParagraph"/>
      </w:pPr>
      <w:r>
        <w:t xml:space="preserve">Tabla 1. Composición de las submuestras de los dos módulos complementarios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Característica</w:t>
            </w:r>
          </w:p>
        </w:tc>
        <w:tc>
          <w:tcPr/>
          <w:p>
            <w:pPr>
              <w:pStyle w:val="Compact"/>
              <w:jc w:val="left"/>
            </w:pPr>
            <w:r>
              <w:t xml:space="preserve">Módulo pequeña empresa</w:t>
            </w:r>
          </w:p>
        </w:tc>
        <w:tc>
          <w:tcPr/>
          <w:p>
            <w:pPr>
              <w:pStyle w:val="Compact"/>
              <w:jc w:val="left"/>
            </w:pPr>
            <w:r>
              <w:t xml:space="preserve">Módulo empleabilidad</w:t>
            </w:r>
          </w:p>
        </w:tc>
      </w:tr>
      <w:tr>
        <w:tc>
          <w:tcPr/>
          <w:p>
            <w:pPr>
              <w:pStyle w:val="Compact"/>
              <w:jc w:val="left"/>
            </w:pPr>
            <w:r>
              <w:t xml:space="preserve">Casos</w:t>
            </w:r>
          </w:p>
        </w:tc>
        <w:tc>
          <w:tcPr/>
          <w:p>
            <w:pPr>
              <w:pStyle w:val="Compact"/>
              <w:jc w:val="left"/>
            </w:pPr>
            <w:r>
              <w:t xml:space="preserve">368</w:t>
            </w:r>
          </w:p>
        </w:tc>
        <w:tc>
          <w:tcPr/>
          <w:p>
            <w:pPr>
              <w:pStyle w:val="Compact"/>
              <w:jc w:val="left"/>
            </w:pPr>
            <w:r>
              <w:t xml:space="preserve">503</w:t>
            </w:r>
          </w:p>
        </w:tc>
      </w:tr>
      <w:tr>
        <w:tc>
          <w:tcPr/>
          <w:p>
            <w:pPr>
              <w:pStyle w:val="Compact"/>
              <w:jc w:val="left"/>
            </w:pPr>
            <w:r>
              <w:t xml:space="preserve">Mujeres</w:t>
            </w:r>
          </w:p>
        </w:tc>
        <w:tc>
          <w:tcPr/>
          <w:p>
            <w:pPr>
              <w:pStyle w:val="Compact"/>
              <w:jc w:val="left"/>
            </w:pPr>
            <w:r>
              <w:t xml:space="preserve">52,2%</w:t>
            </w:r>
          </w:p>
        </w:tc>
        <w:tc>
          <w:tcPr/>
          <w:p>
            <w:pPr>
              <w:pStyle w:val="Compact"/>
              <w:jc w:val="left"/>
            </w:pPr>
            <w:r>
              <w:t xml:space="preserve">50,7%</w:t>
            </w:r>
          </w:p>
        </w:tc>
      </w:tr>
      <w:tr>
        <w:tc>
          <w:tcPr/>
          <w:p>
            <w:pPr>
              <w:pStyle w:val="Compact"/>
              <w:jc w:val="left"/>
            </w:pPr>
            <w:r>
              <w:t xml:space="preserve">Hombres</w:t>
            </w:r>
          </w:p>
        </w:tc>
        <w:tc>
          <w:tcPr/>
          <w:p>
            <w:pPr>
              <w:pStyle w:val="Compact"/>
              <w:jc w:val="left"/>
            </w:pPr>
            <w:r>
              <w:t xml:space="preserve">47,8%</w:t>
            </w:r>
          </w:p>
        </w:tc>
        <w:tc>
          <w:tcPr/>
          <w:p>
            <w:pPr>
              <w:pStyle w:val="Compact"/>
              <w:jc w:val="left"/>
            </w:pPr>
            <w:r>
              <w:t xml:space="preserve">49,3%</w:t>
            </w:r>
          </w:p>
        </w:tc>
      </w:tr>
      <w:tr>
        <w:tc>
          <w:tcPr/>
          <w:p>
            <w:pPr>
              <w:pStyle w:val="Compact"/>
              <w:jc w:val="left"/>
            </w:pPr>
            <w:r>
              <w:t xml:space="preserve">18 a 30 años</w:t>
            </w:r>
          </w:p>
        </w:tc>
        <w:tc>
          <w:tcPr/>
          <w:p>
            <w:pPr>
              <w:pStyle w:val="Compact"/>
              <w:jc w:val="left"/>
            </w:pPr>
            <w:r>
              <w:t xml:space="preserve">14,9%</w:t>
            </w:r>
          </w:p>
        </w:tc>
        <w:tc>
          <w:tcPr/>
          <w:p>
            <w:pPr>
              <w:pStyle w:val="Compact"/>
              <w:jc w:val="left"/>
            </w:pPr>
            <w:r>
              <w:t xml:space="preserve">12,9%</w:t>
            </w:r>
          </w:p>
        </w:tc>
      </w:tr>
      <w:tr>
        <w:tc>
          <w:tcPr/>
          <w:p>
            <w:pPr>
              <w:pStyle w:val="Compact"/>
              <w:jc w:val="left"/>
            </w:pPr>
            <w:r>
              <w:t xml:space="preserve">31 a 40 años</w:t>
            </w:r>
          </w:p>
        </w:tc>
        <w:tc>
          <w:tcPr/>
          <w:p>
            <w:pPr>
              <w:pStyle w:val="Compact"/>
              <w:jc w:val="left"/>
            </w:pPr>
            <w:r>
              <w:t xml:space="preserve">20,4%</w:t>
            </w:r>
          </w:p>
        </w:tc>
        <w:tc>
          <w:tcPr/>
          <w:p>
            <w:pPr>
              <w:pStyle w:val="Compact"/>
              <w:jc w:val="left"/>
            </w:pPr>
            <w:r>
              <w:t xml:space="preserve">28,2%</w:t>
            </w:r>
          </w:p>
        </w:tc>
      </w:tr>
      <w:tr>
        <w:tc>
          <w:tcPr/>
          <w:p>
            <w:pPr>
              <w:pStyle w:val="Compact"/>
              <w:jc w:val="left"/>
            </w:pPr>
            <w:r>
              <w:t xml:space="preserve">41 a 50 años</w:t>
            </w:r>
          </w:p>
        </w:tc>
        <w:tc>
          <w:tcPr/>
          <w:p>
            <w:pPr>
              <w:pStyle w:val="Compact"/>
              <w:jc w:val="left"/>
            </w:pPr>
            <w:r>
              <w:t xml:space="preserve">23,4%</w:t>
            </w:r>
          </w:p>
        </w:tc>
        <w:tc>
          <w:tcPr/>
          <w:p>
            <w:pPr>
              <w:pStyle w:val="Compact"/>
              <w:jc w:val="left"/>
            </w:pPr>
            <w:r>
              <w:t xml:space="preserve">31,2%</w:t>
            </w:r>
          </w:p>
        </w:tc>
      </w:tr>
      <w:tr>
        <w:tc>
          <w:tcPr/>
          <w:p>
            <w:pPr>
              <w:pStyle w:val="Compact"/>
              <w:jc w:val="left"/>
            </w:pPr>
            <w:r>
              <w:t xml:space="preserve">51 a 60 años</w:t>
            </w:r>
          </w:p>
        </w:tc>
        <w:tc>
          <w:tcPr/>
          <w:p>
            <w:pPr>
              <w:pStyle w:val="Compact"/>
              <w:jc w:val="left"/>
            </w:pPr>
            <w:r>
              <w:t xml:space="preserve">21,5%</w:t>
            </w:r>
          </w:p>
        </w:tc>
        <w:tc>
          <w:tcPr/>
          <w:p>
            <w:pPr>
              <w:pStyle w:val="Compact"/>
              <w:jc w:val="left"/>
            </w:pPr>
            <w:r>
              <w:t xml:space="preserve">27,6%</w:t>
            </w:r>
          </w:p>
        </w:tc>
      </w:tr>
      <w:tr>
        <w:tc>
          <w:tcPr/>
          <w:p>
            <w:pPr>
              <w:pStyle w:val="Compact"/>
              <w:jc w:val="left"/>
            </w:pPr>
            <w:r>
              <w:t xml:space="preserve">61 años o más</w:t>
            </w:r>
          </w:p>
        </w:tc>
        <w:tc>
          <w:tcPr/>
          <w:p>
            <w:pPr>
              <w:pStyle w:val="Compact"/>
              <w:jc w:val="left"/>
            </w:pPr>
            <w:r>
              <w:t xml:space="preserve">19,8%</w:t>
            </w:r>
          </w:p>
        </w:tc>
        <w:tc>
          <w:tcPr/>
          <w:p>
            <w:pPr>
              <w:pStyle w:val="Compact"/>
              <w:jc w:val="left"/>
            </w:pPr>
            <w:r>
              <w:t xml:space="preserve">0,0%</w:t>
            </w:r>
          </w:p>
        </w:tc>
      </w:tr>
      <w:tr>
        <w:tc>
          <w:tcPr/>
          <w:p>
            <w:pPr>
              <w:pStyle w:val="Compact"/>
              <w:jc w:val="left"/>
            </w:pPr>
            <w:r>
              <w:t xml:space="preserve">Formación post-secundaria</w:t>
            </w:r>
          </w:p>
        </w:tc>
        <w:tc>
          <w:tcPr/>
          <w:p>
            <w:pPr>
              <w:pStyle w:val="Compact"/>
              <w:jc w:val="left"/>
            </w:pPr>
            <w:r>
              <w:t xml:space="preserve">70,7%</w:t>
            </w:r>
          </w:p>
        </w:tc>
        <w:tc>
          <w:tcPr/>
          <w:p>
            <w:pPr>
              <w:pStyle w:val="Compact"/>
              <w:jc w:val="left"/>
            </w:pPr>
            <w:r>
              <w:t xml:space="preserve">76,7%</w:t>
            </w:r>
          </w:p>
        </w:tc>
      </w:tr>
      <w:tr>
        <w:tc>
          <w:tcPr/>
          <w:p>
            <w:pPr>
              <w:pStyle w:val="Compact"/>
              <w:jc w:val="left"/>
            </w:pPr>
            <w:r>
              <w:t xml:space="preserve">ABC1</w:t>
            </w:r>
          </w:p>
        </w:tc>
        <w:tc>
          <w:tcPr/>
          <w:p>
            <w:pPr>
              <w:pStyle w:val="Compact"/>
              <w:jc w:val="left"/>
            </w:pPr>
            <w:r>
              <w:t xml:space="preserve">13,3%</w:t>
            </w:r>
          </w:p>
        </w:tc>
        <w:tc>
          <w:tcPr/>
          <w:p>
            <w:pPr>
              <w:pStyle w:val="Compact"/>
              <w:jc w:val="left"/>
            </w:pPr>
            <w:r>
              <w:t xml:space="preserve">18,1%</w:t>
            </w:r>
          </w:p>
        </w:tc>
      </w:tr>
      <w:tr>
        <w:tc>
          <w:tcPr/>
          <w:p>
            <w:pPr>
              <w:pStyle w:val="Compact"/>
              <w:jc w:val="left"/>
            </w:pPr>
            <w:r>
              <w:t xml:space="preserve">C2</w:t>
            </w:r>
          </w:p>
        </w:tc>
        <w:tc>
          <w:tcPr/>
          <w:p>
            <w:pPr>
              <w:pStyle w:val="Compact"/>
              <w:jc w:val="left"/>
            </w:pPr>
            <w:r>
              <w:t xml:space="preserve">35,6%</w:t>
            </w:r>
          </w:p>
        </w:tc>
        <w:tc>
          <w:tcPr/>
          <w:p>
            <w:pPr>
              <w:pStyle w:val="Compact"/>
              <w:jc w:val="left"/>
            </w:pPr>
            <w:r>
              <w:t xml:space="preserve">43,4%</w:t>
            </w:r>
          </w:p>
        </w:tc>
      </w:tr>
      <w:tr>
        <w:tc>
          <w:tcPr/>
          <w:p>
            <w:pPr>
              <w:pStyle w:val="Compact"/>
              <w:jc w:val="left"/>
            </w:pPr>
            <w:r>
              <w:t xml:space="preserve">C3</w:t>
            </w:r>
          </w:p>
        </w:tc>
        <w:tc>
          <w:tcPr/>
          <w:p>
            <w:pPr>
              <w:pStyle w:val="Compact"/>
              <w:jc w:val="left"/>
            </w:pPr>
            <w:r>
              <w:t xml:space="preserve">33,2%</w:t>
            </w:r>
          </w:p>
        </w:tc>
        <w:tc>
          <w:tcPr/>
          <w:p>
            <w:pPr>
              <w:pStyle w:val="Compact"/>
              <w:jc w:val="left"/>
            </w:pPr>
            <w:r>
              <w:t xml:space="preserve">28,7%</w:t>
            </w:r>
          </w:p>
        </w:tc>
      </w:tr>
      <w:tr>
        <w:tc>
          <w:tcPr/>
          <w:p>
            <w:pPr>
              <w:pStyle w:val="Compact"/>
              <w:jc w:val="left"/>
            </w:pPr>
            <w:r>
              <w:t xml:space="preserve">D+E</w:t>
            </w:r>
          </w:p>
        </w:tc>
        <w:tc>
          <w:tcPr/>
          <w:p>
            <w:pPr>
              <w:pStyle w:val="Compact"/>
              <w:jc w:val="left"/>
            </w:pPr>
            <w:r>
              <w:t xml:space="preserve">17,9%</w:t>
            </w:r>
          </w:p>
        </w:tc>
        <w:tc>
          <w:tcPr/>
          <w:p>
            <w:pPr>
              <w:pStyle w:val="Compact"/>
              <w:jc w:val="left"/>
            </w:pPr>
            <w:r>
              <w:t xml:space="preserve">9,8%</w:t>
            </w:r>
          </w:p>
        </w:tc>
      </w:tr>
      <w:tr>
        <w:tc>
          <w:tcPr/>
          <w:p>
            <w:pPr>
              <w:pStyle w:val="Compact"/>
              <w:jc w:val="left"/>
            </w:pPr>
            <w:r>
              <w:t xml:space="preserve">Datos faltantes</w:t>
            </w:r>
          </w:p>
        </w:tc>
        <w:tc>
          <w:tcPr/>
          <w:p>
            <w:pPr>
              <w:pStyle w:val="Compact"/>
              <w:jc w:val="left"/>
            </w:pPr>
            <w:r>
              <w:t xml:space="preserve">Ninguno</w:t>
            </w:r>
          </w:p>
        </w:tc>
        <w:tc>
          <w:tcPr/>
          <w:p>
            <w:pPr>
              <w:pStyle w:val="Compact"/>
              <w:jc w:val="left"/>
            </w:pPr>
            <w:r>
              <w:t xml:space="preserve">1 caso en nivel socioeconómico</w:t>
            </w:r>
          </w:p>
        </w:tc>
      </w:tr>
    </w:tbl>
    <w:p>
      <w:pPr>
        <w:pStyle w:val="BodyText"/>
      </w:pPr>
      <w:r>
        <w:t xml:space="preserve">Las dos submuestras están definidas por un criterio de selección sustantivo, la propiedad de un negocio en el primer caso y la búsqueda activa de mejora laboral en el segundo, condiciones que no se distribuyen de manera uniforme en la población. Su composición socioeconómica se ubica en consecuencia por sobre la de la muestra general del estudio, y el módulo de empleabilidad no registra personas de 61 años o más. Los porcentajes reportados en este anexo describen a quienes respondieron cada batería y no admiten lectura como estimaciones poblacionales. A diferencia del cuestionario principal, los módulos no incorporan factor de expansión, por lo que todas las cifras son simples.</w:t>
      </w:r>
    </w:p>
    <w:bookmarkEnd w:id="25"/>
    <w:bookmarkStart w:id="26" w:name="procedimiento-de-análisis"/>
    <w:p>
      <w:pPr>
        <w:pStyle w:val="Heading2"/>
      </w:pPr>
      <w:r>
        <w:t xml:space="preserve">Procedimiento de análisis</w:t>
      </w:r>
    </w:p>
    <w:p>
      <w:pPr>
        <w:pStyle w:val="FirstParagraph"/>
      </w:pPr>
      <w:r>
        <w:t xml:space="preserve">El análisis se realizó en lenguaje Python. Comprende la descripción univariada de cada variable, el cruce bivariado entre las variables sociodemográficas y las variables de respuesta de cada módulo, el cruce entre variables de respuesta, y un procedimiento de segmentación por conglomerados de k medias sobre el conjunto de variables de cada batería, fijando cuatro grupos. Todos los cruces se expresan en porcentajes calculados dentro de cada categoría de la variable de agrupación, de modo que las columnas de cada tabla suman cien por ciento por fila.</w:t>
      </w:r>
    </w:p>
    <w:p>
      <w:pPr>
        <w:pStyle w:val="BodyText"/>
      </w:pPr>
      <w:r>
        <w:t xml:space="preserve">En la lectura de los cruces se aplicó un criterio de reporte: no se describen diferencias apoyadas en categorías con menos de veinte casos, salvo cuando la categoría es sustantivamente relevante y su tamaño se declara junto al porcentaje. Las categorías de nivel educacional básico, que reúnen once casos en un módulo y tres en el otro, quedan por debajo de ese umbral en todos los cruces y no se describen en ninguna parte del documento.</w:t>
      </w:r>
    </w:p>
    <w:bookmarkEnd w:id="26"/>
    <w:bookmarkEnd w:id="27"/>
    <w:bookmarkStart w:id="70" w:name="Xa04222b76d0d2c22d29885174907ace1a9f259d"/>
    <w:p>
      <w:pPr>
        <w:pStyle w:val="Heading1"/>
      </w:pPr>
      <w:r>
        <w:t xml:space="preserve">Módulo I. La operación de la pequeña empresa</w:t>
      </w:r>
    </w:p>
    <w:bookmarkStart w:id="28" w:name="quiénes-respondieron"/>
    <w:p>
      <w:pPr>
        <w:pStyle w:val="Heading2"/>
      </w:pPr>
      <w:r>
        <w:t xml:space="preserve">Quiénes respondieron</w:t>
      </w:r>
    </w:p>
    <w:p>
      <w:pPr>
        <w:pStyle w:val="FirstParagraph"/>
      </w:pPr>
      <w:r>
        <w:t xml:space="preserve">La submuestra se compone de 368 personas propietarias de micro y pequeñas empresas, con distribución por sexo prácticamente equilibrada. La distribución etaria se concentra en tramos maduros: un 64,7% tiene 41 años o más y el tramo de 18 a 30 años es el menos numeroso, con un 14,9%. El emprendimiento que captura esta batería corresponde mayoritariamente a personas adultas con un negocio en operación.</w:t>
      </w:r>
    </w:p>
    <w:p>
      <w:pPr>
        <w:pStyle w:val="BodyText"/>
      </w:pPr>
      <w:r>
        <w:t xml:space="preserve">El perfil educacional contradice una presunción habitual sobre el sector. Un 70,7% declara formación post-secundaria, técnica o universitaria, completa o incompleta, mientras la educación de nivel básico es marginal, con once casos en total. Los programas de apoyo a la pequeña empresa que asumen baja escolaridad formal están diseñando para un perfil que en estos datos casi no aparece.</w:t>
      </w:r>
    </w:p>
    <w:p>
      <w:pPr>
        <w:pStyle w:val="BodyText"/>
      </w:pPr>
      <w:r>
        <w:t xml:space="preserve">Un tercer elemento condiciona la lectura del resto de la sección. La ocupación declarada, en su versión detallada de diez categorías, muestra que una proporción importante de las personas propietarias combina el negocio con otra actividad remunerada: la categoría más numerosa corresponde a empleados administrativos o técnicos (20,9%), seguida de trabajos menores e informales (16,0%) y de ejecutivos medios o profesionales independientes (14,7%). Para buena parte de la submuestra el negocio constituye una fuente de ingreso complementaria, lo que condiciona tanto el tiempo disponible como las expectativas de crecimiento.</w:t>
      </w:r>
    </w:p>
    <w:bookmarkEnd w:id="28"/>
    <w:bookmarkStart w:id="32" w:name="Xe4c0d37553768ac42e6e9e48f18c3b77dc0b5ae"/>
    <w:p>
      <w:pPr>
        <w:pStyle w:val="Heading2"/>
      </w:pPr>
      <w:r>
        <w:t xml:space="preserve">La carga operativa no tiene un foco único</w:t>
      </w:r>
    </w:p>
    <w:p>
      <w:pPr>
        <w:pStyle w:val="FirstParagraph"/>
      </w:pPr>
      <w:r>
        <w:t xml:space="preserve">Consultadas por la tarea del negocio que les consume más tiempo, las respuestas se distribuyen de manera relativamente pareja. Atender clientes (27,2%) y hacer publicidad (25,5%) encabezan la distribución, seguidas por controlar inventario (16,3%) y llevar contabilidad (16,0%). Un 14,9% declara que ninguna tarea le consume tiempo de manera relevante.</w:t>
      </w:r>
    </w:p>
    <w:p>
      <w:pPr>
        <w:pStyle w:val="BodyText"/>
      </w:pPr>
      <w:r>
        <w:t xml:space="preserve">Figura 1. Tarea del negocio que consume más tiempo</w:t>
      </w:r>
    </w:p>
    <w:p>
      <w:pPr>
        <w:pStyle w:val="BodyText"/>
      </w:pPr>
      <w:r>
        <w:drawing>
          <wp:inline>
            <wp:extent cx="5334000" cy="1375648"/>
            <wp:effectExtent b="0" l="0" r="0" t="0"/>
            <wp:docPr descr="" title="" id="30" name="Picture"/>
            <a:graphic>
              <a:graphicData uri="http://schemas.openxmlformats.org/drawingml/2006/picture">
                <pic:pic>
                  <pic:nvPicPr>
                    <pic:cNvPr descr="fig/pymes_p01_bar.png" id="31" name="Picture"/>
                    <pic:cNvPicPr>
                      <a:picLocks noChangeArrowheads="1" noChangeAspect="1"/>
                    </pic:cNvPicPr>
                  </pic:nvPicPr>
                  <pic:blipFill>
                    <a:blip r:embed="rId29"/>
                    <a:stretch>
                      <a:fillRect/>
                    </a:stretch>
                  </pic:blipFill>
                  <pic:spPr bwMode="auto">
                    <a:xfrm>
                      <a:off x="0" y="0"/>
                      <a:ext cx="5334000" cy="1375648"/>
                    </a:xfrm>
                    <a:prstGeom prst="rect">
                      <a:avLst/>
                    </a:prstGeom>
                    <a:noFill/>
                    <a:ln w="9525">
                      <a:noFill/>
                      <a:headEnd/>
                      <a:tailEnd/>
                    </a:ln>
                  </pic:spPr>
                </pic:pic>
              </a:graphicData>
            </a:graphic>
          </wp:inline>
        </w:drawing>
      </w:r>
    </w:p>
    <w:p>
      <w:pPr>
        <w:pStyle w:val="BodyText"/>
      </w:pPr>
      <w:r>
        <w:t xml:space="preserve">La consecuencia para el diseño de intervenciones es directa. Una herramienta orientada exclusivamente a una función, por ejemplo la contabilidad, deja fuera a más del ochenta por ciento de la demanda declarada, y no se observa una tarea dominante que permita concentrar el esfuerzo en una sola solución. Como criterio de priorización, cabe señalar que atender clientes y hacer publicidad, consideradas conjuntamente, concentran más de la mitad de las respuestas.</w:t>
      </w:r>
    </w:p>
    <w:bookmarkEnd w:id="32"/>
    <w:bookmarkStart w:id="36" w:name="la-ayuda-circula-por-canales-informales"/>
    <w:p>
      <w:pPr>
        <w:pStyle w:val="Heading2"/>
      </w:pPr>
      <w:r>
        <w:t xml:space="preserve">La ayuda circula por canales informales</w:t>
      </w:r>
    </w:p>
    <w:p>
      <w:pPr>
        <w:pStyle w:val="FirstParagraph"/>
      </w:pPr>
      <w:r>
        <w:t xml:space="preserve">Consultadas por a quién recurren primero cuando necesitan ayuda para el negocio, más de la mitad de las personas propietarias señala a la familia o los amigos (51,4%). Le siguen las redes sociales o internet (21,2%) y quienes declaran resolverlo por su cuenta (12,8%). Un curso o capacitación concentra un 10,3% de las menciones y SERCOTEC u otra institución pública un 4,3%, equivalente a dieciséis personas de 368.</w:t>
      </w:r>
    </w:p>
    <w:p>
      <w:pPr>
        <w:pStyle w:val="BodyText"/>
      </w:pPr>
      <w:r>
        <w:t xml:space="preserve">Figura 2. Principal fuente de ayuda para el negocio</w:t>
      </w:r>
    </w:p>
    <w:p>
      <w:pPr>
        <w:pStyle w:val="BodyText"/>
      </w:pPr>
      <w:r>
        <w:drawing>
          <wp:inline>
            <wp:extent cx="5334000" cy="1374723"/>
            <wp:effectExtent b="0" l="0" r="0" t="0"/>
            <wp:docPr descr="" title="" id="34" name="Picture"/>
            <a:graphic>
              <a:graphicData uri="http://schemas.openxmlformats.org/drawingml/2006/picture">
                <pic:pic>
                  <pic:nvPicPr>
                    <pic:cNvPr descr="fig/pymes_p02_bar.png" id="35" name="Picture"/>
                    <pic:cNvPicPr>
                      <a:picLocks noChangeArrowheads="1" noChangeAspect="1"/>
                    </pic:cNvPicPr>
                  </pic:nvPicPr>
                  <pic:blipFill>
                    <a:blip r:embed="rId33"/>
                    <a:stretch>
                      <a:fillRect/>
                    </a:stretch>
                  </pic:blipFill>
                  <pic:spPr bwMode="auto">
                    <a:xfrm>
                      <a:off x="0" y="0"/>
                      <a:ext cx="5334000" cy="1374723"/>
                    </a:xfrm>
                    <a:prstGeom prst="rect">
                      <a:avLst/>
                    </a:prstGeom>
                    <a:noFill/>
                    <a:ln w="9525">
                      <a:noFill/>
                      <a:headEnd/>
                      <a:tailEnd/>
                    </a:ln>
                  </pic:spPr>
                </pic:pic>
              </a:graphicData>
            </a:graphic>
          </wp:inline>
        </w:drawing>
      </w:r>
    </w:p>
    <w:p>
      <w:pPr>
        <w:pStyle w:val="BodyText"/>
      </w:pPr>
      <w:r>
        <w:t xml:space="preserve">El resultado no indica ausencia de ayuda sino un circuito de ayuda cerrado y de proximidad. La red informal absorbe la demanda de asistencia antes de que ésta alcance a la institucionalidad formal, y lo hace con la información disponible en el propio entorno del negocio. En términos prácticos, un programa público que dependa de convocatoria abierta y de búsqueda activa por parte del beneficiario compite con un canal más rápido, sin costo de transacción y con mayor confianza percibida.</w:t>
      </w:r>
    </w:p>
    <w:bookmarkEnd w:id="36"/>
    <w:bookmarkStart w:id="40" w:name="X8985abf0bf3156b5addc9a343473bfcce19419b"/>
    <w:p>
      <w:pPr>
        <w:pStyle w:val="Heading2"/>
      </w:pPr>
      <w:r>
        <w:t xml:space="preserve">La barrera principal excede el alcance de lo digital</w:t>
      </w:r>
    </w:p>
    <w:p>
      <w:pPr>
        <w:pStyle w:val="FirstParagraph"/>
      </w:pPr>
      <w:r>
        <w:t xml:space="preserve">A diferencia de la pregunta anterior, la distribución de barreras declaradas para el crecimiento del negocio está fuertemente concentrada. Un 60,3% señala la falta de capital, más del doble que la suma de las dos categorías siguientes, que son la falta de clientes (14,4%) y la falta de tiempo (11,7%). La falta de conocimiento, que es precisamente el obstáculo que una capacitación digital aborda de manera directa, es mencionada sólo por un 7,6%.</w:t>
      </w:r>
    </w:p>
    <w:p>
      <w:pPr>
        <w:pStyle w:val="BodyText"/>
      </w:pPr>
      <w:r>
        <w:t xml:space="preserve">Figura 3. Barreras declaradas para el crecimiento del negocio</w:t>
      </w:r>
    </w:p>
    <w:p>
      <w:pPr>
        <w:pStyle w:val="BodyText"/>
      </w:pPr>
      <w:r>
        <w:drawing>
          <wp:inline>
            <wp:extent cx="5334000" cy="2230740"/>
            <wp:effectExtent b="0" l="0" r="0" t="0"/>
            <wp:docPr descr="" title="" id="38" name="Picture"/>
            <a:graphic>
              <a:graphicData uri="http://schemas.openxmlformats.org/drawingml/2006/picture">
                <pic:pic>
                  <pic:nvPicPr>
                    <pic:cNvPr descr="fig/pymes_p03_bar.png" id="39" name="Picture"/>
                    <pic:cNvPicPr>
                      <a:picLocks noChangeArrowheads="1" noChangeAspect="1"/>
                    </pic:cNvPicPr>
                  </pic:nvPicPr>
                  <pic:blipFill>
                    <a:blip r:embed="rId37"/>
                    <a:stretch>
                      <a:fillRect/>
                    </a:stretch>
                  </pic:blipFill>
                  <pic:spPr bwMode="auto">
                    <a:xfrm>
                      <a:off x="0" y="0"/>
                      <a:ext cx="5334000" cy="2230740"/>
                    </a:xfrm>
                    <a:prstGeom prst="rect">
                      <a:avLst/>
                    </a:prstGeom>
                    <a:noFill/>
                    <a:ln w="9525">
                      <a:noFill/>
                      <a:headEnd/>
                      <a:tailEnd/>
                    </a:ln>
                  </pic:spPr>
                </pic:pic>
              </a:graphicData>
            </a:graphic>
          </wp:inline>
        </w:drawing>
      </w:r>
    </w:p>
    <w:p>
      <w:pPr>
        <w:pStyle w:val="BodyText"/>
      </w:pPr>
      <w:r>
        <w:t xml:space="preserve">Corresponde consignar este resultado con precisión. La barrera principal declarada por las personas propietarias de pequeñas empresas no se resuelve mediante una herramienta digital sino mediante acceso a financiamiento. Las herramientas digitales pueden incidir sobre barreras secundarias como la captación de clientes o la administración del tiempo, y allí sí disponen de espacio, pero una oferta de capacitación presentada como respuesta al problema de crecimiento se enfrenta a la percepción declarada por seis de cada diez encuestados.</w:t>
      </w:r>
    </w:p>
    <w:bookmarkEnd w:id="40"/>
    <w:bookmarkStart w:id="50" w:name="de-la-disposición-a-la-intensidad"/>
    <w:p>
      <w:pPr>
        <w:pStyle w:val="Heading2"/>
      </w:pPr>
      <w:r>
        <w:t xml:space="preserve">De la disposición a la intensidad</w:t>
      </w:r>
    </w:p>
    <w:p>
      <w:pPr>
        <w:pStyle w:val="FirstParagraph"/>
      </w:pPr>
      <w:r>
        <w:t xml:space="preserve">Un 94,3% de la submuestra declara estar dispuesta a dedicar al menos algo de tiempo semanal al aprendizaje de una herramienta digital, y sólo un 5,7% se declara no dispuesta. Una cifra de esa magnitud tiene escaso poder discriminante y debe interpretarse con cautela, dado que las preguntas de disposición declarada tienden a producir tasas de aprobación infladas. Su utilidad reside en descartar la existencia de una resistencia masiva.</w:t>
      </w:r>
    </w:p>
    <w:p>
      <w:pPr>
        <w:pStyle w:val="BodyText"/>
      </w:pPr>
      <w:r>
        <w:t xml:space="preserve">Figura 4. Tiempo semanal que estarían dispuestos a dedicar al aprendizaje</w:t>
      </w:r>
    </w:p>
    <w:p>
      <w:pPr>
        <w:pStyle w:val="BodyText"/>
      </w:pPr>
      <w:r>
        <w:drawing>
          <wp:inline>
            <wp:extent cx="5334000" cy="1302508"/>
            <wp:effectExtent b="0" l="0" r="0" t="0"/>
            <wp:docPr descr="" title="" id="42" name="Picture"/>
            <a:graphic>
              <a:graphicData uri="http://schemas.openxmlformats.org/drawingml/2006/picture">
                <pic:pic>
                  <pic:nvPicPr>
                    <pic:cNvPr descr="fig/pymes_p04_bar.png" id="43" name="Picture"/>
                    <pic:cNvPicPr>
                      <a:picLocks noChangeArrowheads="1" noChangeAspect="1"/>
                    </pic:cNvPicPr>
                  </pic:nvPicPr>
                  <pic:blipFill>
                    <a:blip r:embed="rId41"/>
                    <a:stretch>
                      <a:fillRect/>
                    </a:stretch>
                  </pic:blipFill>
                  <pic:spPr bwMode="auto">
                    <a:xfrm>
                      <a:off x="0" y="0"/>
                      <a:ext cx="5334000" cy="1302508"/>
                    </a:xfrm>
                    <a:prstGeom prst="rect">
                      <a:avLst/>
                    </a:prstGeom>
                    <a:noFill/>
                    <a:ln w="9525">
                      <a:noFill/>
                      <a:headEnd/>
                      <a:tailEnd/>
                    </a:ln>
                  </pic:spPr>
                </pic:pic>
              </a:graphicData>
            </a:graphic>
          </wp:inline>
        </w:drawing>
      </w:r>
    </w:p>
    <w:p>
      <w:pPr>
        <w:pStyle w:val="BodyText"/>
      </w:pPr>
      <w:r>
        <w:t xml:space="preserve">El análisis resulta considerablemente más informativo al desplazar el foco desde la disposición hacia su intensidad. Colapsando la escala en torno a un umbral de dos horas semanales, que divide a la submuestra en dos grupos de tamaño comparable, aparecen diferencias que la versión binaria de la variable no permite observar.</w:t>
      </w:r>
    </w:p>
    <w:p>
      <w:pPr>
        <w:pStyle w:val="BodyText"/>
      </w:pPr>
      <w:r>
        <w:t xml:space="preserve">La primera corresponde a la edad. La proporción dispuesta a dedicar dos horas semanales o más alcanza su máximo en el tramo de 41 a 50 años (62,8%) y su mínimo en el de 61 años o más (32,9%), una diferencia de casi treinta puntos porcentuales entre categorías que reúnen 86 y 73 casos respectivamente.</w:t>
      </w:r>
    </w:p>
    <w:p>
      <w:pPr>
        <w:pStyle w:val="BodyText"/>
      </w:pPr>
      <w:r>
        <w:t xml:space="preserve">Figura 5. Disposición a dedicar dos horas semanales o más, según tramo etario</w:t>
      </w:r>
    </w:p>
    <w:p>
      <w:pPr>
        <w:pStyle w:val="BodyText"/>
      </w:pPr>
      <w:r>
        <w:drawing>
          <wp:inline>
            <wp:extent cx="5334000" cy="3271009"/>
            <wp:effectExtent b="0" l="0" r="0" t="0"/>
            <wp:docPr descr="" title="" id="45" name="Picture"/>
            <a:graphic>
              <a:graphicData uri="http://schemas.openxmlformats.org/drawingml/2006/picture">
                <pic:pic>
                  <pic:nvPicPr>
                    <pic:cNvPr descr="fig/pymes_edad_x_p04alto.png" id="46" name="Picture"/>
                    <pic:cNvPicPr>
                      <a:picLocks noChangeArrowheads="1" noChangeAspect="1"/>
                    </pic:cNvPicPr>
                  </pic:nvPicPr>
                  <pic:blipFill>
                    <a:blip r:embed="rId44"/>
                    <a:stretch>
                      <a:fillRect/>
                    </a:stretch>
                  </pic:blipFill>
                  <pic:spPr bwMode="auto">
                    <a:xfrm>
                      <a:off x="0" y="0"/>
                      <a:ext cx="5334000" cy="3271009"/>
                    </a:xfrm>
                    <a:prstGeom prst="rect">
                      <a:avLst/>
                    </a:prstGeom>
                    <a:noFill/>
                    <a:ln w="9525">
                      <a:noFill/>
                      <a:headEnd/>
                      <a:tailEnd/>
                    </a:ln>
                  </pic:spPr>
                </pic:pic>
              </a:graphicData>
            </a:graphic>
          </wp:inline>
        </w:drawing>
      </w:r>
    </w:p>
    <w:p>
      <w:pPr>
        <w:pStyle w:val="BodyText"/>
      </w:pPr>
      <w:r>
        <w:t xml:space="preserve">La segunda corresponde al canal de ayuda que la persona ya utiliza. Entre quienes recurren a un canal formal, es decir a un curso, capacitación o institución pública, un 72,2% está dispuesto a dedicar dos horas semanales o más, frente a un 45,5% entre quienes recurren a la familia, a las redes sociales o a nadie. La diferencia alcanza casi veintisiete puntos porcentuales.</w:t>
      </w:r>
    </w:p>
    <w:p>
      <w:pPr>
        <w:pStyle w:val="BodyText"/>
      </w:pPr>
      <w:r>
        <w:t xml:space="preserve">Figura 6. Disposición a dedicar dos horas semanales o más, según canal de ayuda utilizado</w:t>
      </w:r>
    </w:p>
    <w:p>
      <w:pPr>
        <w:pStyle w:val="BodyText"/>
      </w:pPr>
      <w:r>
        <w:drawing>
          <wp:inline>
            <wp:extent cx="5334000" cy="1682453"/>
            <wp:effectExtent b="0" l="0" r="0" t="0"/>
            <wp:docPr descr="" title="" id="48" name="Picture"/>
            <a:graphic>
              <a:graphicData uri="http://schemas.openxmlformats.org/drawingml/2006/picture">
                <pic:pic>
                  <pic:nvPicPr>
                    <pic:cNvPr descr="fig/pymes_canal_x_p04alto.png" id="49" name="Picture"/>
                    <pic:cNvPicPr>
                      <a:picLocks noChangeArrowheads="1" noChangeAspect="1"/>
                    </pic:cNvPicPr>
                  </pic:nvPicPr>
                  <pic:blipFill>
                    <a:blip r:embed="rId47"/>
                    <a:stretch>
                      <a:fillRect/>
                    </a:stretch>
                  </pic:blipFill>
                  <pic:spPr bwMode="auto">
                    <a:xfrm>
                      <a:off x="0" y="0"/>
                      <a:ext cx="5334000" cy="1682453"/>
                    </a:xfrm>
                    <a:prstGeom prst="rect">
                      <a:avLst/>
                    </a:prstGeom>
                    <a:noFill/>
                    <a:ln w="9525">
                      <a:noFill/>
                      <a:headEnd/>
                      <a:tailEnd/>
                    </a:ln>
                  </pic:spPr>
                </pic:pic>
              </a:graphicData>
            </a:graphic>
          </wp:inline>
        </w:drawing>
      </w:r>
    </w:p>
    <w:p>
      <w:pPr>
        <w:pStyle w:val="BodyText"/>
      </w:pPr>
      <w:r>
        <w:t xml:space="preserve">Este segundo resultado admite dos lecturas que los datos disponibles no permiten separar. Puede indicar que el contacto previo con la oferta formal predispone a invertir tiempo en aprendizaje, o bien que las personas con mayor disposición a invertir tiempo son también las que buscan canales formales. En cualquiera de los dos casos, la implicancia operativa es la misma: el segmento que ya tiene contacto institucional, que representa un 14,7% de la submuestra, concentra una disposición sustancialmente mayor, mientras el 85,3% restante combina ausencia de contacto institucional con menor disposición a comprometer tiempo.</w:t>
      </w:r>
    </w:p>
    <w:bookmarkEnd w:id="50"/>
    <w:bookmarkStart w:id="51" w:name="Xd193fcf719f266da4fd2c1c80abf3d95c74d179"/>
    <w:p>
      <w:pPr>
        <w:pStyle w:val="Heading2"/>
      </w:pPr>
      <w:r>
        <w:t xml:space="preserve">Un segmento sin carga operativa declarada</w:t>
      </w:r>
    </w:p>
    <w:p>
      <w:pPr>
        <w:pStyle w:val="FirstParagraph"/>
      </w:pPr>
      <w:r>
        <w:t xml:space="preserve">El 14,9% que declara que ninguna tarea del negocio le consume tiempo de manera relevante no constituye una categoría residual sino un perfil coherente, que se sostiene al examinarlo a través de las cuatro preguntas del módulo.</w:t>
      </w:r>
    </w:p>
    <w:p>
      <w:pPr>
        <w:pStyle w:val="BodyText"/>
      </w:pPr>
      <w:r>
        <w:t xml:space="preserve">Dentro de ese grupo de 55 casos, un 32,7% declara resolver los problemas del negocio por su cuenta, frente a un 12,8% en el conjunto de la submuestra. Un 20,0% declara que nada frena el crecimiento de su negocio, frente a un 6,0% en el conjunto. Un 20,0% no está dispuesto a dedicar tiempo alguno al aprendizaje de herramientas digitales, frente a un 5,7% en el conjunto. Y un 61,8% tiene 51 años o más, frente a un 41,3% en el conjunto.</w:t>
      </w:r>
    </w:p>
    <w:p>
      <w:pPr>
        <w:pStyle w:val="BodyText"/>
      </w:pPr>
      <w:r>
        <w:t xml:space="preserve">Se trata, por lo tanto, de negocios de baja intensidad operativa, gestionados de manera autónoma, sin expectativa declarada de crecimiento y con escasa disposición a invertir tiempo en aprendizaje. La convergencia de cuatro indicadores independientes sobre el mismo grupo refuerza la lectura, aunque el tamaño de la submuestra aconseja tratarla como caracterización descriptiva antes que como segmento consolidado.</w:t>
      </w:r>
    </w:p>
    <w:p>
      <w:pPr>
        <w:pStyle w:val="BodyText"/>
      </w:pPr>
      <w:r>
        <w:t xml:space="preserve">El punto de mayor relevancia para el diseño de política pública es la relación entre ausencia de problema declarado y rechazo. Entre las veintidós personas que declaran que nada frena su negocio, un 40,9% no está dispuesto a dedicar tiempo al aprendizaje digital, frente a un 3,5% entre quienes declaran alguna barrera. Aunque el grupo es pequeño y el porcentaje se mueve con cada caso individual, el contraste es de una magnitud que ninguna variable sociodemográfica del módulo alcanza. Quien no percibe un problema no busca una solución, y ese es el obstáculo más difícil de remover mediante oferta.</w:t>
      </w:r>
    </w:p>
    <w:bookmarkEnd w:id="51"/>
    <w:bookmarkStart w:id="58" w:name="Xa93ec5b5363b97926104b50d8d103261ab0aa6f"/>
    <w:p>
      <w:pPr>
        <w:pStyle w:val="Heading2"/>
      </w:pPr>
      <w:r>
        <w:t xml:space="preserve">Diferencias por tramo etario en el diagnóstico del negocio</w:t>
      </w:r>
    </w:p>
    <w:p>
      <w:pPr>
        <w:pStyle w:val="FirstParagraph"/>
      </w:pPr>
      <w:r>
        <w:t xml:space="preserve">De los cruces entre variables sociodemográficas y variables de respuesta examinados, el más nítido corresponde al de tramo etario con la tarea que consume más tiempo. Es además el único cruce del módulo en que todas las combinaciones reúnen un número suficiente de casos.</w:t>
      </w:r>
    </w:p>
    <w:p>
      <w:pPr>
        <w:pStyle w:val="BodyText"/>
      </w:pPr>
      <w:r>
        <w:t xml:space="preserve">Figura 7. Tarea que consume más tiempo, según tramo etario</w:t>
      </w:r>
    </w:p>
    <w:p>
      <w:pPr>
        <w:pStyle w:val="BodyText"/>
      </w:pPr>
      <w:r>
        <w:drawing>
          <wp:inline>
            <wp:extent cx="5334000" cy="1802714"/>
            <wp:effectExtent b="0" l="0" r="0" t="0"/>
            <wp:docPr descr="" title="" id="53" name="Picture"/>
            <a:graphic>
              <a:graphicData uri="http://schemas.openxmlformats.org/drawingml/2006/picture">
                <pic:pic>
                  <pic:nvPicPr>
                    <pic:cNvPr descr="fig/pymes_edad_x_p01.png" id="54" name="Picture"/>
                    <pic:cNvPicPr>
                      <a:picLocks noChangeArrowheads="1" noChangeAspect="1"/>
                    </pic:cNvPicPr>
                  </pic:nvPicPr>
                  <pic:blipFill>
                    <a:blip r:embed="rId52"/>
                    <a:stretch>
                      <a:fillRect/>
                    </a:stretch>
                  </pic:blipFill>
                  <pic:spPr bwMode="auto">
                    <a:xfrm>
                      <a:off x="0" y="0"/>
                      <a:ext cx="5334000" cy="1802714"/>
                    </a:xfrm>
                    <a:prstGeom prst="rect">
                      <a:avLst/>
                    </a:prstGeom>
                    <a:noFill/>
                    <a:ln w="9525">
                      <a:noFill/>
                      <a:headEnd/>
                      <a:tailEnd/>
                    </a:ln>
                  </pic:spPr>
                </pic:pic>
              </a:graphicData>
            </a:graphic>
          </wp:inline>
        </w:drawing>
      </w:r>
    </w:p>
    <w:p>
      <w:pPr>
        <w:pStyle w:val="BodyText"/>
      </w:pPr>
      <w:r>
        <w:t xml:space="preserve">El patrón se concentra en los extremos. En el tramo de 61 años o más, atender clientes alcanza un 38,4%, el valor más alto de la tabla, mientras hacer publicidad cae a un 9,6%, el más bajo. En el tramo de 31 a 40 años ocurre lo inverso, con la publicidad como tarea principal para un 37,3%. La respuesta que indica que ninguna tarea consume tiempo relevante crece de forma sostenida con la edad, desde un 10,9% en el tramo más joven hasta un 21,9% en el de mayor edad.</w:t>
      </w:r>
    </w:p>
    <w:p>
      <w:pPr>
        <w:pStyle w:val="BodyText"/>
      </w:pPr>
      <w:r>
        <w:t xml:space="preserve">La interpretación sustantiva es que no se trata del mismo tipo de negocio. Las personas propietarias de mayor edad operan negocios de menor intensidad, centrados en la relación directa con la clientela, mientras las de edad intermedia se encuentran en una fase de crecimiento cuyo problema declarado es la captación. Ofrecer un programa de marketing digital a una persona propietaria de 65 años equivale a ofrecerle la solución de un problema que no declara tener.</w:t>
      </w:r>
    </w:p>
    <w:p>
      <w:pPr>
        <w:pStyle w:val="BodyText"/>
      </w:pPr>
      <w:r>
        <w:t xml:space="preserve">El segundo cruce de interés corresponde al de tramo etario con barreras para el crecimiento.</w:t>
      </w:r>
    </w:p>
    <w:p>
      <w:pPr>
        <w:pStyle w:val="BodyText"/>
      </w:pPr>
      <w:r>
        <w:t xml:space="preserve">Figura 8. Barreras para el crecimiento, según tramo etario</w:t>
      </w:r>
    </w:p>
    <w:p>
      <w:pPr>
        <w:pStyle w:val="BodyText"/>
      </w:pPr>
      <w:r>
        <w:drawing>
          <wp:inline>
            <wp:extent cx="5334000" cy="2345857"/>
            <wp:effectExtent b="0" l="0" r="0" t="0"/>
            <wp:docPr descr="" title="" id="56" name="Picture"/>
            <a:graphic>
              <a:graphicData uri="http://schemas.openxmlformats.org/drawingml/2006/picture">
                <pic:pic>
                  <pic:nvPicPr>
                    <pic:cNvPr descr="fig/pymes_edad_x_p03.png" id="57" name="Picture"/>
                    <pic:cNvPicPr>
                      <a:picLocks noChangeArrowheads="1" noChangeAspect="1"/>
                    </pic:cNvPicPr>
                  </pic:nvPicPr>
                  <pic:blipFill>
                    <a:blip r:embed="rId55"/>
                    <a:stretch>
                      <a:fillRect/>
                    </a:stretch>
                  </pic:blipFill>
                  <pic:spPr bwMode="auto">
                    <a:xfrm>
                      <a:off x="0" y="0"/>
                      <a:ext cx="5334000" cy="2345857"/>
                    </a:xfrm>
                    <a:prstGeom prst="rect">
                      <a:avLst/>
                    </a:prstGeom>
                    <a:noFill/>
                    <a:ln w="9525">
                      <a:noFill/>
                      <a:headEnd/>
                      <a:tailEnd/>
                    </a:ln>
                  </pic:spPr>
                </pic:pic>
              </a:graphicData>
            </a:graphic>
          </wp:inline>
        </w:drawing>
      </w:r>
    </w:p>
    <w:p>
      <w:pPr>
        <w:pStyle w:val="BodyText"/>
      </w:pPr>
      <w:r>
        <w:t xml:space="preserve">La falta de capital describe una curva de campana: parte en un 40,0% en el tramo de 18 a 30 años, alcanza su máximo cerca del 68% entre los 41 y los 60 años, y desciende a un 52,1% en el tramo de 61 años o más. La falta de clientes describe el recorrido inverso, con valores altos en los extremos (25,5% y 19,2%) y bajos en los tramos intermedios (entre 7,6% y 12,0%). La respuesta que indica que nada frena el negocio alcanza un 12,3% entre las personas de 61 años o más, más del doble que en cualquier otro tramo.</w:t>
      </w:r>
    </w:p>
    <w:p>
      <w:pPr>
        <w:pStyle w:val="BodyText"/>
      </w:pPr>
      <w:r>
        <w:t xml:space="preserve">Los tres resultados admiten una lectura conjunta en clave de ciclo de vida del negocio. Los emprendimientos más recientes aún no consolidan una cartera de clientes; los de edad intermedia ya la tienen y encuentran su límite en el financiamiento; los de personas propietarias de mayor edad han reducido su ambición de crecimiento. Se trata de tres momentos de una trayectoria y no de tres tipos de persona. Esta lectura resulta además consistente con el resultado de la Figura 5, donde el tramo de 41 a 50 años concentra la mayor disposición a invertir tiempo y el de 61 años o más la menor.</w:t>
      </w:r>
    </w:p>
    <w:bookmarkEnd w:id="58"/>
    <w:bookmarkStart w:id="62" w:name="Xf550757a17b34c127ca6252ea447ad8901cbecd"/>
    <w:p>
      <w:pPr>
        <w:pStyle w:val="Heading2"/>
      </w:pPr>
      <w:r>
        <w:t xml:space="preserve">El canal de ayuda según grupo socioeconómico</w:t>
      </w:r>
    </w:p>
    <w:p>
      <w:pPr>
        <w:pStyle w:val="FirstParagraph"/>
      </w:pPr>
      <w:r>
        <w:t xml:space="preserve">Figura 9. Principal fuente de ayuda, según grupo socioeconómico</w:t>
      </w:r>
    </w:p>
    <w:p>
      <w:pPr>
        <w:pStyle w:val="BodyText"/>
      </w:pPr>
      <w:r>
        <w:drawing>
          <wp:inline>
            <wp:extent cx="5334000" cy="1637650"/>
            <wp:effectExtent b="0" l="0" r="0" t="0"/>
            <wp:docPr descr="" title="" id="60" name="Picture"/>
            <a:graphic>
              <a:graphicData uri="http://schemas.openxmlformats.org/drawingml/2006/picture">
                <pic:pic>
                  <pic:nvPicPr>
                    <pic:cNvPr descr="fig/pymes_nse_x_p02.png" id="61" name="Picture"/>
                    <pic:cNvPicPr>
                      <a:picLocks noChangeArrowheads="1" noChangeAspect="1"/>
                    </pic:cNvPicPr>
                  </pic:nvPicPr>
                  <pic:blipFill>
                    <a:blip r:embed="rId59"/>
                    <a:stretch>
                      <a:fillRect/>
                    </a:stretch>
                  </pic:blipFill>
                  <pic:spPr bwMode="auto">
                    <a:xfrm>
                      <a:off x="0" y="0"/>
                      <a:ext cx="5334000" cy="1637650"/>
                    </a:xfrm>
                    <a:prstGeom prst="rect">
                      <a:avLst/>
                    </a:prstGeom>
                    <a:noFill/>
                    <a:ln w="9525">
                      <a:noFill/>
                      <a:headEnd/>
                      <a:tailEnd/>
                    </a:ln>
                  </pic:spPr>
                </pic:pic>
              </a:graphicData>
            </a:graphic>
          </wp:inline>
        </w:drawing>
      </w:r>
    </w:p>
    <w:p>
      <w:pPr>
        <w:pStyle w:val="BodyText"/>
      </w:pPr>
      <w:r>
        <w:t xml:space="preserve">La dependencia de la familia y los amigos desciende desde un 68,2% en el grupo D+E hasta un 42,9% en el grupo ABC1, mientras el uso de redes sociales e internet casi se duplica en sentido contrario, desde un 15,2% hasta un 28,6%. El dato de mayor relevancia sustantiva es que ninguna persona del grupo D+E, que reúne 66 casos, declaró recurrir a SERCOTEC u otra institución pública, frente a valores de entre 4% y 6% en los demás grupos.</w:t>
      </w:r>
    </w:p>
    <w:p>
      <w:pPr>
        <w:pStyle w:val="BodyText"/>
      </w:pPr>
      <w:r>
        <w:t xml:space="preserve">El patrón describe una brecha de alcance institucional que afecta precisamente al segmento que más necesitaría ese apoyo, y adquiere relevancia adicional al leerlo junto a la Figura 6: si el contacto con el canal formal se asocia a mayor disposición a invertir tiempo, y ese contacto es inexistente en el segmento socioeconómico más bajo, la ausencia de canal y la menor disposición podrían estar reforzándose mutuamente. Conviene señalar que el número de casos que sostiene el conjunto de la tabla es reducido, en particular en las categorías de menor frecuencia de la variable de ayuda, de modo que el patrón se reporta como orientación de diseño y como hipótesis para futuras mediciones.</w:t>
      </w:r>
    </w:p>
    <w:bookmarkEnd w:id="62"/>
    <w:bookmarkStart w:id="69" w:name="X871b586897550b8f5bb0ee47d8fd14f9e61b2a3"/>
    <w:p>
      <w:pPr>
        <w:pStyle w:val="Heading2"/>
      </w:pPr>
      <w:r>
        <w:t xml:space="preserve">Los cuatro conglomerados de pequeña empresa</w:t>
      </w:r>
    </w:p>
    <w:p>
      <w:pPr>
        <w:pStyle w:val="FirstParagraph"/>
      </w:pPr>
      <w:r>
        <w:t xml:space="preserve">Se aplicó un procedimiento de segmentación por conglomerados de k medias sobre las nueve variables del módulo, es decir las cinco sociodemográficas y las cuatro de respuesta, fijando cuatro grupos. El resultado produce cuatro conglomerados de tamaño comparable. Las etiquetas de letra utilizadas a continuación son arbitrarias y sirven únicamente para identificarlos dentro de este documento.</w:t>
      </w:r>
    </w:p>
    <w:p>
      <w:pPr>
        <w:pStyle w:val="BodyText"/>
      </w:pPr>
      <w:r>
        <w:t xml:space="preserve">Figura 10. Distribución de los conglomerados en el plano de las dos primeras componentes principales</w:t>
      </w:r>
    </w:p>
    <w:p>
      <w:pPr>
        <w:pStyle w:val="BodyText"/>
      </w:pPr>
      <w:r>
        <w:drawing>
          <wp:inline>
            <wp:extent cx="5334000" cy="4255304"/>
            <wp:effectExtent b="0" l="0" r="0" t="0"/>
            <wp:docPr descr="" title="" id="64" name="Picture"/>
            <a:graphic>
              <a:graphicData uri="http://schemas.openxmlformats.org/drawingml/2006/picture">
                <pic:pic>
                  <pic:nvPicPr>
                    <pic:cNvPr descr="fig/pymes_clustering_pca.png" id="65" name="Picture"/>
                    <pic:cNvPicPr>
                      <a:picLocks noChangeArrowheads="1" noChangeAspect="1"/>
                    </pic:cNvPicPr>
                  </pic:nvPicPr>
                  <pic:blipFill>
                    <a:blip r:embed="rId63"/>
                    <a:stretch>
                      <a:fillRect/>
                    </a:stretch>
                  </pic:blipFill>
                  <pic:spPr bwMode="auto">
                    <a:xfrm>
                      <a:off x="0" y="0"/>
                      <a:ext cx="5334000" cy="4255304"/>
                    </a:xfrm>
                    <a:prstGeom prst="rect">
                      <a:avLst/>
                    </a:prstGeom>
                    <a:noFill/>
                    <a:ln w="9525">
                      <a:noFill/>
                      <a:headEnd/>
                      <a:tailEnd/>
                    </a:ln>
                  </pic:spPr>
                </pic:pic>
              </a:graphicData>
            </a:graphic>
          </wp:inline>
        </w:drawing>
      </w:r>
    </w:p>
    <w:p>
      <w:pPr>
        <w:pStyle w:val="BodyText"/>
      </w:pPr>
      <w:r>
        <w:t xml:space="preserve">Antes de describirlos corresponde señalar dos condiciones que acotan su lectura. La primera es que los grupos se superponen ampliamente en el plano de representación, de modo que no describen tipos separados por fronteras nítidas sino zonas de mayor densidad dentro de un continuo. La segunda es que el sexo fue incluido entre las variables suministradas al procedimiento, razón por la cual dos de los cuatro conglomerados quedan compuestos íntegramente por hombres y por mujeres respectivamente. Esa separación reproduce una variable de entrada y no constituye un hallazgo del procedimiento.</w:t>
      </w:r>
    </w:p>
    <w:p>
      <w:pPr>
        <w:pStyle w:val="BodyText"/>
      </w:pPr>
      <w:r>
        <w:t xml:space="preserve">Tabla 2. Perfil de los cuatro conglomerados del módulo de pequeña empresa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Rasgo</w:t>
            </w:r>
          </w:p>
        </w:tc>
        <w:tc>
          <w:tcPr/>
          <w:p>
            <w:pPr>
              <w:pStyle w:val="Compact"/>
              <w:jc w:val="left"/>
            </w:pPr>
            <w:r>
              <w:t xml:space="preserve">A (n=98)</w:t>
            </w:r>
          </w:p>
        </w:tc>
        <w:tc>
          <w:tcPr/>
          <w:p>
            <w:pPr>
              <w:pStyle w:val="Compact"/>
              <w:jc w:val="left"/>
            </w:pPr>
            <w:r>
              <w:t xml:space="preserve">B (n=97)</w:t>
            </w:r>
          </w:p>
        </w:tc>
        <w:tc>
          <w:tcPr/>
          <w:p>
            <w:pPr>
              <w:pStyle w:val="Compact"/>
              <w:jc w:val="left"/>
            </w:pPr>
            <w:r>
              <w:t xml:space="preserve">C (n=104)</w:t>
            </w:r>
          </w:p>
        </w:tc>
        <w:tc>
          <w:tcPr/>
          <w:p>
            <w:pPr>
              <w:pStyle w:val="Compact"/>
              <w:jc w:val="left"/>
            </w:pPr>
            <w:r>
              <w:t xml:space="preserve">D (n=69)</w:t>
            </w:r>
          </w:p>
        </w:tc>
      </w:tr>
      <w:tr>
        <w:tc>
          <w:tcPr/>
          <w:p>
            <w:pPr>
              <w:pStyle w:val="Compact"/>
              <w:jc w:val="left"/>
            </w:pPr>
            <w:r>
              <w:t xml:space="preserve">Sexo</w:t>
            </w:r>
          </w:p>
        </w:tc>
        <w:tc>
          <w:tcPr/>
          <w:p>
            <w:pPr>
              <w:pStyle w:val="Compact"/>
              <w:jc w:val="left"/>
            </w:pPr>
            <w:r>
              <w:t xml:space="preserve">100% hombres</w:t>
            </w:r>
          </w:p>
        </w:tc>
        <w:tc>
          <w:tcPr/>
          <w:p>
            <w:pPr>
              <w:pStyle w:val="Compact"/>
              <w:jc w:val="left"/>
            </w:pPr>
            <w:r>
              <w:t xml:space="preserve">61% mujeres</w:t>
            </w:r>
          </w:p>
        </w:tc>
        <w:tc>
          <w:tcPr/>
          <w:p>
            <w:pPr>
              <w:pStyle w:val="Compact"/>
              <w:jc w:val="left"/>
            </w:pPr>
            <w:r>
              <w:t xml:space="preserve">100% mujeres</w:t>
            </w:r>
          </w:p>
        </w:tc>
        <w:tc>
          <w:tcPr/>
          <w:p>
            <w:pPr>
              <w:pStyle w:val="Compact"/>
              <w:jc w:val="left"/>
            </w:pPr>
            <w:r>
              <w:t xml:space="preserve">58% hombres</w:t>
            </w:r>
          </w:p>
        </w:tc>
      </w:tr>
      <w:tr>
        <w:tc>
          <w:tcPr/>
          <w:p>
            <w:pPr>
              <w:pStyle w:val="Compact"/>
              <w:jc w:val="left"/>
            </w:pPr>
            <w:r>
              <w:t xml:space="preserve">Edad modal</w:t>
            </w:r>
          </w:p>
        </w:tc>
        <w:tc>
          <w:tcPr/>
          <w:p>
            <w:pPr>
              <w:pStyle w:val="Compact"/>
              <w:jc w:val="left"/>
            </w:pPr>
            <w:r>
              <w:t xml:space="preserve">41 a 50 (28,6%)</w:t>
            </w:r>
          </w:p>
        </w:tc>
        <w:tc>
          <w:tcPr/>
          <w:p>
            <w:pPr>
              <w:pStyle w:val="Compact"/>
              <w:jc w:val="left"/>
            </w:pPr>
            <w:r>
              <w:t xml:space="preserve">51 a 60 (24,7%)</w:t>
            </w:r>
          </w:p>
        </w:tc>
        <w:tc>
          <w:tcPr/>
          <w:p>
            <w:pPr>
              <w:pStyle w:val="Compact"/>
              <w:jc w:val="left"/>
            </w:pPr>
            <w:r>
              <w:t xml:space="preserve">41 a 50 (26,9%)</w:t>
            </w:r>
          </w:p>
        </w:tc>
        <w:tc>
          <w:tcPr/>
          <w:p>
            <w:pPr>
              <w:pStyle w:val="Compact"/>
              <w:jc w:val="left"/>
            </w:pPr>
            <w:r>
              <w:t xml:space="preserve">61 o más (24,6%)</w:t>
            </w:r>
          </w:p>
        </w:tc>
      </w:tr>
      <w:tr>
        <w:tc>
          <w:tcPr/>
          <w:p>
            <w:pPr>
              <w:pStyle w:val="Compact"/>
              <w:jc w:val="left"/>
            </w:pPr>
            <w:r>
              <w:t xml:space="preserve">Educación modal</w:t>
            </w:r>
          </w:p>
        </w:tc>
        <w:tc>
          <w:tcPr/>
          <w:p>
            <w:pPr>
              <w:pStyle w:val="Compact"/>
              <w:jc w:val="left"/>
            </w:pPr>
            <w:r>
              <w:t xml:space="preserve">Universitaria completa (38,8%)</w:t>
            </w:r>
          </w:p>
        </w:tc>
        <w:tc>
          <w:tcPr/>
          <w:p>
            <w:pPr>
              <w:pStyle w:val="Compact"/>
              <w:jc w:val="left"/>
            </w:pPr>
            <w:r>
              <w:t xml:space="preserve">Media completa (70,1%)</w:t>
            </w:r>
          </w:p>
        </w:tc>
        <w:tc>
          <w:tcPr/>
          <w:p>
            <w:pPr>
              <w:pStyle w:val="Compact"/>
              <w:jc w:val="left"/>
            </w:pPr>
            <w:r>
              <w:t xml:space="preserve">Técnica superior completa (29,8%)</w:t>
            </w:r>
          </w:p>
        </w:tc>
        <w:tc>
          <w:tcPr/>
          <w:p>
            <w:pPr>
              <w:pStyle w:val="Compact"/>
              <w:jc w:val="left"/>
            </w:pPr>
            <w:r>
              <w:t xml:space="preserve">Universitaria completa (23,2%)</w:t>
            </w:r>
          </w:p>
        </w:tc>
      </w:tr>
      <w:tr>
        <w:tc>
          <w:tcPr/>
          <w:p>
            <w:pPr>
              <w:pStyle w:val="Compact"/>
              <w:jc w:val="left"/>
            </w:pPr>
            <w:r>
              <w:t xml:space="preserve">Ocupación modal</w:t>
            </w:r>
          </w:p>
        </w:tc>
        <w:tc>
          <w:tcPr/>
          <w:p>
            <w:pPr>
              <w:pStyle w:val="Compact"/>
              <w:jc w:val="left"/>
            </w:pPr>
            <w:r>
              <w:t xml:space="preserve">Empleado administrativo (31,6%)</w:t>
            </w:r>
          </w:p>
        </w:tc>
        <w:tc>
          <w:tcPr/>
          <w:p>
            <w:pPr>
              <w:pStyle w:val="Compact"/>
              <w:jc w:val="left"/>
            </w:pPr>
            <w:r>
              <w:t xml:space="preserve">Trabajos menores e informales (42,3%)</w:t>
            </w:r>
          </w:p>
        </w:tc>
        <w:tc>
          <w:tcPr/>
          <w:p>
            <w:pPr>
              <w:pStyle w:val="Compact"/>
              <w:jc w:val="left"/>
            </w:pPr>
            <w:r>
              <w:t xml:space="preserve">Empleado administrativo (27,9%)</w:t>
            </w:r>
          </w:p>
        </w:tc>
        <w:tc>
          <w:tcPr/>
          <w:p>
            <w:pPr>
              <w:pStyle w:val="Compact"/>
              <w:jc w:val="left"/>
            </w:pPr>
            <w:r>
              <w:t xml:space="preserve">Empleado administrativo (24,6%)</w:t>
            </w:r>
          </w:p>
        </w:tc>
      </w:tr>
      <w:tr>
        <w:tc>
          <w:tcPr/>
          <w:p>
            <w:pPr>
              <w:pStyle w:val="Compact"/>
              <w:jc w:val="left"/>
            </w:pPr>
            <w:r>
              <w:t xml:space="preserve">Nivel socioeconómico</w:t>
            </w:r>
          </w:p>
        </w:tc>
        <w:tc>
          <w:tcPr/>
          <w:p>
            <w:pPr>
              <w:pStyle w:val="Compact"/>
              <w:jc w:val="left"/>
            </w:pPr>
            <w:r>
              <w:t xml:space="preserve">C2 52,0% y ABC1 26,5%</w:t>
            </w:r>
          </w:p>
        </w:tc>
        <w:tc>
          <w:tcPr/>
          <w:p>
            <w:pPr>
              <w:pStyle w:val="Compact"/>
              <w:jc w:val="left"/>
            </w:pPr>
            <w:r>
              <w:t xml:space="preserve">D+E 54,6% y C3 44,3%</w:t>
            </w:r>
          </w:p>
        </w:tc>
        <w:tc>
          <w:tcPr/>
          <w:p>
            <w:pPr>
              <w:pStyle w:val="Compact"/>
              <w:jc w:val="left"/>
            </w:pPr>
            <w:r>
              <w:t xml:space="preserve">C2 53,8% y C3 29,8%</w:t>
            </w:r>
          </w:p>
        </w:tc>
        <w:tc>
          <w:tcPr/>
          <w:p>
            <w:pPr>
              <w:pStyle w:val="Compact"/>
              <w:jc w:val="left"/>
            </w:pPr>
            <w:r>
              <w:t xml:space="preserve">C3 44,9% y C2 33,3%</w:t>
            </w:r>
          </w:p>
        </w:tc>
      </w:tr>
      <w:tr>
        <w:tc>
          <w:tcPr/>
          <w:p>
            <w:pPr>
              <w:pStyle w:val="Compact"/>
              <w:jc w:val="left"/>
            </w:pPr>
            <w:r>
              <w:t xml:space="preserve">Tarea que más consume</w:t>
            </w:r>
          </w:p>
        </w:tc>
        <w:tc>
          <w:tcPr/>
          <w:p>
            <w:pPr>
              <w:pStyle w:val="Compact"/>
              <w:jc w:val="left"/>
            </w:pPr>
            <w:r>
              <w:t xml:space="preserve">Atender clientes (32,7%)</w:t>
            </w:r>
          </w:p>
        </w:tc>
        <w:tc>
          <w:tcPr/>
          <w:p>
            <w:pPr>
              <w:pStyle w:val="Compact"/>
              <w:jc w:val="left"/>
            </w:pPr>
            <w:r>
              <w:t xml:space="preserve">Atender clientes (27,8%)</w:t>
            </w:r>
          </w:p>
        </w:tc>
        <w:tc>
          <w:tcPr/>
          <w:p>
            <w:pPr>
              <w:pStyle w:val="Compact"/>
              <w:jc w:val="left"/>
            </w:pPr>
            <w:r>
              <w:t xml:space="preserve">Hacer publicidad (37,5%)</w:t>
            </w:r>
          </w:p>
        </w:tc>
        <w:tc>
          <w:tcPr/>
          <w:p>
            <w:pPr>
              <w:pStyle w:val="Compact"/>
              <w:jc w:val="left"/>
            </w:pPr>
            <w:r>
              <w:t xml:space="preserve">Atender clientes (24,6%)</w:t>
            </w:r>
          </w:p>
        </w:tc>
      </w:tr>
      <w:tr>
        <w:tc>
          <w:tcPr/>
          <w:p>
            <w:pPr>
              <w:pStyle w:val="Compact"/>
              <w:jc w:val="left"/>
            </w:pPr>
            <w:r>
              <w:t xml:space="preserve">Barrera principal</w:t>
            </w:r>
          </w:p>
        </w:tc>
        <w:tc>
          <w:tcPr/>
          <w:p>
            <w:pPr>
              <w:pStyle w:val="Compact"/>
              <w:jc w:val="left"/>
            </w:pPr>
            <w:r>
              <w:t xml:space="preserve">Falta de capital (74,5%)</w:t>
            </w:r>
          </w:p>
        </w:tc>
        <w:tc>
          <w:tcPr/>
          <w:p>
            <w:pPr>
              <w:pStyle w:val="Compact"/>
              <w:jc w:val="left"/>
            </w:pPr>
            <w:r>
              <w:t xml:space="preserve">Falta de capital (76,3%)</w:t>
            </w:r>
          </w:p>
        </w:tc>
        <w:tc>
          <w:tcPr/>
          <w:p>
            <w:pPr>
              <w:pStyle w:val="Compact"/>
              <w:jc w:val="left"/>
            </w:pPr>
            <w:r>
              <w:t xml:space="preserve">Falta de capital (72,1%)</w:t>
            </w:r>
          </w:p>
        </w:tc>
        <w:tc>
          <w:tcPr/>
          <w:p>
            <w:pPr>
              <w:pStyle w:val="Compact"/>
              <w:jc w:val="left"/>
            </w:pPr>
            <w:r>
              <w:t xml:space="preserve">Falta de tiempo (53,6%)</w:t>
            </w:r>
          </w:p>
        </w:tc>
      </w:tr>
      <w:tr>
        <w:tc>
          <w:tcPr/>
          <w:p>
            <w:pPr>
              <w:pStyle w:val="Compact"/>
              <w:jc w:val="left"/>
            </w:pPr>
            <w:r>
              <w:t xml:space="preserve">Fuente de ayuda</w:t>
            </w:r>
          </w:p>
        </w:tc>
        <w:tc>
          <w:tcPr/>
          <w:p>
            <w:pPr>
              <w:pStyle w:val="Compact"/>
              <w:jc w:val="left"/>
            </w:pPr>
            <w:r>
              <w:t xml:space="preserve">Familia (48,0%)</w:t>
            </w:r>
          </w:p>
        </w:tc>
        <w:tc>
          <w:tcPr/>
          <w:p>
            <w:pPr>
              <w:pStyle w:val="Compact"/>
              <w:jc w:val="left"/>
            </w:pPr>
            <w:r>
              <w:t xml:space="preserve">Familia (71,1%)</w:t>
            </w:r>
          </w:p>
        </w:tc>
        <w:tc>
          <w:tcPr/>
          <w:p>
            <w:pPr>
              <w:pStyle w:val="Compact"/>
              <w:jc w:val="left"/>
            </w:pPr>
            <w:r>
              <w:t xml:space="preserve">Familia (45,2%)</w:t>
            </w:r>
          </w:p>
        </w:tc>
        <w:tc>
          <w:tcPr/>
          <w:p>
            <w:pPr>
              <w:pStyle w:val="Compact"/>
              <w:jc w:val="left"/>
            </w:pPr>
            <w:r>
              <w:t xml:space="preserve">Familia (37,7%)</w:t>
            </w:r>
          </w:p>
        </w:tc>
      </w:tr>
      <w:tr>
        <w:tc>
          <w:tcPr/>
          <w:p>
            <w:pPr>
              <w:pStyle w:val="Compact"/>
              <w:jc w:val="left"/>
            </w:pPr>
            <w:r>
              <w:t xml:space="preserve">Contacto con canal formal</w:t>
            </w:r>
          </w:p>
        </w:tc>
        <w:tc>
          <w:tcPr/>
          <w:p>
            <w:pPr>
              <w:pStyle w:val="Compact"/>
              <w:jc w:val="left"/>
            </w:pPr>
            <w:r>
              <w:t xml:space="preserve">16,3%</w:t>
            </w:r>
          </w:p>
        </w:tc>
        <w:tc>
          <w:tcPr/>
          <w:p>
            <w:pPr>
              <w:pStyle w:val="Compact"/>
              <w:jc w:val="left"/>
            </w:pPr>
            <w:r>
              <w:t xml:space="preserve">5,2%</w:t>
            </w:r>
          </w:p>
        </w:tc>
        <w:tc>
          <w:tcPr/>
          <w:p>
            <w:pPr>
              <w:pStyle w:val="Compact"/>
              <w:jc w:val="left"/>
            </w:pPr>
            <w:r>
              <w:t xml:space="preserve">22,1%</w:t>
            </w:r>
          </w:p>
        </w:tc>
        <w:tc>
          <w:tcPr/>
          <w:p>
            <w:pPr>
              <w:pStyle w:val="Compact"/>
              <w:jc w:val="left"/>
            </w:pPr>
            <w:r>
              <w:t xml:space="preserve">14,5%</w:t>
            </w:r>
          </w:p>
        </w:tc>
      </w:tr>
      <w:tr>
        <w:tc>
          <w:tcPr/>
          <w:p>
            <w:pPr>
              <w:pStyle w:val="Compact"/>
              <w:jc w:val="left"/>
            </w:pPr>
            <w:r>
              <w:t xml:space="preserve">Dedicaría dos horas o más</w:t>
            </w:r>
          </w:p>
        </w:tc>
        <w:tc>
          <w:tcPr/>
          <w:p>
            <w:pPr>
              <w:pStyle w:val="Compact"/>
              <w:jc w:val="left"/>
            </w:pPr>
            <w:r>
              <w:t xml:space="preserve">55,1%</w:t>
            </w:r>
          </w:p>
        </w:tc>
        <w:tc>
          <w:tcPr/>
          <w:p>
            <w:pPr>
              <w:pStyle w:val="Compact"/>
              <w:jc w:val="left"/>
            </w:pPr>
            <w:r>
              <w:t xml:space="preserve">48,5%</w:t>
            </w:r>
          </w:p>
        </w:tc>
        <w:tc>
          <w:tcPr/>
          <w:p>
            <w:pPr>
              <w:pStyle w:val="Compact"/>
              <w:jc w:val="left"/>
            </w:pPr>
            <w:r>
              <w:t xml:space="preserve">46,2%</w:t>
            </w:r>
          </w:p>
        </w:tc>
        <w:tc>
          <w:tcPr/>
          <w:p>
            <w:pPr>
              <w:pStyle w:val="Compact"/>
              <w:jc w:val="left"/>
            </w:pPr>
            <w:r>
              <w:t xml:space="preserve">47,8%</w:t>
            </w:r>
          </w:p>
        </w:tc>
      </w:tr>
      <w:tr>
        <w:tc>
          <w:tcPr/>
          <w:p>
            <w:pPr>
              <w:pStyle w:val="Compact"/>
              <w:jc w:val="left"/>
            </w:pPr>
            <w:r>
              <w:t xml:space="preserve">No dedicaría tiempo</w:t>
            </w:r>
          </w:p>
        </w:tc>
        <w:tc>
          <w:tcPr/>
          <w:p>
            <w:pPr>
              <w:pStyle w:val="Compact"/>
              <w:jc w:val="left"/>
            </w:pPr>
            <w:r>
              <w:t xml:space="preserve">3,1%</w:t>
            </w:r>
          </w:p>
        </w:tc>
        <w:tc>
          <w:tcPr/>
          <w:p>
            <w:pPr>
              <w:pStyle w:val="Compact"/>
              <w:jc w:val="left"/>
            </w:pPr>
            <w:r>
              <w:t xml:space="preserve">5,2%</w:t>
            </w:r>
          </w:p>
        </w:tc>
        <w:tc>
          <w:tcPr/>
          <w:p>
            <w:pPr>
              <w:pStyle w:val="Compact"/>
              <w:jc w:val="left"/>
            </w:pPr>
            <w:r>
              <w:t xml:space="preserve">1,9%</w:t>
            </w:r>
          </w:p>
        </w:tc>
        <w:tc>
          <w:tcPr/>
          <w:p>
            <w:pPr>
              <w:pStyle w:val="Compact"/>
              <w:jc w:val="left"/>
            </w:pPr>
            <w:r>
              <w:t xml:space="preserve">15,9%</w:t>
            </w:r>
          </w:p>
        </w:tc>
      </w:tr>
    </w:tbl>
    <w:p>
      <w:pPr>
        <w:pStyle w:val="BodyText"/>
      </w:pPr>
      <w:r>
        <w:rPr>
          <w:bCs/>
          <w:b/>
        </w:rPr>
        <w:t xml:space="preserve">Conglomerado A: propietarios con capital social alto y mayor disposición horaria.</w:t>
      </w:r>
      <w:r>
        <w:t xml:space="preserve"> </w:t>
      </w:r>
      <w:r>
        <w:t xml:space="preserve">Reúne a 98 hombres, con la composición socioeconómica más alta de los cuatro grupos (78,5% entre C2 y ABC1) y educación mayoritariamente universitaria. Su carga operativa se reparte entre atender clientes (32,7%) y hacer publicidad (27,6%), y su barrera declarada es la falta de capital (74,5%) seguida de la falta de clientes (22,4%), la más alta de los cuatro grupos en esta última categoría. Es el conglomerado con mayor disposición a comprometer dos horas semanales o más (55,1%) y el que menos recurre a la familia como fuente de ayuda entre los tres grupos con restricción de capital. La lectura es que se trata de negocios en fase de crecimiento, conducidos por personas con recursos educativos y de red, cuyo límite declarado es el financiamiento y la ampliación de cartera. Es el segmento con mayor probabilidad de aprovechar contenidos de nivel intermedio y compromisos horarios mayores.</w:t>
      </w:r>
    </w:p>
    <w:p>
      <w:pPr>
        <w:pStyle w:val="BodyText"/>
      </w:pPr>
      <w:r>
        <w:rPr>
          <w:bCs/>
          <w:b/>
        </w:rPr>
        <w:t xml:space="preserve">Conglomerado B: el segmento de mayor precariedad.</w:t>
      </w:r>
      <w:r>
        <w:t xml:space="preserve"> </w:t>
      </w:r>
      <w:r>
        <w:t xml:space="preserve">Reúne a 97 personas, mayoritariamente mujeres, y concentra tres marcas simultáneas que no aparecen juntas en ningún otro grupo: educación media completa en un 70,1%, grupo socioeconómico D+E en un 54,6%, y trabajos menores e informales como ocupación modal en un 42,3%. Es el grupo con mayor dependencia de la familia y los amigos como fuente de ayuda (71,1%), el que menos contacto declara con el canal formal (5,2%, un tercio del promedio de los demás grupos) y el que declara la mayor restricción de capital (76,3%). Su preferencia horaria se inclina hacia compromisos breves, con el tramo de una a dos horas como el más elegido. La combinación de mayor necesidad y menor acceso a canales formales lo convierte en el segmento prioritario del módulo, y es también el más difícil de alcanzar por vías institucionales convencionales, precisamente porque es el que menos las utiliza.</w:t>
      </w:r>
    </w:p>
    <w:p>
      <w:pPr>
        <w:pStyle w:val="BodyText"/>
      </w:pPr>
      <w:r>
        <w:rPr>
          <w:bCs/>
          <w:b/>
        </w:rPr>
        <w:t xml:space="preserve">Conglomerado C: propietarias con problema de captación.</w:t>
      </w:r>
      <w:r>
        <w:t xml:space="preserve"> </w:t>
      </w:r>
      <w:r>
        <w:t xml:space="preserve">Reúne a 104 mujeres de composición socioeconómica media, con formación técnica o universitaria y ocupaciones administrativas o profesionales. Se distingue de los demás por su carga operativa: hacer publicidad alcanza aquí un 37,5%, el valor más alto de los cuatro grupos y muy por encima de atender clientes (23,1%). Es también el conglomerado con mayor contacto declarado con el canal formal (22,1%) y el que menos rechaza dedicar tiempo (1,9%), aunque prefiere compromisos breves: el tramo de una a dos horas concentra un 37,5%, el máximo de la tabla. El perfil corresponde a negocios cuya dificultad declarada es llegar a más clientes, conducidos por personas receptivas a la oferta formal pero con disponibilidad horaria acotada. Es el segmento de mejor calce con una oferta de marketing digital en formato breve.</w:t>
      </w:r>
    </w:p>
    <w:p>
      <w:pPr>
        <w:pStyle w:val="BodyText"/>
      </w:pPr>
      <w:r>
        <w:rPr>
          <w:bCs/>
          <w:b/>
        </w:rPr>
        <w:t xml:space="preserve">Conglomerado D: negocios sin restricción de capital y con bajo compromiso.</w:t>
      </w:r>
      <w:r>
        <w:t xml:space="preserve"> </w:t>
      </w:r>
      <w:r>
        <w:t xml:space="preserve">Reúne a 69 personas y es el único grupo cuya barrera declarada no es el financiamiento. De hecho, ninguna persona de este conglomerado menciona la falta de capital ni la falta de clientes: su barrera es la falta de tiempo (53,6%) o la ausencia de barreras (31,9%). Concentra la mayor proporción de personas de 61 años o más, la mayor tasa de quienes declaran que ninguna tarea les consume tiempo (23,2%), la mayor tasa de quienes resuelven los problemas por su cuenta (23,2%) y, de manera coherente con todo lo anterior, la mayor tasa de rechazo a dedicar tiempo al aprendizaje (15,9%, cinco veces el promedio de los otros tres grupos). Este conglomerado coincide con el segmento sin carga operativa descrito en la sección anterior y confirma su existencia por una vía independiente: no se trata de personas con dificultades para adoptar herramientas digitales, sino de personas que no declaran un problema que resolver.</w:t>
      </w:r>
    </w:p>
    <w:p>
      <w:pPr>
        <w:pStyle w:val="BodyText"/>
      </w:pPr>
      <w:r>
        <w:t xml:space="preserve">Figura 11. Barrera declarada para el crecimiento, según conglomerado</w:t>
      </w:r>
    </w:p>
    <w:p>
      <w:pPr>
        <w:pStyle w:val="BodyText"/>
      </w:pPr>
      <w:r>
        <w:drawing>
          <wp:inline>
            <wp:extent cx="5334000" cy="2395036"/>
            <wp:effectExtent b="0" l="0" r="0" t="0"/>
            <wp:docPr descr="" title="" id="67" name="Picture"/>
            <a:graphic>
              <a:graphicData uri="http://schemas.openxmlformats.org/drawingml/2006/picture">
                <pic:pic>
                  <pic:nvPicPr>
                    <pic:cNvPr descr="fig/pymes_cluster_x_p03.png" id="68" name="Picture"/>
                    <pic:cNvPicPr>
                      <a:picLocks noChangeArrowheads="1" noChangeAspect="1"/>
                    </pic:cNvPicPr>
                  </pic:nvPicPr>
                  <pic:blipFill>
                    <a:blip r:embed="rId66"/>
                    <a:stretch>
                      <a:fillRect/>
                    </a:stretch>
                  </pic:blipFill>
                  <pic:spPr bwMode="auto">
                    <a:xfrm>
                      <a:off x="0" y="0"/>
                      <a:ext cx="5334000" cy="2395036"/>
                    </a:xfrm>
                    <a:prstGeom prst="rect">
                      <a:avLst/>
                    </a:prstGeom>
                    <a:noFill/>
                    <a:ln w="9525">
                      <a:noFill/>
                      <a:headEnd/>
                      <a:tailEnd/>
                    </a:ln>
                  </pic:spPr>
                </pic:pic>
              </a:graphicData>
            </a:graphic>
          </wp:inline>
        </w:drawing>
      </w:r>
    </w:p>
    <w:p>
      <w:pPr>
        <w:pStyle w:val="BodyText"/>
      </w:pPr>
      <w:r>
        <w:t xml:space="preserve">La Figura 11 muestra el rasgo que mejor ordena la segmentación. Tres de los cuatro conglomerados son prácticamente indistinguibles en su barrera declarada, con la falta de capital en torno al 75% en los tres casos, mientras el cuarto se define por su ausencia completa. Dicho de otro modo, la partición útil de esta submuestra no es entre cuatro tipos de propietario sino entre quienes enfrentan una restricción de capital, que son tres de cada cuatro, y quienes no la enfrentan y tampoco declaran interés en aprender.</w:t>
      </w:r>
    </w:p>
    <w:bookmarkEnd w:id="69"/>
    <w:bookmarkEnd w:id="70"/>
    <w:bookmarkStart w:id="110" w:name="X90b70a8095c700aa46d3b96cba3124b10dc2921"/>
    <w:p>
      <w:pPr>
        <w:pStyle w:val="Heading1"/>
      </w:pPr>
      <w:r>
        <w:t xml:space="preserve">Módulo II. La búsqueda y mejora de empleo</w:t>
      </w:r>
    </w:p>
    <w:bookmarkStart w:id="74" w:name="quiénes-respondieron-1"/>
    <w:p>
      <w:pPr>
        <w:pStyle w:val="Heading2"/>
      </w:pPr>
      <w:r>
        <w:t xml:space="preserve">Quiénes respondieron</w:t>
      </w:r>
    </w:p>
    <w:p>
      <w:pPr>
        <w:pStyle w:val="FirstParagraph"/>
      </w:pPr>
      <w:r>
        <w:t xml:space="preserve">La submuestra se compone de 503 personas, con distribución por sexo prácticamente equilibrada. El perfil educacional es alto, con un 76,7% que declara formación técnica, universitaria o de postgrado, y la composición socioeconómica se concentra en el segmento medio.</w:t>
      </w:r>
    </w:p>
    <w:p>
      <w:pPr>
        <w:pStyle w:val="BodyText"/>
      </w:pPr>
      <w:r>
        <w:t xml:space="preserve">Dos rasgos estructurales condicionan la lectura del módulo. El primero es que no se registra ningún respondente de 61 años o más, de modo que la submuestra cubre el rango de 18 a 60 años, con el grueso de los casos entre los 31 y los 60 (87,0%). Toda conclusión relativa a la empleabilidad de personas adultas mayores queda fuera del alcance de estos datos, y esa ausencia resulta particularmente relevante considerando que el informe principal identifica a ese grupo etario como el de menor adopción de inteligencia artificial.</w:t>
      </w:r>
    </w:p>
    <w:p>
      <w:pPr>
        <w:pStyle w:val="BodyText"/>
      </w:pPr>
      <w:r>
        <w:t xml:space="preserve">Figura 12. Tipo de trabajo declarado, clasificación detallada</w:t>
      </w:r>
    </w:p>
    <w:p>
      <w:pPr>
        <w:pStyle w:val="BodyText"/>
      </w:pPr>
      <w:r>
        <w:drawing>
          <wp:inline>
            <wp:extent cx="5334000" cy="2905660"/>
            <wp:effectExtent b="0" l="0" r="0" t="0"/>
            <wp:docPr descr="" title="" id="72" name="Picture"/>
            <a:graphic>
              <a:graphicData uri="http://schemas.openxmlformats.org/drawingml/2006/picture">
                <pic:pic>
                  <pic:nvPicPr>
                    <pic:cNvPr descr="fig/comp_ocupacion_bar.png" id="73" name="Picture"/>
                    <pic:cNvPicPr>
                      <a:picLocks noChangeArrowheads="1" noChangeAspect="1"/>
                    </pic:cNvPicPr>
                  </pic:nvPicPr>
                  <pic:blipFill>
                    <a:blip r:embed="rId71"/>
                    <a:stretch>
                      <a:fillRect/>
                    </a:stretch>
                  </pic:blipFill>
                  <pic:spPr bwMode="auto">
                    <a:xfrm>
                      <a:off x="0" y="0"/>
                      <a:ext cx="5334000" cy="2905660"/>
                    </a:xfrm>
                    <a:prstGeom prst="rect">
                      <a:avLst/>
                    </a:prstGeom>
                    <a:noFill/>
                    <a:ln w="9525">
                      <a:noFill/>
                      <a:headEnd/>
                      <a:tailEnd/>
                    </a:ln>
                  </pic:spPr>
                </pic:pic>
              </a:graphicData>
            </a:graphic>
          </wp:inline>
        </w:drawing>
      </w:r>
    </w:p>
    <w:p>
      <w:pPr>
        <w:pStyle w:val="BodyText"/>
      </w:pPr>
      <w:r>
        <w:t xml:space="preserve">El segundo rasgo tiene consecuencias directas sobre el diseño de cualquier intervención. Sólo un 10,1% de la submuestra declara encontrarse cesante. La categoría más numerosa corresponde a empleados administrativos o técnicos (30,8%), seguida de ejecutivos medios o profesionales independientes (17,1%) y de oficios calificados (13,3%). La mayoría de quienes respondieron esta batería ya se encuentra trabajando y busca mejorar su posición o cambiar de empleo, y no acceder a un primer trabajo. No se trata de una población con tiempo disponible y urgencia inmediata, sino de una población con jornada laboral en curso.</w:t>
      </w:r>
    </w:p>
    <w:bookmarkEnd w:id="74"/>
    <w:bookmarkStart w:id="78" w:name="X5ca8f81d459e79101fe4ddc1e41c020077fdd53"/>
    <w:p>
      <w:pPr>
        <w:pStyle w:val="Heading2"/>
      </w:pPr>
      <w:r>
        <w:t xml:space="preserve">Las barreras declaradas son blandas y se distribuyen de forma bimodal</w:t>
      </w:r>
    </w:p>
    <w:p>
      <w:pPr>
        <w:pStyle w:val="FirstParagraph"/>
      </w:pPr>
      <w:r>
        <w:t xml:space="preserve">Consultadas por lo que más las frena hoy para aprender a usar herramientas digitales, las respuestas presentan una distribución marcadamente bimodal. La falta de tiempo (35,6%) y la declaración de que nada las frena (32,4%) concentran conjuntamente un 68,0% de las respuestas, separadas entre sí por 3,2 puntos porcentuales. A continuación aparecen la falta de conocimientos o habilidades (17,5%) y la falta de confianza (9,9%). Las barreras materiales resultan marginales: la falta de equipo o conexión a internet alcanza un 3,2% y la ausencia de utilidad percibida un 1,4%.</w:t>
      </w:r>
    </w:p>
    <w:p>
      <w:pPr>
        <w:pStyle w:val="BodyText"/>
      </w:pPr>
      <w:r>
        <w:t xml:space="preserve">Figura 13. Principal barrera declarada para aprender herramientas digitales</w:t>
      </w:r>
    </w:p>
    <w:p>
      <w:pPr>
        <w:pStyle w:val="BodyText"/>
      </w:pPr>
      <w:r>
        <w:drawing>
          <wp:inline>
            <wp:extent cx="5334000" cy="2148487"/>
            <wp:effectExtent b="0" l="0" r="0" t="0"/>
            <wp:docPr descr="" title="" id="76" name="Picture"/>
            <a:graphic>
              <a:graphicData uri="http://schemas.openxmlformats.org/drawingml/2006/picture">
                <pic:pic>
                  <pic:nvPicPr>
                    <pic:cNvPr descr="fig/comp_p01_bar.png" id="77" name="Picture"/>
                    <pic:cNvPicPr>
                      <a:picLocks noChangeArrowheads="1" noChangeAspect="1"/>
                    </pic:cNvPicPr>
                  </pic:nvPicPr>
                  <pic:blipFill>
                    <a:blip r:embed="rId75"/>
                    <a:stretch>
                      <a:fillRect/>
                    </a:stretch>
                  </pic:blipFill>
                  <pic:spPr bwMode="auto">
                    <a:xfrm>
                      <a:off x="0" y="0"/>
                      <a:ext cx="5334000" cy="2148487"/>
                    </a:xfrm>
                    <a:prstGeom prst="rect">
                      <a:avLst/>
                    </a:prstGeom>
                    <a:noFill/>
                    <a:ln w="9525">
                      <a:noFill/>
                      <a:headEnd/>
                      <a:tailEnd/>
                    </a:ln>
                  </pic:spPr>
                </pic:pic>
              </a:graphicData>
            </a:graphic>
          </wp:inline>
        </w:drawing>
      </w:r>
    </w:p>
    <w:p>
      <w:pPr>
        <w:pStyle w:val="BodyText"/>
      </w:pPr>
      <w:r>
        <w:t xml:space="preserve">La estructura es inversa a la observada en el módulo de pequeña empresa, donde una sola barrera concentraba un 60,3% de las menciones. Aquí no se identifica un obstáculo estructural dominante: aproximadamente un tercio de la submuestra declara no enfrentar traba alguna y otro tercio ubica su restricción exclusivamente en la agenda. La palanca principal de intervención no se ubica, por lo tanto, en el acceso ni en el equipamiento, sino en el calce con el tiempo disponible, y de manera secundaria, para el 27,4% que menciona conocimientos o confianza, en el acompañamiento.</w:t>
      </w:r>
    </w:p>
    <w:bookmarkEnd w:id="78"/>
    <w:bookmarkStart w:id="88" w:name="X965648fe0c3c4b1379b2d3ae4d6499563754cb1"/>
    <w:p>
      <w:pPr>
        <w:pStyle w:val="Heading2"/>
      </w:pPr>
      <w:r>
        <w:t xml:space="preserve">El tipo de barrera cambia con la posición social</w:t>
      </w:r>
    </w:p>
    <w:p>
      <w:pPr>
        <w:pStyle w:val="FirstParagraph"/>
      </w:pPr>
      <w:r>
        <w:t xml:space="preserve">El aporte más consistente de este módulo consiste en mostrar que no cambia solamente la cantidad de personas que declara enfrentar barreras, sino la naturaleza de la barrera declarada. El patrón se sostiene en dos cruces independientes que apuntan en la misma dirección.</w:t>
      </w:r>
    </w:p>
    <w:p>
      <w:pPr>
        <w:pStyle w:val="BodyText"/>
      </w:pPr>
      <w:r>
        <w:t xml:space="preserve">En primer lugar, por nivel socioeconómico. La proporción que declara no enfrentar barrera alguna asciende de manera sostenida a lo largo de la escala: 20,4% en el grupo D+E, 29,9% en C3, 31,2% en C2 y 46,2% en ABC1. En sentido inverso, la falta de confianza desciende desde un 18,4% hasta un 4,4%, y la falta de conocimientos o habilidades desde un 22,4% hasta un 9,9%. La falta de tiempo, en cambio, se mantiene prácticamente constante entre grupos, en un rango de entre 31% y 39%.</w:t>
      </w:r>
    </w:p>
    <w:p>
      <w:pPr>
        <w:pStyle w:val="BodyText"/>
      </w:pPr>
      <w:r>
        <w:t xml:space="preserve">Figura 14. Barreras declaradas para aprender herramientas digitales, según grupo socioeconómico</w:t>
      </w:r>
    </w:p>
    <w:p>
      <w:pPr>
        <w:pStyle w:val="BodyText"/>
      </w:pPr>
      <w:r>
        <w:drawing>
          <wp:inline>
            <wp:extent cx="5334000" cy="2441619"/>
            <wp:effectExtent b="0" l="0" r="0" t="0"/>
            <wp:docPr descr="" title="" id="80" name="Picture"/>
            <a:graphic>
              <a:graphicData uri="http://schemas.openxmlformats.org/drawingml/2006/picture">
                <pic:pic>
                  <pic:nvPicPr>
                    <pic:cNvPr descr="fig/comp_nse_x_p01.png" id="81" name="Picture"/>
                    <pic:cNvPicPr>
                      <a:picLocks noChangeArrowheads="1" noChangeAspect="1"/>
                    </pic:cNvPicPr>
                  </pic:nvPicPr>
                  <pic:blipFill>
                    <a:blip r:embed="rId79"/>
                    <a:stretch>
                      <a:fillRect/>
                    </a:stretch>
                  </pic:blipFill>
                  <pic:spPr bwMode="auto">
                    <a:xfrm>
                      <a:off x="0" y="0"/>
                      <a:ext cx="5334000" cy="2441619"/>
                    </a:xfrm>
                    <a:prstGeom prst="rect">
                      <a:avLst/>
                    </a:prstGeom>
                    <a:noFill/>
                    <a:ln w="9525">
                      <a:noFill/>
                      <a:headEnd/>
                      <a:tailEnd/>
                    </a:ln>
                  </pic:spPr>
                </pic:pic>
              </a:graphicData>
            </a:graphic>
          </wp:inline>
        </w:drawing>
      </w:r>
    </w:p>
    <w:p>
      <w:pPr>
        <w:pStyle w:val="BodyText"/>
      </w:pPr>
      <w:r>
        <w:t xml:space="preserve">El tiempo constituye entonces una restricción transversal, mientras la inseguridad y la falta de habilidades constituyen restricciones concentradas en los grupos de menores ingresos. Dos personas que declaran no aprender herramientas digitales están describiendo situaciones distintas según el grupo del que provengan. El grupo D+E reúne 49 casos, el menor de los cuatro, de modo que sus porcentajes son más sensibles a casos individuales que los del resto de la tabla.</w:t>
      </w:r>
    </w:p>
    <w:p>
      <w:pPr>
        <w:pStyle w:val="BodyText"/>
      </w:pPr>
      <w:r>
        <w:t xml:space="preserve">En segundo lugar, por sexo. Las mujeres declaran falta de confianza en una proporción cercana al doble que los hombres (12,9% frente a 6,9%) y algo más de falta de conocimientos o habilidades (19,6% frente a 15,3%), mientras los hombres declaran con mayor frecuencia que nada los frena (35,5% frente a 29,4%). La falta de tiempo resulta prácticamente idéntica entre ambos grupos (35,3% en mujeres y 35,9% en hombres). Es el cruce del módulo que se apoya en el mayor número de casos por celda, dado que ambas categorías superan los doscientos cincuenta respondentes.</w:t>
      </w:r>
    </w:p>
    <w:p>
      <w:pPr>
        <w:pStyle w:val="BodyText"/>
      </w:pPr>
      <w:r>
        <w:t xml:space="preserve">Figura 15. Barreras declaradas para aprender herramientas digitales, según sexo</w:t>
      </w:r>
    </w:p>
    <w:p>
      <w:pPr>
        <w:pStyle w:val="BodyText"/>
      </w:pPr>
      <w:r>
        <w:drawing>
          <wp:inline>
            <wp:extent cx="5334000" cy="1814596"/>
            <wp:effectExtent b="0" l="0" r="0" t="0"/>
            <wp:docPr descr="" title="" id="83" name="Picture"/>
            <a:graphic>
              <a:graphicData uri="http://schemas.openxmlformats.org/drawingml/2006/picture">
                <pic:pic>
                  <pic:nvPicPr>
                    <pic:cNvPr descr="fig/comp_sexo_x_p01.png" id="84" name="Picture"/>
                    <pic:cNvPicPr>
                      <a:picLocks noChangeArrowheads="1" noChangeAspect="1"/>
                    </pic:cNvPicPr>
                  </pic:nvPicPr>
                  <pic:blipFill>
                    <a:blip r:embed="rId82"/>
                    <a:stretch>
                      <a:fillRect/>
                    </a:stretch>
                  </pic:blipFill>
                  <pic:spPr bwMode="auto">
                    <a:xfrm>
                      <a:off x="0" y="0"/>
                      <a:ext cx="5334000" cy="1814596"/>
                    </a:xfrm>
                    <a:prstGeom prst="rect">
                      <a:avLst/>
                    </a:prstGeom>
                    <a:noFill/>
                    <a:ln w="9525">
                      <a:noFill/>
                      <a:headEnd/>
                      <a:tailEnd/>
                    </a:ln>
                  </pic:spPr>
                </pic:pic>
              </a:graphicData>
            </a:graphic>
          </wp:inline>
        </w:drawing>
      </w:r>
    </w:p>
    <w:p>
      <w:pPr>
        <w:pStyle w:val="BodyText"/>
      </w:pPr>
      <w:r>
        <w:t xml:space="preserve">La diferencia entre hombres y mujeres observada en esta submuestra no se ubica en la disponibilidad horaria sino en la autopercepción de competencia digital. Esta distinción tiene implicancias directas sobre el diseño de mensajes y formatos, que se desarrollan en la sección de implicancias.</w:t>
      </w:r>
    </w:p>
    <w:p>
      <w:pPr>
        <w:pStyle w:val="BodyText"/>
      </w:pPr>
      <w:r>
        <w:t xml:space="preserve">Finalmente, el mismo eje aparece en el cruce por tramo etario, con diferencias de menor magnitud. Se incluye porque apunta en la misma dirección que los dos cruces anteriores, y esa coherencia entre tres cortes independientes resulta más informativa que cada uno considerado por separado.</w:t>
      </w:r>
    </w:p>
    <w:p>
      <w:pPr>
        <w:pStyle w:val="BodyText"/>
      </w:pPr>
      <w:r>
        <w:t xml:space="preserve">Figura 16. Barreras declaradas para aprender herramientas digitales, según tramo etario</w:t>
      </w:r>
    </w:p>
    <w:p>
      <w:pPr>
        <w:pStyle w:val="BodyText"/>
      </w:pPr>
      <w:r>
        <w:drawing>
          <wp:inline>
            <wp:extent cx="5334000" cy="2406315"/>
            <wp:effectExtent b="0" l="0" r="0" t="0"/>
            <wp:docPr descr="" title="" id="86" name="Picture"/>
            <a:graphic>
              <a:graphicData uri="http://schemas.openxmlformats.org/drawingml/2006/picture">
                <pic:pic>
                  <pic:nvPicPr>
                    <pic:cNvPr descr="fig/comp_edad_x_p01.png" id="87" name="Picture"/>
                    <pic:cNvPicPr>
                      <a:picLocks noChangeArrowheads="1" noChangeAspect="1"/>
                    </pic:cNvPicPr>
                  </pic:nvPicPr>
                  <pic:blipFill>
                    <a:blip r:embed="rId85"/>
                    <a:stretch>
                      <a:fillRect/>
                    </a:stretch>
                  </pic:blipFill>
                  <pic:spPr bwMode="auto">
                    <a:xfrm>
                      <a:off x="0" y="0"/>
                      <a:ext cx="5334000" cy="2406315"/>
                    </a:xfrm>
                    <a:prstGeom prst="rect">
                      <a:avLst/>
                    </a:prstGeom>
                    <a:noFill/>
                    <a:ln w="9525">
                      <a:noFill/>
                      <a:headEnd/>
                      <a:tailEnd/>
                    </a:ln>
                  </pic:spPr>
                </pic:pic>
              </a:graphicData>
            </a:graphic>
          </wp:inline>
        </w:drawing>
      </w:r>
    </w:p>
    <w:p>
      <w:pPr>
        <w:pStyle w:val="BodyText"/>
      </w:pPr>
      <w:r>
        <w:t xml:space="preserve">Entre los 18 y los 40 años la barrera declarada es principalmente el tiempo (40,0% y 42,3% respectivamente). A partir de los 51 años la falta de tiempo desciende a un 26,6%, mientras ascienden la falta de conocimientos (24,5%) y la falta de confianza (13,7%). A diferencia de lo observado en el módulo de pequeña empresa, donde los extremos etarios presentaban perfiles de respuesta semejantes entre sí, aquí el cambio es gradual: cada tramo se asemeja más a sus tramos contiguos que a los distantes, lo que permite diseñar por continuo, escalando el nivel de acompañamiento a medida que asciende el tramo etario, en lugar de estructurar programas separados.</w:t>
      </w:r>
    </w:p>
    <w:bookmarkEnd w:id="88"/>
    <w:bookmarkStart w:id="98" w:name="Xd2976408c76cd5a2b97e6b738f1131dab6a4baa"/>
    <w:p>
      <w:pPr>
        <w:pStyle w:val="Heading2"/>
      </w:pPr>
      <w:r>
        <w:t xml:space="preserve">La demanda de apoyo es amplia, puntual y socialmente diferenciada</w:t>
      </w:r>
    </w:p>
    <w:p>
      <w:pPr>
        <w:pStyle w:val="FirstParagraph"/>
      </w:pPr>
      <w:r>
        <w:t xml:space="preserve">Consultadas por el tipo de apoyo en que les gustaría recibir ayuda de una herramienta digital, en una pregunta de opción múltiple, las personas encuestadas señalan mayoritariamente la búsqueda de ofertas de trabajo (40,0%) y la elaboración o mejora del currículum (37,6%), seguidas de la preparación de entrevistas (30,2%) y el contacto con empresas (23,9%). Sólo un 11,3% declara no necesitar ayuda.</w:t>
      </w:r>
    </w:p>
    <w:p>
      <w:pPr>
        <w:pStyle w:val="BodyText"/>
      </w:pPr>
      <w:r>
        <w:t xml:space="preserve">Figura 17. Tipo de apoyo requerido en la búsqueda de empleo</w:t>
      </w:r>
    </w:p>
    <w:p>
      <w:pPr>
        <w:pStyle w:val="BodyText"/>
      </w:pPr>
      <w:r>
        <w:drawing>
          <wp:inline>
            <wp:extent cx="5334000" cy="2324614"/>
            <wp:effectExtent b="0" l="0" r="0" t="0"/>
            <wp:docPr descr="" title="" id="90" name="Picture"/>
            <a:graphic>
              <a:graphicData uri="http://schemas.openxmlformats.org/drawingml/2006/picture">
                <pic:pic>
                  <pic:nvPicPr>
                    <pic:cNvPr descr="fig/comp_p02_multiselect_bar.png" id="91" name="Picture"/>
                    <pic:cNvPicPr>
                      <a:picLocks noChangeArrowheads="1" noChangeAspect="1"/>
                    </pic:cNvPicPr>
                  </pic:nvPicPr>
                  <pic:blipFill>
                    <a:blip r:embed="rId89"/>
                    <a:stretch>
                      <a:fillRect/>
                    </a:stretch>
                  </pic:blipFill>
                  <pic:spPr bwMode="auto">
                    <a:xfrm>
                      <a:off x="0" y="0"/>
                      <a:ext cx="5334000" cy="2324614"/>
                    </a:xfrm>
                    <a:prstGeom prst="rect">
                      <a:avLst/>
                    </a:prstGeom>
                    <a:noFill/>
                    <a:ln w="9525">
                      <a:noFill/>
                      <a:headEnd/>
                      <a:tailEnd/>
                    </a:ln>
                  </pic:spPr>
                </pic:pic>
              </a:graphicData>
            </a:graphic>
          </wp:inline>
        </w:drawing>
      </w:r>
    </w:p>
    <w:p>
      <w:pPr>
        <w:pStyle w:val="BodyText"/>
      </w:pPr>
      <w:r>
        <w:t xml:space="preserve">La demanda de apoyo es, por lo tanto, amplia. Su intensidad, en cambio, es baja, y este es el dato que modifica de manera más sustantiva el diseño de una eventual herramienta.</w:t>
      </w:r>
    </w:p>
    <w:p>
      <w:pPr>
        <w:pStyle w:val="BodyText"/>
      </w:pPr>
      <w:r>
        <w:t xml:space="preserve">Figura 18. Número de apoyos seleccionados por respondente</w:t>
      </w:r>
    </w:p>
    <w:p>
      <w:pPr>
        <w:pStyle w:val="BodyText"/>
      </w:pPr>
      <w:r>
        <w:drawing>
          <wp:inline>
            <wp:extent cx="5334000" cy="3011317"/>
            <wp:effectExtent b="0" l="0" r="0" t="0"/>
            <wp:docPr descr="" title="" id="93" name="Picture"/>
            <a:graphic>
              <a:graphicData uri="http://schemas.openxmlformats.org/drawingml/2006/picture">
                <pic:pic>
                  <pic:nvPicPr>
                    <pic:cNvPr descr="fig/comp_p02_selections_per_respondent_bar.png" id="94" name="Picture"/>
                    <pic:cNvPicPr>
                      <a:picLocks noChangeArrowheads="1" noChangeAspect="1"/>
                    </pic:cNvPicPr>
                  </pic:nvPicPr>
                  <pic:blipFill>
                    <a:blip r:embed="rId92"/>
                    <a:stretch>
                      <a:fillRect/>
                    </a:stretch>
                  </pic:blipFill>
                  <pic:spPr bwMode="auto">
                    <a:xfrm>
                      <a:off x="0" y="0"/>
                      <a:ext cx="5334000" cy="3011317"/>
                    </a:xfrm>
                    <a:prstGeom prst="rect">
                      <a:avLst/>
                    </a:prstGeom>
                    <a:noFill/>
                    <a:ln w="9525">
                      <a:noFill/>
                      <a:headEnd/>
                      <a:tailEnd/>
                    </a:ln>
                  </pic:spPr>
                </pic:pic>
              </a:graphicData>
            </a:graphic>
          </wp:inline>
        </w:drawing>
      </w:r>
    </w:p>
    <w:p>
      <w:pPr>
        <w:pStyle w:val="BodyText"/>
      </w:pPr>
      <w:r>
        <w:t xml:space="preserve">Un 75,1% de las personas encuestadas seleccionó una sola opción de apoyo, con un promedio de 1,43 selecciones por respondente y un máximo de cuatro. Sólo un 24,9% seleccionó dos o más opciones. La demanda declarada no corresponde a un acompañamiento integral del proceso de búsqueda de empleo sino a la resolución de una necesidad específica, generalmente localizar dónde postular o dejar el currículum en condiciones presentables. Una herramienta que exija recorrer un programa completo antes de entregar valor perdería a la mayoría de sus potenciales usuarios en la primera etapa.</w:t>
      </w:r>
    </w:p>
    <w:p>
      <w:pPr>
        <w:pStyle w:val="BodyText"/>
      </w:pPr>
      <w:r>
        <w:t xml:space="preserve">Al examinar cada tipo de apoyo por separado según perfil sociodemográfico, sólo uno presenta diferencias apreciables. La demanda de ayuda para buscar ofertas de trabajo asciende de manera sostenida a medida que desciende el nivel socioeconómico: un 26,4% en el grupo ABC1, un 40,4% en C2, un 42,4% en C3 y un 55,1% en D+E.</w:t>
      </w:r>
    </w:p>
    <w:p>
      <w:pPr>
        <w:pStyle w:val="BodyText"/>
      </w:pPr>
      <w:r>
        <w:t xml:space="preserve">Figura 19. Demanda de ayuda para buscar ofertas de trabajo, según grupo socioeconómico</w:t>
      </w:r>
    </w:p>
    <w:p>
      <w:pPr>
        <w:pStyle w:val="BodyText"/>
      </w:pPr>
      <w:r>
        <w:drawing>
          <wp:inline>
            <wp:extent cx="5334000" cy="2791889"/>
            <wp:effectExtent b="0" l="0" r="0" t="0"/>
            <wp:docPr descr="" title="" id="96" name="Picture"/>
            <a:graphic>
              <a:graphicData uri="http://schemas.openxmlformats.org/drawingml/2006/picture">
                <pic:pic>
                  <pic:nvPicPr>
                    <pic:cNvPr descr="fig/comp_nse_x_ofertas.png" id="97" name="Picture"/>
                    <pic:cNvPicPr>
                      <a:picLocks noChangeArrowheads="1" noChangeAspect="1"/>
                    </pic:cNvPicPr>
                  </pic:nvPicPr>
                  <pic:blipFill>
                    <a:blip r:embed="rId95"/>
                    <a:stretch>
                      <a:fillRect/>
                    </a:stretch>
                  </pic:blipFill>
                  <pic:spPr bwMode="auto">
                    <a:xfrm>
                      <a:off x="0" y="0"/>
                      <a:ext cx="5334000" cy="2791889"/>
                    </a:xfrm>
                    <a:prstGeom prst="rect">
                      <a:avLst/>
                    </a:prstGeom>
                    <a:noFill/>
                    <a:ln w="9525">
                      <a:noFill/>
                      <a:headEnd/>
                      <a:tailEnd/>
                    </a:ln>
                  </pic:spPr>
                </pic:pic>
              </a:graphicData>
            </a:graphic>
          </wp:inline>
        </w:drawing>
      </w:r>
    </w:p>
    <w:p>
      <w:pPr>
        <w:pStyle w:val="BodyText"/>
      </w:pPr>
      <w:r>
        <w:t xml:space="preserve">El resultado es sustantivamente interesante porque el acceso a información sobre vacantes es, entre los cuatro apoyos consultados, el que menos depende de habilidades y el que más depende de redes de contacto. Que su demanda se duplique entre el grupo socioeconómico más alto y el más bajo sugiere que la desigualdad en el acceso a información sobre oportunidades laborales es percibida como un problema concreto por quienes la enfrentan. Los otros tres tipos de apoyo se distribuyen de manera pareja entre grupos, de modo que la demanda de ayuda con el currículum, la entrevista y el contacto con empresas es transversal.</w:t>
      </w:r>
    </w:p>
    <w:bookmarkEnd w:id="98"/>
    <w:bookmarkStart w:id="102" w:name="Xc2f5691680fce4c684e1a98625db3f4d4219815"/>
    <w:p>
      <w:pPr>
        <w:pStyle w:val="Heading2"/>
      </w:pPr>
      <w:r>
        <w:t xml:space="preserve">El interés en el formato móvil se concentra donde hay necesidad activa</w:t>
      </w:r>
    </w:p>
    <w:p>
      <w:pPr>
        <w:pStyle w:val="FirstParagraph"/>
      </w:pPr>
      <w:r>
        <w:t xml:space="preserve">Un 90,3% de la submuestra declara que le resultaría atractivo aprender nuevas habilidades para mejorar su empleabilidad mediante lecciones cortas a través del teléfono móvil. Considerada de manera aislada, la cifra tiene escaso poder discriminante y no presenta diferencias apreciables por sexo, edad ni nivel socioeconómico.</w:t>
      </w:r>
    </w:p>
    <w:p>
      <w:pPr>
        <w:pStyle w:val="BodyText"/>
      </w:pPr>
      <w:r>
        <w:t xml:space="preserve">El resultado cambia por completo al cruzarlo con la demanda de apoyo declarada. Entre quienes no solicitaron ningún apoyo activo, es decir quienes marcaron únicamente la opción que indica no necesitar ayuda, el interés desciende a un 57,4%. Entre quienes solicitaron un apoyo asciende a un 93,3%, y continúa ascendiendo con cada apoyo adicional: 94,8% entre quienes solicitaron dos, 97,3% entre quienes solicitaron tres y 100% entre quienes solicitaron los cuatro.</w:t>
      </w:r>
    </w:p>
    <w:p>
      <w:pPr>
        <w:pStyle w:val="BodyText"/>
      </w:pPr>
      <w:r>
        <w:t xml:space="preserve">Figura 20. Interés en formación breve por teléfono móvil, según cantidad de apoyos solicitados</w:t>
      </w:r>
    </w:p>
    <w:p>
      <w:pPr>
        <w:pStyle w:val="BodyText"/>
      </w:pPr>
      <w:r>
        <w:drawing>
          <wp:inline>
            <wp:extent cx="5334000" cy="2732742"/>
            <wp:effectExtent b="0" l="0" r="0" t="0"/>
            <wp:docPr descr="" title="" id="100" name="Picture"/>
            <a:graphic>
              <a:graphicData uri="http://schemas.openxmlformats.org/drawingml/2006/picture">
                <pic:pic>
                  <pic:nvPicPr>
                    <pic:cNvPr descr="fig/comp_napoyos_x_interes.png" id="101" name="Picture"/>
                    <pic:cNvPicPr>
                      <a:picLocks noChangeArrowheads="1" noChangeAspect="1"/>
                    </pic:cNvPicPr>
                  </pic:nvPicPr>
                  <pic:blipFill>
                    <a:blip r:embed="rId99"/>
                    <a:stretch>
                      <a:fillRect/>
                    </a:stretch>
                  </pic:blipFill>
                  <pic:spPr bwMode="auto">
                    <a:xfrm>
                      <a:off x="0" y="0"/>
                      <a:ext cx="5334000" cy="2732742"/>
                    </a:xfrm>
                    <a:prstGeom prst="rect">
                      <a:avLst/>
                    </a:prstGeom>
                    <a:noFill/>
                    <a:ln w="9525">
                      <a:noFill/>
                      <a:headEnd/>
                      <a:tailEnd/>
                    </a:ln>
                  </pic:spPr>
                </pic:pic>
              </a:graphicData>
            </a:graphic>
          </wp:inline>
        </w:drawing>
      </w:r>
    </w:p>
    <w:p>
      <w:pPr>
        <w:pStyle w:val="BodyText"/>
      </w:pPr>
      <w:r>
        <w:t xml:space="preserve">Se trata de la diferencia de mayor magnitud registrada en todo el anexo, y a diferencia de otros cruces se apoya en categorías de tamaño suficiente en todos sus niveles, desde 27 hasta 327 casos. La progresión es además ordenada a lo largo de cinco niveles, lo que resulta difícil de explicar únicamente por una tendencia general a responder afirmativamente en el instrumento, aunque esa posibilidad no puede descartarse del todo con datos de una sola aplicación.</w:t>
      </w:r>
    </w:p>
    <w:p>
      <w:pPr>
        <w:pStyle w:val="BodyText"/>
      </w:pPr>
      <w:r>
        <w:t xml:space="preserve">La lectura sustantiva es que el interés declarado en formación móvil no es un rasgo homogéneo de la población consultada sino una función de la necesidad activa. Quien identifica un problema concreto en su búsqueda de trabajo declara interés en una herramienta que lo resuelva; quien no identifica ninguno declara interés en una proporción cuarenta puntos menor. Esta constatación tiene una consecuencia práctica inmediata: la variable que mejor identifica al público receptivo no es sociodemográfica sino declarativa, y puede leerse directamente de la respuesta a la pregunta de apoyo requerido, sin necesidad de estimar perfiles.</w:t>
      </w:r>
    </w:p>
    <w:bookmarkEnd w:id="102"/>
    <w:bookmarkStart w:id="109" w:name="X8af01ad75873232326f8e57c55501861a99d552"/>
    <w:p>
      <w:pPr>
        <w:pStyle w:val="Heading2"/>
      </w:pPr>
      <w:r>
        <w:t xml:space="preserve">Los cuatro conglomerados de empleabilidad</w:t>
      </w:r>
    </w:p>
    <w:p>
      <w:pPr>
        <w:pStyle w:val="FirstParagraph"/>
      </w:pPr>
      <w:r>
        <w:t xml:space="preserve">Se aplicó el mismo procedimiento de segmentación sobre siete variables del módulo, es decir las cinco sociodemográficas, la barrera declarada y el interés en formación móvil, fijando cuatro grupos.</w:t>
      </w:r>
    </w:p>
    <w:p>
      <w:pPr>
        <w:pStyle w:val="BodyText"/>
      </w:pPr>
      <w:r>
        <w:t xml:space="preserve">Figura 21. Distribución de los conglomerados en el plano de las dos primeras componentes principales</w:t>
      </w:r>
    </w:p>
    <w:p>
      <w:pPr>
        <w:pStyle w:val="BodyText"/>
      </w:pPr>
      <w:r>
        <w:drawing>
          <wp:inline>
            <wp:extent cx="5334000" cy="4252601"/>
            <wp:effectExtent b="0" l="0" r="0" t="0"/>
            <wp:docPr descr="" title="" id="104" name="Picture"/>
            <a:graphic>
              <a:graphicData uri="http://schemas.openxmlformats.org/drawingml/2006/picture">
                <pic:pic>
                  <pic:nvPicPr>
                    <pic:cNvPr descr="fig/comp_clustering_pca.png" id="105" name="Picture"/>
                    <pic:cNvPicPr>
                      <a:picLocks noChangeArrowheads="1" noChangeAspect="1"/>
                    </pic:cNvPicPr>
                  </pic:nvPicPr>
                  <pic:blipFill>
                    <a:blip r:embed="rId103"/>
                    <a:stretch>
                      <a:fillRect/>
                    </a:stretch>
                  </pic:blipFill>
                  <pic:spPr bwMode="auto">
                    <a:xfrm>
                      <a:off x="0" y="0"/>
                      <a:ext cx="5334000" cy="4252601"/>
                    </a:xfrm>
                    <a:prstGeom prst="rect">
                      <a:avLst/>
                    </a:prstGeom>
                    <a:noFill/>
                    <a:ln w="9525">
                      <a:noFill/>
                      <a:headEnd/>
                      <a:tailEnd/>
                    </a:ln>
                  </pic:spPr>
                </pic:pic>
              </a:graphicData>
            </a:graphic>
          </wp:inline>
        </w:drawing>
      </w:r>
    </w:p>
    <w:p>
      <w:pPr>
        <w:pStyle w:val="BodyText"/>
      </w:pPr>
      <w:r>
        <w:t xml:space="preserve">Rigen aquí las mismas dos advertencias del módulo anterior, y una tercera. Los grupos se superponen en el plano de representación. El sexo fue incluido entre las variables de entrada, de modo que dos de los conglomerados quedan compuestos íntegramente por hombres y por mujeres. Y el interés en formación móvil también fue incluido, razón por la cual uno de los cuatro grupos reúne exactamente a quienes respondieron de manera negativa a esa pregunta. Tres de las cuatro fronteras reproducen, por lo tanto, variables suministradas al procedimiento. El aporte propio del ejercicio se concentra en el cuarto conglomerado y en la caracterización interna de cada grupo.</w:t>
      </w:r>
    </w:p>
    <w:p>
      <w:pPr>
        <w:pStyle w:val="BodyText"/>
      </w:pPr>
      <w:r>
        <w:t xml:space="preserve">Tabla 3. Perfil de los cuatro conglomerados del módulo de empleabilidad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Rasgo</w:t>
            </w:r>
          </w:p>
        </w:tc>
        <w:tc>
          <w:tcPr/>
          <w:p>
            <w:pPr>
              <w:pStyle w:val="Compact"/>
              <w:jc w:val="left"/>
            </w:pPr>
            <w:r>
              <w:t xml:space="preserve">A (n=161)</w:t>
            </w:r>
          </w:p>
        </w:tc>
        <w:tc>
          <w:tcPr/>
          <w:p>
            <w:pPr>
              <w:pStyle w:val="Compact"/>
              <w:jc w:val="left"/>
            </w:pPr>
            <w:r>
              <w:t xml:space="preserve">B (n=161)</w:t>
            </w:r>
          </w:p>
        </w:tc>
        <w:tc>
          <w:tcPr/>
          <w:p>
            <w:pPr>
              <w:pStyle w:val="Compact"/>
              <w:jc w:val="left"/>
            </w:pPr>
            <w:r>
              <w:t xml:space="preserve">C (n=131)</w:t>
            </w:r>
          </w:p>
        </w:tc>
        <w:tc>
          <w:tcPr/>
          <w:p>
            <w:pPr>
              <w:pStyle w:val="Compact"/>
              <w:jc w:val="left"/>
            </w:pPr>
            <w:r>
              <w:t xml:space="preserve">D (n=49)</w:t>
            </w:r>
          </w:p>
        </w:tc>
      </w:tr>
      <w:tr>
        <w:tc>
          <w:tcPr/>
          <w:p>
            <w:pPr>
              <w:pStyle w:val="Compact"/>
              <w:jc w:val="left"/>
            </w:pPr>
            <w:r>
              <w:t xml:space="preserve">Sexo</w:t>
            </w:r>
          </w:p>
        </w:tc>
        <w:tc>
          <w:tcPr/>
          <w:p>
            <w:pPr>
              <w:pStyle w:val="Compact"/>
              <w:jc w:val="left"/>
            </w:pPr>
            <w:r>
              <w:t xml:space="preserve">100% hombres</w:t>
            </w:r>
          </w:p>
        </w:tc>
        <w:tc>
          <w:tcPr/>
          <w:p>
            <w:pPr>
              <w:pStyle w:val="Compact"/>
              <w:jc w:val="left"/>
            </w:pPr>
            <w:r>
              <w:t xml:space="preserve">100% mujeres</w:t>
            </w:r>
          </w:p>
        </w:tc>
        <w:tc>
          <w:tcPr/>
          <w:p>
            <w:pPr>
              <w:pStyle w:val="Compact"/>
              <w:jc w:val="left"/>
            </w:pPr>
            <w:r>
              <w:t xml:space="preserve">52% mujeres</w:t>
            </w:r>
          </w:p>
        </w:tc>
        <w:tc>
          <w:tcPr/>
          <w:p>
            <w:pPr>
              <w:pStyle w:val="Compact"/>
              <w:jc w:val="left"/>
            </w:pPr>
            <w:r>
              <w:t xml:space="preserve">51% mujeres</w:t>
            </w:r>
          </w:p>
        </w:tc>
      </w:tr>
      <w:tr>
        <w:tc>
          <w:tcPr/>
          <w:p>
            <w:pPr>
              <w:pStyle w:val="Compact"/>
              <w:jc w:val="left"/>
            </w:pPr>
            <w:r>
              <w:t xml:space="preserve">Edad modal</w:t>
            </w:r>
          </w:p>
        </w:tc>
        <w:tc>
          <w:tcPr/>
          <w:p>
            <w:pPr>
              <w:pStyle w:val="Compact"/>
              <w:jc w:val="left"/>
            </w:pPr>
            <w:r>
              <w:t xml:space="preserve">41 a 50 (38,5%)</w:t>
            </w:r>
          </w:p>
        </w:tc>
        <w:tc>
          <w:tcPr/>
          <w:p>
            <w:pPr>
              <w:pStyle w:val="Compact"/>
              <w:jc w:val="left"/>
            </w:pPr>
            <w:r>
              <w:t xml:space="preserve">31 a 40 (31,1%)</w:t>
            </w:r>
          </w:p>
        </w:tc>
        <w:tc>
          <w:tcPr/>
          <w:p>
            <w:pPr>
              <w:pStyle w:val="Compact"/>
              <w:jc w:val="left"/>
            </w:pPr>
            <w:r>
              <w:t xml:space="preserve">51 a 60 (40,5%)</w:t>
            </w:r>
          </w:p>
        </w:tc>
        <w:tc>
          <w:tcPr/>
          <w:p>
            <w:pPr>
              <w:pStyle w:val="Compact"/>
              <w:jc w:val="left"/>
            </w:pPr>
            <w:r>
              <w:t xml:space="preserve">51 a 60 y 31 a 40 (34,7%)</w:t>
            </w:r>
          </w:p>
        </w:tc>
      </w:tr>
      <w:tr>
        <w:tc>
          <w:tcPr/>
          <w:p>
            <w:pPr>
              <w:pStyle w:val="Compact"/>
              <w:jc w:val="left"/>
            </w:pPr>
            <w:r>
              <w:t xml:space="preserve">Menores de 41 años</w:t>
            </w:r>
          </w:p>
        </w:tc>
        <w:tc>
          <w:tcPr/>
          <w:p>
            <w:pPr>
              <w:pStyle w:val="Compact"/>
              <w:jc w:val="left"/>
            </w:pPr>
            <w:r>
              <w:t xml:space="preserve">32,9%</w:t>
            </w:r>
          </w:p>
        </w:tc>
        <w:tc>
          <w:tcPr/>
          <w:p>
            <w:pPr>
              <w:pStyle w:val="Compact"/>
              <w:jc w:val="left"/>
            </w:pPr>
            <w:r>
              <w:t xml:space="preserve">61,5%</w:t>
            </w:r>
          </w:p>
        </w:tc>
        <w:tc>
          <w:tcPr/>
          <w:p>
            <w:pPr>
              <w:pStyle w:val="Compact"/>
              <w:jc w:val="left"/>
            </w:pPr>
            <w:r>
              <w:t xml:space="preserve">24,4%</w:t>
            </w:r>
          </w:p>
        </w:tc>
        <w:tc>
          <w:tcPr/>
          <w:p>
            <w:pPr>
              <w:pStyle w:val="Compact"/>
              <w:jc w:val="left"/>
            </w:pPr>
            <w:r>
              <w:t xml:space="preserve">44,9%</w:t>
            </w:r>
          </w:p>
        </w:tc>
      </w:tr>
      <w:tr>
        <w:tc>
          <w:tcPr/>
          <w:p>
            <w:pPr>
              <w:pStyle w:val="Compact"/>
              <w:jc w:val="left"/>
            </w:pPr>
            <w:r>
              <w:t xml:space="preserve">Educación media completa</w:t>
            </w:r>
          </w:p>
        </w:tc>
        <w:tc>
          <w:tcPr/>
          <w:p>
            <w:pPr>
              <w:pStyle w:val="Compact"/>
              <w:jc w:val="left"/>
            </w:pPr>
            <w:r>
              <w:t xml:space="preserve">0%</w:t>
            </w:r>
          </w:p>
        </w:tc>
        <w:tc>
          <w:tcPr/>
          <w:p>
            <w:pPr>
              <w:pStyle w:val="Compact"/>
              <w:jc w:val="left"/>
            </w:pPr>
            <w:r>
              <w:t xml:space="preserve">0%</w:t>
            </w:r>
          </w:p>
        </w:tc>
        <w:tc>
          <w:tcPr/>
          <w:p>
            <w:pPr>
              <w:pStyle w:val="Compact"/>
              <w:jc w:val="left"/>
            </w:pPr>
            <w:r>
              <w:t xml:space="preserve">80,9%</w:t>
            </w:r>
          </w:p>
        </w:tc>
        <w:tc>
          <w:tcPr/>
          <w:p>
            <w:pPr>
              <w:pStyle w:val="Compact"/>
              <w:jc w:val="left"/>
            </w:pPr>
            <w:r>
              <w:t xml:space="preserve">16,3%</w:t>
            </w:r>
          </w:p>
        </w:tc>
      </w:tr>
      <w:tr>
        <w:tc>
          <w:tcPr/>
          <w:p>
            <w:pPr>
              <w:pStyle w:val="Compact"/>
              <w:jc w:val="left"/>
            </w:pPr>
            <w:r>
              <w:t xml:space="preserve">Nivel socioeconómico</w:t>
            </w:r>
          </w:p>
        </w:tc>
        <w:tc>
          <w:tcPr/>
          <w:p>
            <w:pPr>
              <w:pStyle w:val="Compact"/>
              <w:jc w:val="left"/>
            </w:pPr>
            <w:r>
              <w:t xml:space="preserve">C2 49,7% y ABC1 34,2%</w:t>
            </w:r>
          </w:p>
        </w:tc>
        <w:tc>
          <w:tcPr/>
          <w:p>
            <w:pPr>
              <w:pStyle w:val="Compact"/>
              <w:jc w:val="left"/>
            </w:pPr>
            <w:r>
              <w:t xml:space="preserve">C2 55,9% y C3 28,6%</w:t>
            </w:r>
          </w:p>
        </w:tc>
        <w:tc>
          <w:tcPr/>
          <w:p>
            <w:pPr>
              <w:pStyle w:val="Compact"/>
              <w:jc w:val="left"/>
            </w:pPr>
            <w:r>
              <w:t xml:space="preserve">C3 47,3% y D+E 30,5%</w:t>
            </w:r>
          </w:p>
        </w:tc>
        <w:tc>
          <w:tcPr/>
          <w:p>
            <w:pPr>
              <w:pStyle w:val="Compact"/>
              <w:jc w:val="left"/>
            </w:pPr>
            <w:r>
              <w:t xml:space="preserve">C2 42,9% y ABC1 24,5%</w:t>
            </w:r>
          </w:p>
        </w:tc>
      </w:tr>
      <w:tr>
        <w:tc>
          <w:tcPr/>
          <w:p>
            <w:pPr>
              <w:pStyle w:val="Compact"/>
              <w:jc w:val="left"/>
            </w:pPr>
            <w:r>
              <w:t xml:space="preserve">Barrera principal</w:t>
            </w:r>
          </w:p>
        </w:tc>
        <w:tc>
          <w:tcPr/>
          <w:p>
            <w:pPr>
              <w:pStyle w:val="Compact"/>
              <w:jc w:val="left"/>
            </w:pPr>
            <w:r>
              <w:t xml:space="preserve">Nada me frena (42,9%)</w:t>
            </w:r>
          </w:p>
        </w:tc>
        <w:tc>
          <w:tcPr/>
          <w:p>
            <w:pPr>
              <w:pStyle w:val="Compact"/>
              <w:jc w:val="left"/>
            </w:pPr>
            <w:r>
              <w:t xml:space="preserve">Falta de tiempo (36,0%)</w:t>
            </w:r>
          </w:p>
        </w:tc>
        <w:tc>
          <w:tcPr/>
          <w:p>
            <w:pPr>
              <w:pStyle w:val="Compact"/>
              <w:jc w:val="left"/>
            </w:pPr>
            <w:r>
              <w:t xml:space="preserve">Falta de tiempo (34,4%)</w:t>
            </w:r>
          </w:p>
        </w:tc>
        <w:tc>
          <w:tcPr/>
          <w:p>
            <w:pPr>
              <w:pStyle w:val="Compact"/>
              <w:jc w:val="left"/>
            </w:pPr>
            <w:r>
              <w:t xml:space="preserve">Falta de tiempo (46,9%)</w:t>
            </w:r>
          </w:p>
        </w:tc>
      </w:tr>
      <w:tr>
        <w:tc>
          <w:tcPr/>
          <w:p>
            <w:pPr>
              <w:pStyle w:val="Compact"/>
              <w:jc w:val="left"/>
            </w:pPr>
            <w:r>
              <w:t xml:space="preserve">Falta de confianza</w:t>
            </w:r>
          </w:p>
        </w:tc>
        <w:tc>
          <w:tcPr/>
          <w:p>
            <w:pPr>
              <w:pStyle w:val="Compact"/>
              <w:jc w:val="left"/>
            </w:pPr>
            <w:r>
              <w:t xml:space="preserve">6,8%</w:t>
            </w:r>
          </w:p>
        </w:tc>
        <w:tc>
          <w:tcPr/>
          <w:p>
            <w:pPr>
              <w:pStyle w:val="Compact"/>
              <w:jc w:val="left"/>
            </w:pPr>
            <w:r>
              <w:t xml:space="preserve">5,6%</w:t>
            </w:r>
          </w:p>
        </w:tc>
        <w:tc>
          <w:tcPr/>
          <w:p>
            <w:pPr>
              <w:pStyle w:val="Compact"/>
              <w:jc w:val="left"/>
            </w:pPr>
            <w:r>
              <w:t xml:space="preserve">18,3%</w:t>
            </w:r>
          </w:p>
        </w:tc>
        <w:tc>
          <w:tcPr/>
          <w:p>
            <w:pPr>
              <w:pStyle w:val="Compact"/>
              <w:jc w:val="left"/>
            </w:pPr>
            <w:r>
              <w:t xml:space="preserve">10,2%</w:t>
            </w:r>
          </w:p>
        </w:tc>
      </w:tr>
      <w:tr>
        <w:tc>
          <w:tcPr/>
          <w:p>
            <w:pPr>
              <w:pStyle w:val="Compact"/>
              <w:jc w:val="left"/>
            </w:pPr>
            <w:r>
              <w:t xml:space="preserve">Falta de conocimientos</w:t>
            </w:r>
          </w:p>
        </w:tc>
        <w:tc>
          <w:tcPr/>
          <w:p>
            <w:pPr>
              <w:pStyle w:val="Compact"/>
              <w:jc w:val="left"/>
            </w:pPr>
            <w:r>
              <w:t xml:space="preserve">13,7%</w:t>
            </w:r>
          </w:p>
        </w:tc>
        <w:tc>
          <w:tcPr/>
          <w:p>
            <w:pPr>
              <w:pStyle w:val="Compact"/>
              <w:jc w:val="left"/>
            </w:pPr>
            <w:r>
              <w:t xml:space="preserve">19,9%</w:t>
            </w:r>
          </w:p>
        </w:tc>
        <w:tc>
          <w:tcPr/>
          <w:p>
            <w:pPr>
              <w:pStyle w:val="Compact"/>
              <w:jc w:val="left"/>
            </w:pPr>
            <w:r>
              <w:t xml:space="preserve">23,7%</w:t>
            </w:r>
          </w:p>
        </w:tc>
        <w:tc>
          <w:tcPr/>
          <w:p>
            <w:pPr>
              <w:pStyle w:val="Compact"/>
              <w:jc w:val="left"/>
            </w:pPr>
            <w:r>
              <w:t xml:space="preserve">6,1%</w:t>
            </w:r>
          </w:p>
        </w:tc>
      </w:tr>
      <w:tr>
        <w:tc>
          <w:tcPr/>
          <w:p>
            <w:pPr>
              <w:pStyle w:val="Compact"/>
              <w:jc w:val="left"/>
            </w:pPr>
            <w:r>
              <w:t xml:space="preserve">Interés en formato móvil</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0%</w:t>
            </w:r>
          </w:p>
        </w:tc>
      </w:tr>
      <w:tr>
        <w:tc>
          <w:tcPr/>
          <w:p>
            <w:pPr>
              <w:pStyle w:val="Compact"/>
              <w:jc w:val="left"/>
            </w:pPr>
            <w:r>
              <w:t xml:space="preserve">Apoyos solicitados en promedio</w:t>
            </w:r>
          </w:p>
        </w:tc>
        <w:tc>
          <w:tcPr/>
          <w:p>
            <w:pPr>
              <w:pStyle w:val="Compact"/>
              <w:jc w:val="left"/>
            </w:pPr>
            <w:r>
              <w:t xml:space="preserve">1,37</w:t>
            </w:r>
          </w:p>
        </w:tc>
        <w:tc>
          <w:tcPr/>
          <w:p>
            <w:pPr>
              <w:pStyle w:val="Compact"/>
              <w:jc w:val="left"/>
            </w:pPr>
            <w:r>
              <w:t xml:space="preserve">1,34</w:t>
            </w:r>
          </w:p>
        </w:tc>
        <w:tc>
          <w:tcPr/>
          <w:p>
            <w:pPr>
              <w:pStyle w:val="Compact"/>
              <w:jc w:val="left"/>
            </w:pPr>
            <w:r>
              <w:t xml:space="preserve">1,48</w:t>
            </w:r>
          </w:p>
        </w:tc>
        <w:tc>
          <w:tcPr/>
          <w:p>
            <w:pPr>
              <w:pStyle w:val="Compact"/>
              <w:jc w:val="left"/>
            </w:pPr>
            <w:r>
              <w:t xml:space="preserve">0,63</w:t>
            </w:r>
          </w:p>
        </w:tc>
      </w:tr>
      <w:tr>
        <w:tc>
          <w:tcPr/>
          <w:p>
            <w:pPr>
              <w:pStyle w:val="Compact"/>
              <w:jc w:val="left"/>
            </w:pPr>
            <w:r>
              <w:t xml:space="preserve">No necesita ayuda</w:t>
            </w:r>
          </w:p>
        </w:tc>
        <w:tc>
          <w:tcPr/>
          <w:p>
            <w:pPr>
              <w:pStyle w:val="Compact"/>
              <w:jc w:val="left"/>
            </w:pPr>
            <w:r>
              <w:t xml:space="preserve">5,6%</w:t>
            </w:r>
          </w:p>
        </w:tc>
        <w:tc>
          <w:tcPr/>
          <w:p>
            <w:pPr>
              <w:pStyle w:val="Compact"/>
              <w:jc w:val="left"/>
            </w:pPr>
            <w:r>
              <w:t xml:space="preserve">9,9%</w:t>
            </w:r>
          </w:p>
        </w:tc>
        <w:tc>
          <w:tcPr/>
          <w:p>
            <w:pPr>
              <w:pStyle w:val="Compact"/>
              <w:jc w:val="left"/>
            </w:pPr>
            <w:r>
              <w:t xml:space="preserve">6,9%</w:t>
            </w:r>
          </w:p>
        </w:tc>
        <w:tc>
          <w:tcPr/>
          <w:p>
            <w:pPr>
              <w:pStyle w:val="Compact"/>
              <w:jc w:val="left"/>
            </w:pPr>
            <w:r>
              <w:t xml:space="preserve">46,9%</w:t>
            </w:r>
          </w:p>
        </w:tc>
      </w:tr>
    </w:tbl>
    <w:p>
      <w:pPr>
        <w:pStyle w:val="BodyText"/>
      </w:pPr>
      <w:r>
        <w:rPr>
          <w:bCs/>
          <w:b/>
        </w:rPr>
        <w:t xml:space="preserve">Conglomerado A: hombres profesionales sin barreras declaradas.</w:t>
      </w:r>
      <w:r>
        <w:t xml:space="preserve"> </w:t>
      </w:r>
      <w:r>
        <w:t xml:space="preserve">Reúne a 161 hombres de 31 a 60 años, con la composición socioeconómica más alta del módulo (83,9% entre C2 y ABC1) y ocupaciones administrativas o profesionales independientes. Es el grupo con mayor proporción de personas que declaran que nada las frena (42,9%) y con las tasas más bajas de falta de confianza y de conocimientos. Su demanda de apoyo es de intensidad media y se distingue por una particularidad: el contacto con empresas alcanza aquí un 33,5%, la tasa más alta de los cuatro grupos y muy por encima del 20,5% del conglomerado B. El perfil corresponde a personas que se mueven en el mercado laboral desde una posición de relativa seguridad y cuya necesidad declarada se orienta a la gestión de contactos antes que a la adquisición de habilidades.</w:t>
      </w:r>
    </w:p>
    <w:p>
      <w:pPr>
        <w:pStyle w:val="BodyText"/>
      </w:pPr>
      <w:r>
        <w:rPr>
          <w:bCs/>
          <w:b/>
        </w:rPr>
        <w:t xml:space="preserve">Conglomerado B: mujeres profesionales jóvenes con restricción de agenda.</w:t>
      </w:r>
      <w:r>
        <w:t xml:space="preserve"> </w:t>
      </w:r>
      <w:r>
        <w:t xml:space="preserve">Reúne a 161 mujeres, es el grupo más joven del módulo (61,5% menor de 41 años) y presenta un perfil educacional equivalente al del conglomerado A pero una composición socioeconómica algo menor. Sus barreras se reparten casi por igual entre la falta de tiempo (36,0%) y la ausencia de barreras (35,4%), con una tasa de falta de conocimientos superior a la del conglomerado A (19,9% frente a 13,7%) pese a un nivel educacional equivalente. Su demanda se concentra en el currículum (41,0%) y la búsqueda de ofertas (39,8%), y es el grupo que menos solicita contacto con empresas (20,5%). El contraste con el conglomerado A resulta informativo precisamente porque ambos comparten educación y ocupación: la diferencia entre uno y otro no está en la posición objetiva sino en lo que declaran necesitar y en cómo evalúan su propia competencia.</w:t>
      </w:r>
    </w:p>
    <w:p>
      <w:pPr>
        <w:pStyle w:val="BodyText"/>
      </w:pPr>
      <w:r>
        <w:rPr>
          <w:bCs/>
          <w:b/>
        </w:rPr>
        <w:t xml:space="preserve">Conglomerado C: el segmento de mayor vulnerabilidad.</w:t>
      </w:r>
      <w:r>
        <w:t xml:space="preserve"> </w:t>
      </w:r>
      <w:r>
        <w:t xml:space="preserve">Reúne a 131 personas de ambos sexos y concentra las marcas de precariedad del módulo: educación media completa en un 80,9%, nivel socioeconómico C3 o D+E en un 77,8%, ocupaciones en trabajos menores e informales u oficios en proporción superior a la de los demás grupos, y la mayor concentración etaria en los tramos de 41 a 60 años (75,6%). Es el grupo con las tasas más altas de falta de confianza (18,3%) y de falta de conocimientos (23,7%), y al mismo tiempo el que declara la mayor demanda de apoyo, con 1,48 selecciones en promedio y un 48,1% que solicita ayuda para buscar ofertas de trabajo, la tasa más alta de la tabla. La combinación es la que mejor define su prioridad: es el segmento que más necesita, el que más declara necesitar y el que enfrenta las mayores barreras de autopercepción. Su interés en el formato móvil es total.</w:t>
      </w:r>
    </w:p>
    <w:p>
      <w:pPr>
        <w:pStyle w:val="BodyText"/>
      </w:pPr>
      <w:r>
        <w:rPr>
          <w:bCs/>
          <w:b/>
        </w:rPr>
        <w:t xml:space="preserve">Conglomerado D: baja necesidad declarada.</w:t>
      </w:r>
      <w:r>
        <w:t xml:space="preserve"> </w:t>
      </w:r>
      <w:r>
        <w:t xml:space="preserve">Reúne a 49 personas y agrupa por construcción a quienes respondieron que no les resultaría atractivo el formato móvil. Su caracterización interna, sin embargo, aporta información que la sola respuesta negativa no entrega. Un 46,9% de este grupo declara no necesitar ninguna ayuda en la búsqueda de empleo, frente a valores de entre 5,6% y 9,9% en los otros tres conglomerados, y su promedio de apoyos solicitados es de 0,63 frente a valores en torno a 1,4 en el resto. Es decir, no se trata de un grupo que necesite ayuda y rechace un canal específico, sino de un grupo que declara no necesitar ayuda en general. Su barrera dominante es la falta de tiempo (46,9%, la más alta del módulo) y su composición socioeconómica es alta. La implicancia para el diseño es que no corresponde tratarlo como un problema de canal a resolver con formatos alternativos, sino como un segmento de baja demanda declarada.</w:t>
      </w:r>
    </w:p>
    <w:p>
      <w:pPr>
        <w:pStyle w:val="BodyText"/>
      </w:pPr>
      <w:r>
        <w:t xml:space="preserve">Figura 22. Apoyo solicitado en la búsqueda de empleo, según conglomerado</w:t>
      </w:r>
    </w:p>
    <w:p>
      <w:pPr>
        <w:pStyle w:val="BodyText"/>
      </w:pPr>
      <w:r>
        <w:drawing>
          <wp:inline>
            <wp:extent cx="5334000" cy="2524157"/>
            <wp:effectExtent b="0" l="0" r="0" t="0"/>
            <wp:docPr descr="" title="" id="107" name="Picture"/>
            <a:graphic>
              <a:graphicData uri="http://schemas.openxmlformats.org/drawingml/2006/picture">
                <pic:pic>
                  <pic:nvPicPr>
                    <pic:cNvPr descr="fig/comp_cluster_x_apoyo.png" id="108" name="Picture"/>
                    <pic:cNvPicPr>
                      <a:picLocks noChangeArrowheads="1" noChangeAspect="1"/>
                    </pic:cNvPicPr>
                  </pic:nvPicPr>
                  <pic:blipFill>
                    <a:blip r:embed="rId106"/>
                    <a:stretch>
                      <a:fillRect/>
                    </a:stretch>
                  </pic:blipFill>
                  <pic:spPr bwMode="auto">
                    <a:xfrm>
                      <a:off x="0" y="0"/>
                      <a:ext cx="5334000" cy="2524157"/>
                    </a:xfrm>
                    <a:prstGeom prst="rect">
                      <a:avLst/>
                    </a:prstGeom>
                    <a:noFill/>
                    <a:ln w="9525">
                      <a:noFill/>
                      <a:headEnd/>
                      <a:tailEnd/>
                    </a:ln>
                  </pic:spPr>
                </pic:pic>
              </a:graphicData>
            </a:graphic>
          </wp:inline>
        </w:drawing>
      </w:r>
    </w:p>
    <w:p>
      <w:pPr>
        <w:pStyle w:val="BodyText"/>
      </w:pPr>
      <w:r>
        <w:t xml:space="preserve">La Figura 22 sintetiza la lectura del módulo. Los tres primeros conglomerados presentan perfiles de demanda similares en su nivel general, con diferencias de énfasis que sí importan para el diseño: contacto con empresas en el primero, currículum en el segundo, búsqueda de ofertas en el tercero. El cuarto se separa de los tres por una caída simultánea en todos los apoyos y un salto en la opción que declara no necesitar ninguno. La partición útil de esta submuestra, igual que en el módulo de pequeña empresa, no es entre cuatro tipos de persona sino entre quienes declaran una necesidad concreta, que son nueve de cada diez, y quienes no la declaran.</w:t>
      </w:r>
    </w:p>
    <w:bookmarkEnd w:id="109"/>
    <w:bookmarkEnd w:id="110"/>
    <w:bookmarkStart w:id="127" w:name="X6dbd071f7b30ab50f63d16d1d71fa726910d612"/>
    <w:p>
      <w:pPr>
        <w:pStyle w:val="Heading1"/>
      </w:pPr>
      <w:r>
        <w:t xml:space="preserve">La clasificación de situación laboral: versión detallada y versión agrupada</w:t>
      </w:r>
    </w:p>
    <w:p>
      <w:pPr>
        <w:pStyle w:val="FirstParagraph"/>
      </w:pPr>
      <w:r>
        <w:t xml:space="preserve">Ambos módulos registran la ocupación mediante la clasificación de diez categorías de AIM (2024a), que es la utilizada en todas las secciones anteriores. Esa clasificación presenta dos problemas prácticos: tres de sus categorías quedan fuera del ordenamiento jerárquico documentado, y el número elevado de categorías reparte los casos de cada submuestra en grupos demasiado pequeños para describir diferencias con confianza. Por esa razón no se reporta ningún cruce basado en la versión detallada.</w:t>
      </w:r>
    </w:p>
    <w:p>
      <w:pPr>
        <w:pStyle w:val="BodyText"/>
      </w:pPr>
      <w:r>
        <w:t xml:space="preserve">Para evaluar si el problema es atribuible al nivel de detalle de la variable, se construyó una recodificación en cuatro categorías de situación laboral y se replicó con ella el conjunto de análisis. La categoría empleado agrupa toda ocupación con actividad laboral remunerada, formal o informal, con o sin jerarquía definida, e incluye las tres categorías que quedaban fuera del ordenamiento. La categoría desempleado corresponde exactamente a quienes se declaran cesantes. La categoría estudiante se mantiene sin cambios. La categoría inactivo agrupa a quienes no participan del mercado laboral por una razón distinta al desempleo, es decir personas dueñas de casa y jubiladas. La variable original se conserva íntegra: ambas versiones coexisten y son analizables en paralelo.</w:t>
      </w:r>
    </w:p>
    <w:bookmarkStart w:id="114" w:name="distribución-en-los-dos-módulos"/>
    <w:p>
      <w:pPr>
        <w:pStyle w:val="Heading2"/>
      </w:pPr>
      <w:r>
        <w:t xml:space="preserve">Distribución en los dos módulos</w:t>
      </w:r>
    </w:p>
    <w:p>
      <w:pPr>
        <w:pStyle w:val="FirstParagraph"/>
      </w:pPr>
      <w:r>
        <w:t xml:space="preserve">Figura 23. Situación laboral agrupada en los dos módulos</w:t>
      </w:r>
    </w:p>
    <w:p>
      <w:pPr>
        <w:pStyle w:val="BodyText"/>
      </w:pPr>
      <w:r>
        <w:drawing>
          <wp:inline>
            <wp:extent cx="5334000" cy="2784935"/>
            <wp:effectExtent b="0" l="0" r="0" t="0"/>
            <wp:docPr descr="" title="" id="112" name="Picture"/>
            <a:graphic>
              <a:graphicData uri="http://schemas.openxmlformats.org/drawingml/2006/picture">
                <pic:pic>
                  <pic:nvPicPr>
                    <pic:cNvPr descr="fig/estado_laboral_comparado.png" id="113" name="Picture"/>
                    <pic:cNvPicPr>
                      <a:picLocks noChangeArrowheads="1" noChangeAspect="1"/>
                    </pic:cNvPicPr>
                  </pic:nvPicPr>
                  <pic:blipFill>
                    <a:blip r:embed="rId111"/>
                    <a:stretch>
                      <a:fillRect/>
                    </a:stretch>
                  </pic:blipFill>
                  <pic:spPr bwMode="auto">
                    <a:xfrm>
                      <a:off x="0" y="0"/>
                      <a:ext cx="5334000" cy="2784935"/>
                    </a:xfrm>
                    <a:prstGeom prst="rect">
                      <a:avLst/>
                    </a:prstGeom>
                    <a:noFill/>
                    <a:ln w="9525">
                      <a:noFill/>
                      <a:headEnd/>
                      <a:tailEnd/>
                    </a:ln>
                  </pic:spPr>
                </pic:pic>
              </a:graphicData>
            </a:graphic>
          </wp:inline>
        </w:drawing>
      </w:r>
    </w:p>
    <w:p>
      <w:pPr>
        <w:pStyle w:val="BodyText"/>
      </w:pPr>
      <w:r>
        <w:t xml:space="preserve">La recodificación revela una diferencia estructural entre las dos submuestras que la clasificación detallada dejaba dispersa entre diez categorías. En el módulo de pequeña empresa la categoría empleado alcanza un 69,0% (n=254) y la categoría inactivo un 18,5% (n=68). En el módulo de empleabilidad la categoría empleado alcanza un 79,1% (n=398) y la categoría inactivo apenas un 7,0% (n=35). Dicho de otro modo, la proporción de personas fuera del mercado laboral por razones distintas al desempleo es casi tres veces mayor entre quienes tienen un negocio pequeño, lo que resulta coherente con el hallazgo ya reportado de que buena parte de las personas propietarias combina el negocio con roles de dueña de casa o de persona jubilada como ocupación principal declarada.</w:t>
      </w:r>
    </w:p>
    <w:p>
      <w:pPr>
        <w:pStyle w:val="BodyText"/>
      </w:pPr>
      <w:r>
        <w:t xml:space="preserve">En el módulo de empleabilidad, la recodificación confirma con una sola cifra lo que la clasificación detallada obligaba a reconstruir sumando categorías: sólo una de cada diez personas encuestadas está desempleada, y casi ocho de cada diez ya trabajan.</w:t>
      </w:r>
    </w:p>
    <w:bookmarkEnd w:id="114"/>
    <w:bookmarkStart w:id="121" w:name="X2d4ed4562378a336bf924d67d1f0e4e2f7c3d93"/>
    <w:p>
      <w:pPr>
        <w:pStyle w:val="Heading2"/>
      </w:pPr>
      <w:r>
        <w:t xml:space="preserve">Qué permite describir la versión agrupada en pequeña empresa</w:t>
      </w:r>
    </w:p>
    <w:p>
      <w:pPr>
        <w:pStyle w:val="FirstParagraph"/>
      </w:pPr>
      <w:r>
        <w:t xml:space="preserve">La ventaja práctica de la agrupación es que las cuatro categorías reúnen suficientes casos para describir sus diferencias, cosa que las diez categorías originales no permitían.</w:t>
      </w:r>
    </w:p>
    <w:p>
      <w:pPr>
        <w:pStyle w:val="BodyText"/>
      </w:pPr>
      <w:r>
        <w:t xml:space="preserve">Figura 24. Tarea que consume más tiempo, según situación laboral agrupada</w:t>
      </w:r>
    </w:p>
    <w:p>
      <w:pPr>
        <w:pStyle w:val="BodyText"/>
      </w:pPr>
      <w:r>
        <w:drawing>
          <wp:inline>
            <wp:extent cx="5334000" cy="1587280"/>
            <wp:effectExtent b="0" l="0" r="0" t="0"/>
            <wp:docPr descr="" title="" id="116" name="Picture"/>
            <a:graphic>
              <a:graphicData uri="http://schemas.openxmlformats.org/drawingml/2006/picture">
                <pic:pic>
                  <pic:nvPicPr>
                    <pic:cNvPr descr="fig/pymes_estado_laboral_x_p01.png" id="117" name="Picture"/>
                    <pic:cNvPicPr>
                      <a:picLocks noChangeArrowheads="1" noChangeAspect="1"/>
                    </pic:cNvPicPr>
                  </pic:nvPicPr>
                  <pic:blipFill>
                    <a:blip r:embed="rId115"/>
                    <a:stretch>
                      <a:fillRect/>
                    </a:stretch>
                  </pic:blipFill>
                  <pic:spPr bwMode="auto">
                    <a:xfrm>
                      <a:off x="0" y="0"/>
                      <a:ext cx="5334000" cy="1587280"/>
                    </a:xfrm>
                    <a:prstGeom prst="rect">
                      <a:avLst/>
                    </a:prstGeom>
                    <a:noFill/>
                    <a:ln w="9525">
                      <a:noFill/>
                      <a:headEnd/>
                      <a:tailEnd/>
                    </a:ln>
                  </pic:spPr>
                </pic:pic>
              </a:graphicData>
            </a:graphic>
          </wp:inline>
        </w:drawing>
      </w:r>
    </w:p>
    <w:p>
      <w:pPr>
        <w:pStyle w:val="BodyText"/>
      </w:pPr>
      <w:r>
        <w:t xml:space="preserve">Atender clientes es máxima entre quienes están empleados (31,9%) y mínima entre quienes están desempleados (12,0%). Hacer publicidad es la carga dominante para quienes están desempleados (40,0%) y para quienes estudian (38,1%), casi el doble que entre quienes están empleados (24,0%). La respuesta que indica que ninguna tarea consume tiempo relevante es máxima entre las personas inactivas (26,5%). La lectura es que los segmentos sin trabajo activo, para quienes el negocio es la única fuente de ingreso, reportan más carga de captación, mientras el segmento inactivo opera negocios de menor intensidad. Corresponde señalar que las categorías desempleado y estudiante reúnen 25 y 21 casos respectivamente, de modo que sus porcentajes se mueven de manera apreciable con cada respuesta individual.</w:t>
      </w:r>
    </w:p>
    <w:p>
      <w:pPr>
        <w:pStyle w:val="BodyText"/>
      </w:pPr>
      <w:r>
        <w:t xml:space="preserve">Figura 25. Principal fuente de ayuda, según situación laboral agrupada</w:t>
      </w:r>
    </w:p>
    <w:p>
      <w:pPr>
        <w:pStyle w:val="BodyText"/>
      </w:pPr>
      <w:r>
        <w:drawing>
          <wp:inline>
            <wp:extent cx="5334000" cy="1570972"/>
            <wp:effectExtent b="0" l="0" r="0" t="0"/>
            <wp:docPr descr="" title="" id="119" name="Picture"/>
            <a:graphic>
              <a:graphicData uri="http://schemas.openxmlformats.org/drawingml/2006/picture">
                <pic:pic>
                  <pic:nvPicPr>
                    <pic:cNvPr descr="fig/pymes_estado_laboral_x_p02.png" id="120" name="Picture"/>
                    <pic:cNvPicPr>
                      <a:picLocks noChangeArrowheads="1" noChangeAspect="1"/>
                    </pic:cNvPicPr>
                  </pic:nvPicPr>
                  <pic:blipFill>
                    <a:blip r:embed="rId118"/>
                    <a:stretch>
                      <a:fillRect/>
                    </a:stretch>
                  </pic:blipFill>
                  <pic:spPr bwMode="auto">
                    <a:xfrm>
                      <a:off x="0" y="0"/>
                      <a:ext cx="5334000" cy="1570972"/>
                    </a:xfrm>
                    <a:prstGeom prst="rect">
                      <a:avLst/>
                    </a:prstGeom>
                    <a:noFill/>
                    <a:ln w="9525">
                      <a:noFill/>
                      <a:headEnd/>
                      <a:tailEnd/>
                    </a:ln>
                  </pic:spPr>
                </pic:pic>
              </a:graphicData>
            </a:graphic>
          </wp:inline>
        </w:drawing>
      </w:r>
    </w:p>
    <w:p>
      <w:pPr>
        <w:pStyle w:val="BodyText"/>
      </w:pPr>
      <w:r>
        <w:t xml:space="preserve">El recurso a SERCOTEC u otra institución pública es de 0,0% tanto entre quienes están desempleados como entre quienes estudian. Ese mismo valor aparecía en la clasificación detallada para las categorías individuales correspondientes, donde podía atribuirse al reducido tamaño de esas categorías. Al reproducirse en la versión agrupada, con grupos de mayor tamaño, resulta más difícil sostener que se trate únicamente de un efecto de tamaño. La dependencia de la familia y los amigos, por su parte, es máxima entre las personas inactivas (61,8%) y mínima entre quienes estudian (42,9%).</w:t>
      </w:r>
    </w:p>
    <w:p>
      <w:pPr>
        <w:pStyle w:val="BodyText"/>
      </w:pPr>
      <w:r>
        <w:t xml:space="preserve">En cuanto a las barreras declaradas, la falta de clientes alcanza un 28,0% entre quienes están desempleados, más del doble que entre quienes están empleados (12,6%), mientras la falta de tiempo es máxima entre quienes estudian (19,0%) y mínima entre las personas inactivas (5,9%). La disposición binaria a aprender, en cambio, se homogeniza notablemente: el rango entre categorías se reduce a 3,4 puntos porcentuales con la variable agrupada, frente a 13,5 puntos con la clasificación detallada, diferencia que estaba producida por categorías de tamaño muy reducido.</w:t>
      </w:r>
    </w:p>
    <w:p>
      <w:pPr>
        <w:pStyle w:val="BodyText"/>
      </w:pPr>
      <w:r>
        <w:t xml:space="preserve">El efecto de la agrupación sobre la segmentación por conglomerados es distinto. Al repetir el procedimiento sustituyendo una variable por la otra, los grupos se recomponen: sólo uno de los cuatro conglomerados conserva una correspondencia alta con su equivalente, mientras los demás se reparten entre dos y tres grupos distintos. La ocupación detallada aportaba, por lo tanto, información propia a la segmentación de este módulo, información que la versión agrupada no reproduce.</w:t>
      </w:r>
    </w:p>
    <w:bookmarkEnd w:id="121"/>
    <w:bookmarkStart w:id="125" w:name="Xcc54c2d0a4d7434a6d55b8d9646f30379e6b942"/>
    <w:p>
      <w:pPr>
        <w:pStyle w:val="Heading2"/>
      </w:pPr>
      <w:r>
        <w:t xml:space="preserve">Qué permite describir la versión agrupada en empleabilidad</w:t>
      </w:r>
    </w:p>
    <w:p>
      <w:pPr>
        <w:pStyle w:val="FirstParagraph"/>
      </w:pPr>
      <w:r>
        <w:t xml:space="preserve">Figura 26. Demanda de apoyo activo, según situación laboral agrupada</w:t>
      </w:r>
    </w:p>
    <w:p>
      <w:pPr>
        <w:pStyle w:val="BodyText"/>
      </w:pPr>
      <w:r>
        <w:drawing>
          <wp:inline>
            <wp:extent cx="5334000" cy="2714695"/>
            <wp:effectExtent b="0" l="0" r="0" t="0"/>
            <wp:docPr descr="" title="" id="123" name="Picture"/>
            <a:graphic>
              <a:graphicData uri="http://schemas.openxmlformats.org/drawingml/2006/picture">
                <pic:pic>
                  <pic:nvPicPr>
                    <pic:cNvPr descr="fig/comp_estado_laboral_x_apoyo.png" id="124" name="Picture"/>
                    <pic:cNvPicPr>
                      <a:picLocks noChangeArrowheads="1" noChangeAspect="1"/>
                    </pic:cNvPicPr>
                  </pic:nvPicPr>
                  <pic:blipFill>
                    <a:blip r:embed="rId122"/>
                    <a:stretch>
                      <a:fillRect/>
                    </a:stretch>
                  </pic:blipFill>
                  <pic:spPr bwMode="auto">
                    <a:xfrm>
                      <a:off x="0" y="0"/>
                      <a:ext cx="5334000" cy="2714695"/>
                    </a:xfrm>
                    <a:prstGeom prst="rect">
                      <a:avLst/>
                    </a:prstGeom>
                    <a:noFill/>
                    <a:ln w="9525">
                      <a:noFill/>
                      <a:headEnd/>
                      <a:tailEnd/>
                    </a:ln>
                  </pic:spPr>
                </pic:pic>
              </a:graphicData>
            </a:graphic>
          </wp:inline>
        </w:drawing>
      </w:r>
    </w:p>
    <w:p>
      <w:pPr>
        <w:pStyle w:val="BodyText"/>
      </w:pPr>
      <w:r>
        <w:t xml:space="preserve">La agrupación ordena aquí a las cuatro categorías de manera coherente en la variable central del módulo: un 98,0% de quienes están desempleados solicita al menos un apoyo activo en la búsqueda de empleo, frente a un 89,2% de quienes están empleados, un 84,2% de quienes estudian y un 80,0% de las personas inactivas. La gradación es intuitiva y su extremo superior es el esperable, aunque las categorías estudiante e inactivo reúnen 19 y 35 casos respectivamente.</w:t>
      </w:r>
    </w:p>
    <w:p>
      <w:pPr>
        <w:pStyle w:val="BodyText"/>
      </w:pPr>
      <w:r>
        <w:t xml:space="preserve">En sentido inverso, la barrera declarada para aprender herramientas digitales se distribuye de manera más pareja entre las cuatro categorías agrupadas que entre las diez originales. La interpretación es que la heterogeneidad relevante para esa variable reside en la distinción fina entre tipos de ocupación y no en el contraste entre estar empleado, desempleado, estudiando o inactivo.</w:t>
      </w:r>
    </w:p>
    <w:p>
      <w:pPr>
        <w:pStyle w:val="BodyText"/>
      </w:pPr>
      <w:r>
        <w:t xml:space="preserve">A diferencia de lo ocurrido en el módulo de pequeña empresa, la segmentación por conglomerados se preserva casi intacta al sustituir una variable por la otra: cada conglomerado mapea a un único grupo de la nueva versión con correspondencias de entre 92% y 99%. Esto indica que la ocupación no era el factor que definía la segmentación de este módulo, y confirma por una vía independiente lo señalado antes: los grupos estaban determinados principalmente por el sexo y por el interés en formación móvil.</w:t>
      </w:r>
    </w:p>
    <w:bookmarkEnd w:id="125"/>
    <w:bookmarkStart w:id="126" w:name="síntesis-comparativa"/>
    <w:p>
      <w:pPr>
        <w:pStyle w:val="Heading2"/>
      </w:pPr>
      <w:r>
        <w:t xml:space="preserve">Síntesis comparativa</w:t>
      </w:r>
    </w:p>
    <w:p>
      <w:pPr>
        <w:pStyle w:val="FirstParagraph"/>
      </w:pPr>
      <w:r>
        <w:t xml:space="preserve">Tabla 4. Comparación entre la clasificación ocupacional detallada y la agrupada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Dimensión</w:t>
            </w:r>
          </w:p>
        </w:tc>
        <w:tc>
          <w:tcPr/>
          <w:p>
            <w:pPr>
              <w:pStyle w:val="Compact"/>
              <w:jc w:val="left"/>
            </w:pPr>
            <w:r>
              <w:t xml:space="preserve">Módulo pequeña empresa</w:t>
            </w:r>
          </w:p>
        </w:tc>
        <w:tc>
          <w:tcPr/>
          <w:p>
            <w:pPr>
              <w:pStyle w:val="Compact"/>
              <w:jc w:val="left"/>
            </w:pPr>
            <w:r>
              <w:t xml:space="preserve">Módulo empleabilidad</w:t>
            </w:r>
          </w:p>
        </w:tc>
      </w:tr>
      <w:tr>
        <w:tc>
          <w:tcPr/>
          <w:p>
            <w:pPr>
              <w:pStyle w:val="Compact"/>
              <w:jc w:val="left"/>
            </w:pPr>
            <w:r>
              <w:t xml:space="preserve">Categorías</w:t>
            </w:r>
          </w:p>
        </w:tc>
        <w:tc>
          <w:tcPr/>
          <w:p>
            <w:pPr>
              <w:pStyle w:val="Compact"/>
              <w:jc w:val="left"/>
            </w:pPr>
            <w:r>
              <w:t xml:space="preserve">10 detalladas / 4 agrupadas</w:t>
            </w:r>
          </w:p>
        </w:tc>
        <w:tc>
          <w:tcPr/>
          <w:p>
            <w:pPr>
              <w:pStyle w:val="Compact"/>
              <w:jc w:val="left"/>
            </w:pPr>
            <w:r>
              <w:t xml:space="preserve">10 detalladas / 4 agrupadas</w:t>
            </w:r>
          </w:p>
        </w:tc>
      </w:tr>
      <w:tr>
        <w:tc>
          <w:tcPr/>
          <w:p>
            <w:pPr>
              <w:pStyle w:val="Compact"/>
              <w:jc w:val="left"/>
            </w:pPr>
            <w:r>
              <w:t xml:space="preserve">Casos por categoría, versión detallada</w:t>
            </w:r>
          </w:p>
        </w:tc>
        <w:tc>
          <w:tcPr/>
          <w:p>
            <w:pPr>
              <w:pStyle w:val="Compact"/>
              <w:jc w:val="left"/>
            </w:pPr>
            <w:r>
              <w:t xml:space="preserve">Entre 13 y 77</w:t>
            </w:r>
          </w:p>
        </w:tc>
        <w:tc>
          <w:tcPr/>
          <w:p>
            <w:pPr>
              <w:pStyle w:val="Compact"/>
              <w:jc w:val="left"/>
            </w:pPr>
            <w:r>
              <w:t xml:space="preserve">Entre 6 y 155</w:t>
            </w:r>
          </w:p>
        </w:tc>
      </w:tr>
      <w:tr>
        <w:tc>
          <w:tcPr/>
          <w:p>
            <w:pPr>
              <w:pStyle w:val="Compact"/>
              <w:jc w:val="left"/>
            </w:pPr>
            <w:r>
              <w:t xml:space="preserve">Casos por categoría, versión agrupada</w:t>
            </w:r>
          </w:p>
        </w:tc>
        <w:tc>
          <w:tcPr/>
          <w:p>
            <w:pPr>
              <w:pStyle w:val="Compact"/>
              <w:jc w:val="left"/>
            </w:pPr>
            <w:r>
              <w:t xml:space="preserve">Entre 21 y 254</w:t>
            </w:r>
          </w:p>
        </w:tc>
        <w:tc>
          <w:tcPr/>
          <w:p>
            <w:pPr>
              <w:pStyle w:val="Compact"/>
              <w:jc w:val="left"/>
            </w:pPr>
            <w:r>
              <w:t xml:space="preserve">Entre 19 y 398</w:t>
            </w:r>
          </w:p>
        </w:tc>
      </w:tr>
      <w:tr>
        <w:tc>
          <w:tcPr/>
          <w:p>
            <w:pPr>
              <w:pStyle w:val="Compact"/>
              <w:jc w:val="left"/>
            </w:pPr>
            <w:r>
              <w:t xml:space="preserve">Cruces describibles con la versión detallada</w:t>
            </w:r>
          </w:p>
        </w:tc>
        <w:tc>
          <w:tcPr/>
          <w:p>
            <w:pPr>
              <w:pStyle w:val="Compact"/>
              <w:jc w:val="left"/>
            </w:pPr>
            <w:r>
              <w:t xml:space="preserve">Ninguno</w:t>
            </w:r>
          </w:p>
        </w:tc>
        <w:tc>
          <w:tcPr/>
          <w:p>
            <w:pPr>
              <w:pStyle w:val="Compact"/>
              <w:jc w:val="left"/>
            </w:pPr>
            <w:r>
              <w:t xml:space="preserve">Ninguno</w:t>
            </w:r>
          </w:p>
        </w:tc>
      </w:tr>
      <w:tr>
        <w:tc>
          <w:tcPr/>
          <w:p>
            <w:pPr>
              <w:pStyle w:val="Compact"/>
              <w:jc w:val="left"/>
            </w:pPr>
            <w:r>
              <w:t xml:space="preserve">Cruces describibles con la versión agrupada</w:t>
            </w:r>
          </w:p>
        </w:tc>
        <w:tc>
          <w:tcPr/>
          <w:p>
            <w:pPr>
              <w:pStyle w:val="Compact"/>
              <w:jc w:val="left"/>
            </w:pPr>
            <w:r>
              <w:t xml:space="preserve">Tarea, fuente de ayuda y barrera</w:t>
            </w:r>
          </w:p>
        </w:tc>
        <w:tc>
          <w:tcPr/>
          <w:p>
            <w:pPr>
              <w:pStyle w:val="Compact"/>
              <w:jc w:val="left"/>
            </w:pPr>
            <w:r>
              <w:t xml:space="preserve">Demanda de apoyo activo</w:t>
            </w:r>
          </w:p>
        </w:tc>
      </w:tr>
      <w:tr>
        <w:tc>
          <w:tcPr/>
          <w:p>
            <w:pPr>
              <w:pStyle w:val="Compact"/>
              <w:jc w:val="left"/>
            </w:pPr>
            <w:r>
              <w:t xml:space="preserve">Efecto sobre la segmentación</w:t>
            </w:r>
          </w:p>
        </w:tc>
        <w:tc>
          <w:tcPr/>
          <w:p>
            <w:pPr>
              <w:pStyle w:val="Compact"/>
              <w:jc w:val="left"/>
            </w:pPr>
            <w:r>
              <w:t xml:space="preserve">Recompone los grupos</w:t>
            </w:r>
          </w:p>
        </w:tc>
        <w:tc>
          <w:tcPr/>
          <w:p>
            <w:pPr>
              <w:pStyle w:val="Compact"/>
              <w:jc w:val="left"/>
            </w:pPr>
            <w:r>
              <w:t xml:space="preserve">Preserva los grupos (92% a 99%)</w:t>
            </w:r>
          </w:p>
        </w:tc>
      </w:tr>
      <w:tr>
        <w:tc>
          <w:tcPr/>
          <w:p>
            <w:pPr>
              <w:pStyle w:val="Compact"/>
              <w:jc w:val="left"/>
            </w:pPr>
            <w:r>
              <w:t xml:space="preserve">Uso recomendado</w:t>
            </w:r>
          </w:p>
        </w:tc>
        <w:tc>
          <w:tcPr/>
          <w:p>
            <w:pPr>
              <w:pStyle w:val="Compact"/>
              <w:jc w:val="left"/>
            </w:pPr>
            <w:r>
              <w:t xml:space="preserve">Reportes y descripción por situación laboral; conservar la detallada para segmentar</w:t>
            </w:r>
          </w:p>
        </w:tc>
        <w:tc>
          <w:tcPr/>
          <w:p>
            <w:pPr>
              <w:pStyle w:val="Compact"/>
              <w:jc w:val="left"/>
            </w:pPr>
            <w:r>
              <w:t xml:space="preserve">Reportes y comparabilidad; ambas equivalentes para segmentar</w:t>
            </w:r>
          </w:p>
        </w:tc>
      </w:tr>
    </w:tbl>
    <w:p>
      <w:pPr>
        <w:pStyle w:val="BodyText"/>
      </w:pPr>
      <w:r>
        <w:t xml:space="preserve">La conclusión general es que la agrupación no es una simplificación neutra sino una decisión analítica con consecuencias distintas en cada módulo. En pequeña empresa permite describir cruces que la versión detallada no soportaba, pero altera la segmentación, de modo que conviene utilizar ambas versiones según el análisis. En empleabilidad ordena la variable central del módulo y no cuesta nada en términos de segmentación, de modo que puede utilizarse con seguridad como versión de reporte. En ambos casos la recomendación operativa es la misma: conservar las dos variables y declarar cuál se está utilizando en cada resultado, en lugar de sustituir una por otra.</w:t>
      </w:r>
    </w:p>
    <w:bookmarkEnd w:id="126"/>
    <w:bookmarkEnd w:id="127"/>
    <w:bookmarkStart w:id="128" w:name="resultados-no-reportados"/>
    <w:p>
      <w:pPr>
        <w:pStyle w:val="Heading1"/>
      </w:pPr>
      <w:r>
        <w:t xml:space="preserve">Resultados no reportados</w:t>
      </w:r>
    </w:p>
    <w:p>
      <w:pPr>
        <w:pStyle w:val="FirstParagraph"/>
      </w:pPr>
      <w:r>
        <w:t xml:space="preserve">La transparencia sobre lo que no se reporta forma parte del resultado. Quedaron fuera de este documento tres conjuntos de análisis.</w:t>
      </w:r>
    </w:p>
    <w:p>
      <w:pPr>
        <w:pStyle w:val="BodyText"/>
      </w:pPr>
      <w:r>
        <w:t xml:space="preserve">En primer lugar, todo cruce que involucre el nivel educacional. Las categorías de educación básica reúnen once casos en el módulo de pequeña empresa y tres en el de empleabilidad, y las categorías de educación media incompleta reúnen seis y dos casos respectivamente. En tablas construidas sobre esas frecuencias, una sola respuesta desplaza el porcentaje de la categoría en decenas de puntos, de modo que cualquier diferencia descrita sería un artefacto del tamaño y no una característica de la submuestra.</w:t>
      </w:r>
    </w:p>
    <w:p>
      <w:pPr>
        <w:pStyle w:val="BodyText"/>
      </w:pPr>
      <w:r>
        <w:t xml:space="preserve">En segundo lugar, todo cruce que utilice la clasificación ocupacional detallada como variable de agrupación, por la razón desarrollada en la sección precedente. Las descripciones ocupacionales de este anexo utilizan exclusivamente la versión agrupada en cuatro categorías, y aun así declaran el número de casos cuando una categoría es pequeña.</w:t>
      </w:r>
    </w:p>
    <w:p>
      <w:pPr>
        <w:pStyle w:val="BodyText"/>
      </w:pPr>
      <w:r>
        <w:t xml:space="preserve">En tercer lugar, los ejercicios de clasificación automática realizados sobre la disposición a aprender en el módulo de pequeña empresa y sobre el interés en formación móvil en el de empleabilidad. Con proporciones de respuesta positiva de 94,3% y 90,3% respectivamente, un procedimiento que asigne siempre la categoría mayoritaria acierta en la misma proporción que cualquier modelo entrenado, de modo que el ejercicio no aporta información utilizable. El análisis de intensidad presentado en la Figura 5 constituye la alternativa adoptada frente a ese problema: redefinir el umbral de la variable de resultado para obtener una partición equilibrada resultó considerablemente más productivo que modelar la variable original.</w:t>
      </w:r>
    </w:p>
    <w:bookmarkEnd w:id="128"/>
    <w:bookmarkStart w:id="129" w:name="anclaje-con-el-informe-principal"/>
    <w:p>
      <w:pPr>
        <w:pStyle w:val="Heading1"/>
      </w:pPr>
      <w:r>
        <w:t xml:space="preserve">Anclaje con el informe principal</w:t>
      </w:r>
    </w:p>
    <w:p>
      <w:pPr>
        <w:pStyle w:val="FirstParagraph"/>
      </w:pPr>
      <w:r>
        <w:t xml:space="preserve">Esta sección explicita en qué puntos los resultados de los dos módulos extienden, precisan o acotan el análisis del informe principal, que es la función que este anexo cumple dentro del estudio. En cada caso se remite a la conclusión correspondiente de dicho informe sin reproducir su evidencia.</w:t>
      </w:r>
    </w:p>
    <w:p>
      <w:pPr>
        <w:pStyle w:val="BodyText"/>
      </w:pPr>
      <w:r>
        <w:rPr>
          <w:bCs/>
          <w:b/>
        </w:rPr>
        <w:t xml:space="preserve">Sobre la comparabilidad entre ambos documentos.</w:t>
      </w:r>
      <w:r>
        <w:t xml:space="preserve"> </w:t>
      </w:r>
      <w:r>
        <w:t xml:space="preserve">El informe principal clasifica la situación laboral en cuatro categorías (empleado, desempleado, estudiante e inactivo), mientras las baterías anexadas la registran mediante la clasificación ocupacional de diez categorías. Esa diferencia impedía comparar directamente los resultados ocupacionales de uno y otro documento. La recodificación desarrollada más arriba elimina ese obstáculo: aplicada a los módulos, produce categorías equivalentes a las del instrumento principal, de modo que los segmentos laborales de este anexo pueden situarse desde ahora respecto de los del informe principal. Este es el aporte de mayor alcance de esa línea de trabajo, porque no agrega un hallazgo sino que habilita comparaciones que antes no eran posibles.</w:t>
      </w:r>
    </w:p>
    <w:p>
      <w:pPr>
        <w:pStyle w:val="BodyText"/>
      </w:pPr>
      <w:r>
        <w:rPr>
          <w:bCs/>
          <w:b/>
        </w:rPr>
        <w:t xml:space="preserve">Sobre las razones declaradas para no adoptar.</w:t>
      </w:r>
      <w:r>
        <w:t xml:space="preserve"> </w:t>
      </w:r>
      <w:r>
        <w:t xml:space="preserve">El informe principal concluye que los obstáculos para la adopción de inteligencia artificial no se ubican principalmente en el acceso ni en el costo sino en la disposición y en el saber hacer. El módulo de empleabilidad, con un instrumento distinto y una submuestra distinta, describe un cuadro convergente: las barreras materiales de equipamiento y conexión suman menos de un cuatro por ciento de las menciones, mientras dominan el tiempo, la ausencia declarada de barreras y la falta de conocimientos. La coincidencia entre dos mediciones independientes refuerza esa conclusión y permite extenderla desde el uso de servicios de inteligencia artificial hacia el aprendizaje de herramientas digitales en general.</w:t>
      </w:r>
    </w:p>
    <w:p>
      <w:pPr>
        <w:pStyle w:val="BodyText"/>
      </w:pPr>
      <w:r>
        <w:rPr>
          <w:bCs/>
          <w:b/>
        </w:rPr>
        <w:t xml:space="preserve">Sobre el contenido de la brecha socioeconómica.</w:t>
      </w:r>
      <w:r>
        <w:t xml:space="preserve"> </w:t>
      </w:r>
      <w:r>
        <w:t xml:space="preserve">El informe principal documenta la magnitud de la brecha socioeconómica en la adopción, pero su instrumento no permite establecer de qué está hecha. El módulo de empleabilidad aporta ese contenido: a lo largo de la escala socioeconómica cambia el tipo de barrera declarada, con la falta de confianza y la falta de conocimientos concentradas en los grupos de menores ingresos y la falta de tiempo distribuida de manera uniforme. La brecha que el informe principal mide incorpora, por lo tanto, un componente de autopercepción de competencia que no se reduce a diferencias de acceso. La segmentación converge sobre el mismo punto desde otra técnica, al identificar un conglomerado de menor educación y menor nivel socioeconómico caracterizado precisamente por esas dos barreras y por la mayor demanda de apoyo del módulo.</w:t>
      </w:r>
    </w:p>
    <w:p>
      <w:pPr>
        <w:pStyle w:val="BodyText"/>
      </w:pPr>
      <w:r>
        <w:rPr>
          <w:bCs/>
          <w:b/>
        </w:rPr>
        <w:t xml:space="preserve">Sobre el contenido de la brecha de género.</w:t>
      </w:r>
      <w:r>
        <w:t xml:space="preserve"> </w:t>
      </w:r>
      <w:r>
        <w:t xml:space="preserve">El informe principal documenta una diferencia de adopción entre hombres y mujeres y una tendencia de los hombres a sostener actitudes más favorables. El módulo de empleabilidad permite precisar la naturaleza de esa diferencia: las mujeres declaran falta de confianza en proporción cercana al doble que los hombres, mientras la falta de tiempo es idéntica entre ambos grupos. La segmentación entrega evidencia complementaria sobre el mismo punto: los conglomerados A y B comparten nivel educacional y tipo de ocupación, y difieren precisamente en la proporción que declara no enfrentar barreras y en la que declara falta de conocimientos.</w:t>
      </w:r>
    </w:p>
    <w:p>
      <w:pPr>
        <w:pStyle w:val="BodyText"/>
      </w:pPr>
      <w:r>
        <w:rPr>
          <w:bCs/>
          <w:b/>
        </w:rPr>
        <w:t xml:space="preserve">Sobre la promesa de productividad en la unidad económica pequeña.</w:t>
      </w:r>
      <w:r>
        <w:t xml:space="preserve"> </w:t>
      </w:r>
      <w:r>
        <w:t xml:space="preserve">El informe principal establece que una proporción relevante de las personas usuarias asigna a estas herramientas fines laborales, y que el trabajo independiente representa una fracción no menor del empleo. El módulo de pequeña empresa acota esa promesa en el segmento hacia el que se dirige de manera preferente: la adopción digital no compite allí contra el desconocimiento, mencionado por menos de un ocho por ciento, sino contra una restricción financiera declarada por seis de cada diez, y lo hace sin disponer de un canal institucional de intermediación. Una estrategia de difusión que ignore ambas condiciones tenderá a alcanzar solamente a quienes ya se encontraban en posición de adoptar.</w:t>
      </w:r>
    </w:p>
    <w:p>
      <w:pPr>
        <w:pStyle w:val="BodyText"/>
      </w:pPr>
      <w:r>
        <w:rPr>
          <w:bCs/>
          <w:b/>
        </w:rPr>
        <w:t xml:space="preserve">Sobre los perfiles de baja intensidad.</w:t>
      </w:r>
      <w:r>
        <w:t xml:space="preserve"> </w:t>
      </w:r>
      <w:r>
        <w:t xml:space="preserve">El informe principal identifica que el perfil mayoritario entre quienes usan modelos de lenguaje corresponde a un uso poco intensivo y acotado a pocas funciones. Los dos módulos aportan una lectura complementaria desde el lado de la disposición declarada. Las cifras de disposición e interés de este anexo, cercanas o superiores al noventa por ciento, contrastan de manera marcada con esa estructura de uso poco intensiva. La distancia entre ambas magnitudes constituye el argumento más directo disponible en el estudio para interpretar las cifras altas de disposición como un piso de aceptación y no como una estimación de demanda. La ausencia de rechazo es condición necesaria de la adopción, pero manifiestamente no suficiente.</w:t>
      </w:r>
    </w:p>
    <w:p>
      <w:pPr>
        <w:pStyle w:val="BodyText"/>
      </w:pPr>
      <w:r>
        <w:rPr>
          <w:bCs/>
          <w:b/>
        </w:rPr>
        <w:t xml:space="preserve">Sobre dónde buscar al público receptivo.</w:t>
      </w:r>
      <w:r>
        <w:t xml:space="preserve"> </w:t>
      </w:r>
      <w:r>
        <w:t xml:space="preserve">El informe principal caracteriza a las personas usuarias mediante variables sociodemográficas. Los dos módulos sugieren que, para el diseño de intervenciones concretas, la variable con mayor poder de distinción no es sociodemográfica sino declarativa. En el módulo de empleabilidad, el interés en formación móvil asciende de manera ordenada con la cantidad de apoyos solicitados, y el conglomerado que rechaza el formato es el mismo que declara no necesitar ayuda de ningún tipo. En el de pequeña empresa, la ausencia de problema declarado acompaña al rechazo mejor que cualquier variable de perfil, y el conglomerado sin restricción de capital es también el de menor disposición a comprometer tiempo. En ambos módulos la partición útil resulta ser la misma: quienes declaran una necesidad concreta frente a quienes no la declaran.</w:t>
      </w:r>
    </w:p>
    <w:bookmarkEnd w:id="129"/>
    <w:bookmarkStart w:id="130" w:name="Xff2bb00e4e6a9f8360b412a3c9e800adad6c975"/>
    <w:p>
      <w:pPr>
        <w:pStyle w:val="Heading1"/>
      </w:pPr>
      <w:r>
        <w:t xml:space="preserve">Implicancias para el diseño de intervenciones</w:t>
      </w:r>
    </w:p>
    <w:p>
      <w:pPr>
        <w:pStyle w:val="FirstParagraph"/>
      </w:pPr>
      <w:r>
        <w:rPr>
          <w:bCs/>
          <w:b/>
        </w:rPr>
        <w:t xml:space="preserve">La capacitación digital dirigida a pequeña empresa debe acoplarse a instrumentos de financiamiento.</w:t>
      </w:r>
      <w:r>
        <w:t xml:space="preserve"> </w:t>
      </w:r>
      <w:r>
        <w:t xml:space="preserve">La barrera declarada por un 60,3% no se resuelve con una herramienta digital. Ofrecerla acoplada a un instrumento de financiamiento, o dentro del proceso de postulación a uno, la vuelve pertinente respecto del problema que la persona propietaria identifica como propio.</w:t>
      </w:r>
    </w:p>
    <w:p>
      <w:pPr>
        <w:pStyle w:val="BodyText"/>
      </w:pPr>
      <w:r>
        <w:rPr>
          <w:bCs/>
          <w:b/>
        </w:rPr>
        <w:t xml:space="preserve">La convocatoria institucional abierta no es el mecanismo adecuado para ese segmento.</w:t>
      </w:r>
      <w:r>
        <w:t xml:space="preserve"> </w:t>
      </w:r>
      <w:r>
        <w:t xml:space="preserve">Con un 4,3% de alcance institucional declarado frente a un 51,4% de dependencia de la red familiar y de amistades, los canales que ya operan dentro del circuito de confianza, como las redes de referidos, las asociaciones gremiales, las ferias, los proveedores y los municipios, resultan más plausibles que la convocatoria abierta. La descripción por situación laboral agrupada refuerza la prioridad: el recurso institucional es inexistente entre quienes están desempleados y entre quienes estudian, que son los segmentos para los cuales el negocio es la única fuente de ingreso.</w:t>
      </w:r>
    </w:p>
    <w:p>
      <w:pPr>
        <w:pStyle w:val="BodyText"/>
      </w:pPr>
      <w:r>
        <w:rPr>
          <w:bCs/>
          <w:b/>
        </w:rPr>
        <w:t xml:space="preserve">El esfuerzo de captación debe concentrarse fuera del segmento que ya tiene contacto institucional.</w:t>
      </w:r>
      <w:r>
        <w:t xml:space="preserve"> </w:t>
      </w:r>
      <w:r>
        <w:t xml:space="preserve">Ese grupo, que representa un 14,7% de la submuestra, concentra una disposición a invertir tiempo sustancialmente mayor, de modo que una estrategia dirigida a él produciría resultados favorables sin ampliar la cobertura. El desafío se ubica en el 85,3% restante.</w:t>
      </w:r>
    </w:p>
    <w:p>
      <w:pPr>
        <w:pStyle w:val="BodyText"/>
      </w:pPr>
      <w:r>
        <w:rPr>
          <w:bCs/>
          <w:b/>
        </w:rPr>
        <w:t xml:space="preserve">El conglomerado B de pequeña empresa es identificable por tres marcas simultáneas y debe recibir prioridad.</w:t>
      </w:r>
      <w:r>
        <w:t xml:space="preserve"> </w:t>
      </w:r>
      <w:r>
        <w:t xml:space="preserve">Educación media completa, grupo socioeconómico D+E y ocupación en trabajos menores e informales aparecen juntos en un mismo grupo que reúne alrededor de un cuarto de la submuestra, con la mayor restricción de capital declarada, la mayor dependencia de la red familiar y el menor contacto con el canal formal de todo el módulo. Esas tres marcas son fáciles de aplicar como criterio de focalización.</w:t>
      </w:r>
    </w:p>
    <w:p>
      <w:pPr>
        <w:pStyle w:val="BodyText"/>
      </w:pPr>
      <w:r>
        <w:rPr>
          <w:bCs/>
          <w:b/>
        </w:rPr>
        <w:t xml:space="preserve">Los contenidos deben diferenciarse por tramo etario en la pequeña empresa.</w:t>
      </w:r>
      <w:r>
        <w:t xml:space="preserve"> </w:t>
      </w:r>
      <w:r>
        <w:t xml:space="preserve">Captación de clientes y publicidad digital para el segmento de 41 a 50 años, que combina la mayor disposición a invertir tiempo con la mayor restricción de capital; gestión de la atención a clientes en dosis breves para el segmento de 61 años o más, que declara menor intensidad operativa, menor ambición de crecimiento y la menor disposición horaria del módulo.</w:t>
      </w:r>
    </w:p>
    <w:p>
      <w:pPr>
        <w:pStyle w:val="BodyText"/>
      </w:pPr>
      <w:r>
        <w:rPr>
          <w:bCs/>
          <w:b/>
        </w:rPr>
        <w:t xml:space="preserve">En el ámbito de empleabilidad, el diseño debe organizarse alrededor de la restricción de tiempo.</w:t>
      </w:r>
      <w:r>
        <w:t xml:space="preserve"> </w:t>
      </w:r>
      <w:r>
        <w:t xml:space="preserve">La barrera dominante es la agenda y la población objetivo se encuentra mayoritariamente trabajando. Lecciones breves en el teléfono móvil, fuera del horario laboral y con registro de progreso, resultan consistentes con lo declarado.</w:t>
      </w:r>
    </w:p>
    <w:p>
      <w:pPr>
        <w:pStyle w:val="BodyText"/>
      </w:pPr>
      <w:r>
        <w:rPr>
          <w:bCs/>
          <w:b/>
        </w:rPr>
        <w:t xml:space="preserve">Los módulos de una herramienta de empleabilidad deben priorizarse en el orden en que fueron demandados y entregar valor en el primero.</w:t>
      </w:r>
      <w:r>
        <w:t xml:space="preserve"> </w:t>
      </w:r>
      <w:r>
        <w:t xml:space="preserve">Tres de cada cuatro personas declararon una única necesidad, de modo que la primera interacción determina si habrá una segunda. La ayuda para buscar ofertas de trabajo merece prioridad adicional en programas dirigidos a población de menores ingresos, donde su demanda duplica a la del grupo socioeconómico más alto y alcanza su máximo en el conglomerado de mayor vulnerabilidad.</w:t>
      </w:r>
    </w:p>
    <w:p>
      <w:pPr>
        <w:pStyle w:val="BodyText"/>
      </w:pPr>
      <w:r>
        <w:rPr>
          <w:bCs/>
          <w:b/>
        </w:rPr>
        <w:t xml:space="preserve">La confianza debe tratarse como contenido y no como tono.</w:t>
      </w:r>
      <w:r>
        <w:t xml:space="preserve"> </w:t>
      </w:r>
      <w:r>
        <w:t xml:space="preserve">Para las mujeres y para el segmento D+E la barrera declarada es la inseguridad frente a la herramienta y no el acceso. Esa dimensión se aborda mediante acompañamiento, ejemplos de pares y logros iniciales rápidos, y no mediante mayor cantidad de funcionalidades ni mensajes motivacionales genéricos.</w:t>
      </w:r>
    </w:p>
    <w:p>
      <w:pPr>
        <w:pStyle w:val="BodyText"/>
      </w:pPr>
      <w:r>
        <w:rPr>
          <w:bCs/>
          <w:b/>
        </w:rPr>
        <w:t xml:space="preserve">El segmento que rechaza el formato móvil no requiere un canal alternativo.</w:t>
      </w:r>
      <w:r>
        <w:t xml:space="preserve"> </w:t>
      </w:r>
      <w:r>
        <w:t xml:space="preserve">Se trata de un grupo que declara no necesitar ayuda de ningún tipo, con un promedio de apoyos solicitados inferior a la mitad del de los demás conglomerados. Destinar recursos a ofrecerle formatos distintos equivale a resolver un problema de canal donde el problema declarado es de demanda.</w:t>
      </w:r>
    </w:p>
    <w:p>
      <w:pPr>
        <w:pStyle w:val="BodyText"/>
      </w:pPr>
      <w:r>
        <w:rPr>
          <w:bCs/>
          <w:b/>
        </w:rPr>
        <w:t xml:space="preserve">Un piloto dirigido a quienes declaran una necesidad activa permitiría separar disposición de conducta.</w:t>
      </w:r>
      <w:r>
        <w:t xml:space="preserve"> </w:t>
      </w:r>
      <w:r>
        <w:t xml:space="preserve">El grupo que solicitó dos o más apoyos declara interés en formación móvil por sobre el noventa y cinco por ciento y constituye el segmento con mayor probabilidad de convertir interés en uso. Medir conducta efectiva en ese grupo y contrastarla con la disposición declarada es el paso que permitiría resolver la principal ambigüedad de este anexo.</w:t>
      </w:r>
    </w:p>
    <w:bookmarkEnd w:id="130"/>
    <w:bookmarkStart w:id="131" w:name="limitaciones"/>
    <w:p>
      <w:pPr>
        <w:pStyle w:val="Heading1"/>
      </w:pPr>
      <w:r>
        <w:t xml:space="preserve">Limitaciones</w:t>
      </w:r>
    </w:p>
    <w:p>
      <w:pPr>
        <w:pStyle w:val="FirstParagraph"/>
      </w:pPr>
      <w:r>
        <w:rPr>
          <w:bCs/>
          <w:b/>
        </w:rPr>
        <w:t xml:space="preserve">El análisis es descriptivo.</w:t>
      </w:r>
      <w:r>
        <w:t xml:space="preserve"> </w:t>
      </w:r>
      <w:r>
        <w:t xml:space="preserve">El documento reporta distribuciones, cruces bivariados y conglomerados. Las diferencias que describe corresponden a lo observado en quienes respondieron cada batería y no se acompañan de estimaciones de su alcance poblacional, porque el tamaño de las submuestras y la fragmentación de varias de sus variables no lo permiten. Su uso apropiado es orientar decisiones de diseño y priorización, no sustentar afirmaciones sobre el conjunto de la población.</w:t>
      </w:r>
    </w:p>
    <w:p>
      <w:pPr>
        <w:pStyle w:val="BodyText"/>
      </w:pPr>
      <w:r>
        <w:rPr>
          <w:bCs/>
          <w:b/>
        </w:rPr>
        <w:t xml:space="preserve">Los conglomerados no son tipos naturalmente separados.</w:t>
      </w:r>
      <w:r>
        <w:t xml:space="preserve"> </w:t>
      </w:r>
      <w:r>
        <w:t xml:space="preserve">En ambos módulos los grupos se superponen en el plano de representación, y parte de las fronteras que los separan reproduce variables suministradas al procedimiento, en particular el sexo en ambos módulos y el interés en formación móvil en el de empleabilidad. Los perfiles resultantes son útiles como descripción ordenada y como criterio práctico de focalización, y así se presentan.</w:t>
      </w:r>
    </w:p>
    <w:p>
      <w:pPr>
        <w:pStyle w:val="BodyText"/>
      </w:pPr>
      <w:r>
        <w:rPr>
          <w:bCs/>
          <w:b/>
        </w:rPr>
        <w:t xml:space="preserve">Los módulos miden intenciones declaradas y no conductas observadas.</w:t>
      </w:r>
      <w:r>
        <w:t xml:space="preserve"> </w:t>
      </w:r>
      <w:r>
        <w:t xml:space="preserve">Ambas baterías corresponden a mediciones de corte transversal en una sola aplicación. No es posible determinar qué proporción de quienes declararon disposición a dedicar dos horas semanales efectivamente lo haría. El contraste con la estructura de uso del informe principal acota el problema pero no lo resuelve.</w:t>
      </w:r>
    </w:p>
    <w:p>
      <w:pPr>
        <w:pStyle w:val="BodyText"/>
      </w:pPr>
      <w:r>
        <w:rPr>
          <w:bCs/>
          <w:b/>
        </w:rPr>
        <w:t xml:space="preserve">Varias categorías reúnen pocos casos.</w:t>
      </w:r>
      <w:r>
        <w:t xml:space="preserve"> </w:t>
      </w:r>
      <w:r>
        <w:t xml:space="preserve">Es el caso de las categorías de educación básica y media incompleta en ambos módulos, de las categorías desempleado y estudiante en la clasificación agrupada del módulo de pequeña empresa, y del grupo D+E en el módulo de empleabilidad. Cuando esas categorías aparecen descritas, el número de casos se declara junto al porcentaje.</w:t>
      </w:r>
    </w:p>
    <w:p>
      <w:pPr>
        <w:pStyle w:val="BodyText"/>
      </w:pPr>
      <w:r>
        <w:rPr>
          <w:bCs/>
          <w:b/>
        </w:rPr>
        <w:t xml:space="preserve">Las submuestras no son representativas del universo.</w:t>
      </w:r>
      <w:r>
        <w:t xml:space="preserve"> </w:t>
      </w:r>
      <w:r>
        <w:t xml:space="preserve">Están definidas por criterios de selección sustantivos, su composición socioeconómica se ubica por sobre la de la muestra general del estudio y el módulo de empleabilidad no cubre a la población de 61 años o más. Los porcentajes describen a quienes respondieron cada batería.</w:t>
      </w:r>
    </w:p>
    <w:p>
      <w:pPr>
        <w:pStyle w:val="BodyText"/>
      </w:pPr>
      <w:r>
        <w:rPr>
          <w:bCs/>
          <w:b/>
        </w:rPr>
        <w:t xml:space="preserve">Los módulos no incorporan factor de expansión.</w:t>
      </w:r>
      <w:r>
        <w:t xml:space="preserve"> </w:t>
      </w:r>
      <w:r>
        <w:t xml:space="preserve">A diferencia del cuestionario principal, cuyos resultados se presentan ponderados, los porcentajes de este anexo son simples. Si estas baterías cuentan con un diseño muestral que contemple ponderadores, corresponde recalcular las cifras antes de su publicación.</w:t>
      </w:r>
    </w:p>
    <w:p>
      <w:pPr>
        <w:pStyle w:val="BodyText"/>
      </w:pPr>
      <w:r>
        <w:rPr>
          <w:bCs/>
          <w:b/>
        </w:rPr>
        <w:t xml:space="preserve">Las relaciones descritas son de asociación y no de causa.</w:t>
      </w:r>
      <w:r>
        <w:t xml:space="preserve"> </w:t>
      </w:r>
      <w:r>
        <w:t xml:space="preserve">Que el contacto con el canal formal aparezca junto a mayor disposición horaria no permite concluir que el contacto la produzca, y que la solicitud de apoyo activo aparezca junto al interés en formación móvil no permite concluir que la necesidad genere el interés. En ambos casos la dirección de la relación podría ser inversa, o ambas variables podrían responder a un factor común no medido.</w:t>
      </w:r>
    </w:p>
    <w:bookmarkEnd w:id="131"/>
    <w:bookmarkStart w:id="132" w:name="nota-sobre-consistencia-de-las-fuentes"/>
    <w:p>
      <w:pPr>
        <w:pStyle w:val="Heading1"/>
      </w:pPr>
      <w:r>
        <w:t xml:space="preserve">Nota sobre consistencia de las fuentes</w:t>
      </w:r>
    </w:p>
    <w:p>
      <w:pPr>
        <w:pStyle w:val="FirstParagraph"/>
      </w:pPr>
      <w:r>
        <w:t xml:space="preserve">Durante la preparación de esta versión se identificó una discrepancia que conviene resolver antes de la publicación. En el cuaderno de análisis del módulo de pequeña empresa, el texto que describe los cuatro conglomerados no corresponde a los perfiles efectivamente calculados por el propio cuaderno. Ese texto describe un primer grupo de personas jóvenes con educación superior y un cuarto grupo de personas vulnerables con educación media incompleta y grupo socioeconómico bajo, mientras la salida computada muestra un primer grupo compuesto íntegramente por hombres con educación universitaria completa y grupo C2, y un cuarto grupo de mayor edad cuya barrera dominante es la falta de tiempo. El perfil de mayor precariedad corresponde al segundo conglomerado, identificado como B en la Tabla 2 de este anexo. Los perfiles aquí reportados provienen de la salida computada y no de ese texto descriptivo, que corresponde corregir en el cuaderno.</w:t>
      </w:r>
    </w:p>
    <w:bookmarkEnd w:id="132"/>
    <w:bookmarkStart w:id="133" w:name="referencias"/>
    <w:p>
      <w:pPr>
        <w:pStyle w:val="Heading1"/>
      </w:pPr>
      <w:r>
        <w:t xml:space="preserve">Referencias</w:t>
      </w:r>
    </w:p>
    <w:p>
      <w:pPr>
        <w:pStyle w:val="FirstParagraph"/>
      </w:pPr>
      <w:r>
        <w:t xml:space="preserve">AIM. (2024a).</w:t>
      </w:r>
      <w:r>
        <w:t xml:space="preserve"> </w:t>
      </w:r>
      <w:r>
        <w:rPr>
          <w:iCs/>
          <w:i/>
        </w:rPr>
        <w:t xml:space="preserve">Actualización GSE AIM 2023 y Manual de Aplicación.</w:t>
      </w:r>
      <w:r>
        <w:t xml:space="preserve"> </w:t>
      </w:r>
      <w:r>
        <w:t xml:space="preserve">Recuperado de: https://aimchile.cl/wp-content/uploads/2025/06/Actualizacion-y-Manual-GSE-AIM-2023.pdf</w:t>
      </w:r>
    </w:p>
    <w:p>
      <w:pPr>
        <w:pStyle w:val="BodyText"/>
      </w:pPr>
      <w:r>
        <w:t xml:space="preserve">AIM. (2024b).</w:t>
      </w:r>
      <w:r>
        <w:t xml:space="preserve"> </w:t>
      </w:r>
      <w:r>
        <w:rPr>
          <w:iCs/>
          <w:i/>
        </w:rPr>
        <w:t xml:space="preserve">Descriptor GSE AIM 2023.</w:t>
      </w:r>
      <w:r>
        <w:t xml:space="preserve"> </w:t>
      </w:r>
      <w:r>
        <w:t xml:space="preserve">Recuperado de: https://aimchile.cl/wp-content/uploads/2025/06/Descriptores-GSE-AIM-2023.pdf</w:t>
      </w:r>
    </w:p>
    <w:p>
      <w:pPr>
        <w:pStyle w:val="BodyText"/>
      </w:pPr>
      <w:r>
        <w:t xml:space="preserve">Fundación País Digital. (2026).</w:t>
      </w:r>
      <w:r>
        <w:t xml:space="preserve"> </w:t>
      </w:r>
      <w:r>
        <w:rPr>
          <w:iCs/>
          <w:i/>
        </w:rPr>
        <w:t xml:space="preserve">Índice de Ciudadanía Digital 2026. Usos y percepciones de la Inteligencia Artificial en Chile. Informe de Resultados.</w:t>
      </w:r>
      <w:r>
        <w:t xml:space="preserve"> </w:t>
      </w:r>
      <w:r>
        <w:t xml:space="preserve">Santiago: Centro de Estudios Digitales.</w:t>
      </w:r>
    </w:p>
    <w:bookmarkEnd w:id="1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6" Target="media/rId106.png" /><Relationship Type="http://schemas.openxmlformats.org/officeDocument/2006/relationships/image" Id="rId103" Target="media/rId103.png" /><Relationship Type="http://schemas.openxmlformats.org/officeDocument/2006/relationships/image" Id="rId85" Target="media/rId85.png" /><Relationship Type="http://schemas.openxmlformats.org/officeDocument/2006/relationships/image" Id="rId122" Target="media/rId122.png" /><Relationship Type="http://schemas.openxmlformats.org/officeDocument/2006/relationships/image" Id="rId99" Target="media/rId99.png" /><Relationship Type="http://schemas.openxmlformats.org/officeDocument/2006/relationships/image" Id="rId95" Target="media/rId95.png" /><Relationship Type="http://schemas.openxmlformats.org/officeDocument/2006/relationships/image" Id="rId79" Target="media/rId79.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82" Target="media/rId82.png" /><Relationship Type="http://schemas.openxmlformats.org/officeDocument/2006/relationships/image" Id="rId111" Target="media/rId111.png"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66" Target="media/rId66.png" /><Relationship Type="http://schemas.openxmlformats.org/officeDocument/2006/relationships/image" Id="rId63" Target="media/rId63.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44" Target="media/rId44.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59" Target="media/rId59.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2026-08-26T17:29:23Z</dcterms:created>
  <dcterms:modified xsi:type="dcterms:W3CDTF">2026-08-26T17:29:23Z</dcterms:modified>
</cp:coreProperties>
</file>

<file path=docProps/custom.xml><?xml version="1.0" encoding="utf-8"?>
<Properties xmlns="http://schemas.openxmlformats.org/officeDocument/2006/custom-properties" xmlns:vt="http://schemas.openxmlformats.org/officeDocument/2006/docPropsVTypes"/>
</file>