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TABLE DEFINITIONS — FOSTER v1.2</w:t>
      </w:r>
    </w:p>
    <w:p>
      <w:pPr>
        <w:spacing w:after="40"/>
      </w:pPr>
      <w:r>
        <w:rPr>
          <w:rFonts w:ascii="Calibri" w:cs="Calibri" w:eastAsia="Calibri" w:hAnsi="Calibri"/>
          <w:color w:val="444444"/>
          <w:sz w:val="24"/>
          <w:szCs w:val="24"/>
        </w:rPr>
        <w:t xml:space="preserve">Animal Flow — Foster Discovery &amp; Driver Analysis</w:t>
      </w:r>
    </w:p>
    <w:p>
      <w:pPr>
        <w:spacing w:after="300"/>
      </w:pPr>
      <w:r>
        <w:rPr>
          <w:rFonts w:ascii="Calibri" w:cs="Calibri" w:eastAsia="Calibri" w:hAnsi="Calibri"/>
          <w:i/>
          <w:iCs/>
          <w:color w:val="7F7F7F"/>
          <w:sz w:val="20"/>
          <w:szCs w:val="20"/>
        </w:rPr>
        <w:t xml:space="preserve">Semantic Model — Phase 1 (Fabric/Power BI Naming &amp; Build-Readiness Alignment Pass)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Field</w:t>
            </w:r>
          </w:p>
        </w:tc>
        <w:tc>
          <w:tcPr>
            <w:tcW w:type="dxa" w:w="63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Value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Document Type</w:t>
            </w:r>
          </w:p>
        </w:tc>
        <w:tc>
          <w:tcPr>
            <w:tcW w:type="dxa" w:w="6300"/>
            <w:tcMar>
              <w:top w:type="dxa" w:w="80"/>
              <w:left w:type="dxa" w:w="100"/>
              <w:bottom w:type="dxa" w:w="80"/>
              <w:right w:type="dxa" w:w="100"/>
            </w:tcMar>
          </w:tcPr>
          <w:p>
            <w:r>
              <w:rPr>
                <w:rFonts w:ascii="Calibri" w:cs="Calibri" w:eastAsia="Calibri" w:hAnsi="Calibri"/>
                <w:b w:val="false"/>
                <w:bCs w:val="false"/>
                <w:color w:val="000000"/>
                <w:sz w:val="19"/>
                <w:szCs w:val="19"/>
              </w:rPr>
              <w:t xml:space="preserve">Semantic Model / Table Definitions</w:t>
            </w:r>
          </w:p>
        </w:tc>
      </w:tr>
      <w:tr>
        <w:tc>
          <w:tcPr>
            <w:tcW w:type="dxa" w:w="32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RDLC Phase</w:t>
            </w:r>
          </w:p>
        </w:tc>
        <w:tc>
          <w:tcPr>
            <w:tcW w:type="dxa" w:w="63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Phase 1 — Design (Model-First)</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Capability</w:t>
            </w:r>
          </w:p>
        </w:tc>
        <w:tc>
          <w:tcPr>
            <w:tcW w:type="dxa" w:w="6300"/>
            <w:tcMar>
              <w:top w:type="dxa" w:w="80"/>
              <w:left w:type="dxa" w:w="100"/>
              <w:bottom w:type="dxa" w:w="80"/>
              <w:right w:type="dxa" w:w="100"/>
            </w:tcMar>
          </w:tcPr>
          <w:p>
            <w:r>
              <w:rPr>
                <w:rFonts w:ascii="Calibri" w:cs="Calibri" w:eastAsia="Calibri" w:hAnsi="Calibri"/>
                <w:b w:val="false"/>
                <w:bCs w:val="false"/>
                <w:color w:val="000000"/>
                <w:sz w:val="19"/>
                <w:szCs w:val="19"/>
              </w:rPr>
              <w:t xml:space="preserve">Animal Flow — Foster Analysis</w:t>
            </w:r>
          </w:p>
        </w:tc>
      </w:tr>
      <w:tr>
        <w:tc>
          <w:tcPr>
            <w:tcW w:type="dxa" w:w="32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Backend Platform</w:t>
            </w:r>
          </w:p>
        </w:tc>
        <w:tc>
          <w:tcPr>
            <w:tcW w:type="dxa" w:w="63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Microsoft Fabric</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Version</w:t>
            </w:r>
          </w:p>
        </w:tc>
        <w:tc>
          <w:tcPr>
            <w:tcW w:type="dxa" w:w="6300"/>
            <w:tcMar>
              <w:top w:type="dxa" w:w="80"/>
              <w:left w:type="dxa" w:w="100"/>
              <w:bottom w:type="dxa" w:w="80"/>
              <w:right w:type="dxa" w:w="100"/>
            </w:tcMar>
          </w:tcPr>
          <w:p>
            <w:r>
              <w:rPr>
                <w:rFonts w:ascii="Calibri" w:cs="Calibri" w:eastAsia="Calibri" w:hAnsi="Calibri"/>
                <w:b w:val="false"/>
                <w:bCs w:val="false"/>
                <w:color w:val="000000"/>
                <w:sz w:val="19"/>
                <w:szCs w:val="19"/>
              </w:rPr>
              <w:t xml:space="preserve">1.2</w:t>
            </w:r>
          </w:p>
        </w:tc>
      </w:tr>
      <w:tr>
        <w:tc>
          <w:tcPr>
            <w:tcW w:type="dxa" w:w="32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Status</w:t>
            </w:r>
          </w:p>
        </w:tc>
        <w:tc>
          <w:tcPr>
            <w:tcW w:type="dxa" w:w="63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Draft — Naming/Build-Readiness Pass, Pending Sign-off</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Supersedes</w:t>
            </w:r>
          </w:p>
        </w:tc>
        <w:tc>
          <w:tcPr>
            <w:tcW w:type="dxa" w:w="6300"/>
            <w:tcMar>
              <w:top w:type="dxa" w:w="80"/>
              <w:left w:type="dxa" w:w="100"/>
              <w:bottom w:type="dxa" w:w="80"/>
              <w:right w:type="dxa" w:w="100"/>
            </w:tcMar>
          </w:tcPr>
          <w:p>
            <w:r>
              <w:rPr>
                <w:rFonts w:ascii="Calibri" w:cs="Calibri" w:eastAsia="Calibri" w:hAnsi="Calibri"/>
                <w:b w:val="false"/>
                <w:bCs w:val="false"/>
                <w:color w:val="000000"/>
                <w:sz w:val="19"/>
                <w:szCs w:val="19"/>
              </w:rPr>
              <w:t xml:space="preserve">TABLE_DEFINITIONS_FOSTER_v1.1</w:t>
            </w:r>
          </w:p>
        </w:tc>
      </w:tr>
      <w:tr>
        <w:tc>
          <w:tcPr>
            <w:tcW w:type="dxa" w:w="32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Author</w:t>
            </w:r>
          </w:p>
        </w:tc>
        <w:tc>
          <w:tcPr>
            <w:tcW w:type="dxa" w:w="63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Tomas Leung</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Reviewed By</w:t>
            </w:r>
          </w:p>
        </w:tc>
        <w:tc>
          <w:tcPr>
            <w:tcW w:type="dxa" w:w="6300"/>
            <w:tcMar>
              <w:top w:type="dxa" w:w="80"/>
              <w:left w:type="dxa" w:w="100"/>
              <w:bottom w:type="dxa" w:w="80"/>
              <w:right w:type="dxa" w:w="100"/>
            </w:tcMar>
          </w:tcPr>
          <w:p>
            <w:r>
              <w:rPr>
                <w:rFonts w:ascii="Calibri" w:cs="Calibri" w:eastAsia="Calibri" w:hAnsi="Calibri"/>
                <w:b w:val="false"/>
                <w:bCs w:val="false"/>
                <w:color w:val="000000"/>
                <w:sz w:val="19"/>
                <w:szCs w:val="19"/>
              </w:rPr>
              <w:t xml:space="preserve">rdlc-coach-semantic-model (Data Architect + Data Modeler agent)</w:t>
            </w:r>
          </w:p>
        </w:tc>
      </w:tr>
    </w:tbl>
    <w:p>
      <w:pPr>
        <w:pBdr>
          <w:left w:val="single" w:color="C00000" w:sz="18" w:space="8"/>
        </w:pBdr>
        <w:spacing w:after="200" w:before="100"/>
        <w:ind w:left="200"/>
      </w:pPr>
      <w:r>
        <w:rPr>
          <w:rFonts w:ascii="Calibri" w:cs="Calibri" w:eastAsia="Calibri" w:hAnsi="Calibri"/>
          <w:i/>
          <w:iCs/>
          <w:color w:val="7A1E1E"/>
          <w:sz w:val="20"/>
          <w:szCs w:val="20"/>
        </w:rPr>
        <w:t xml:space="preserve">Change from v1.1: This version does NOT change grain, key strategy, SCD type, or column inclusion decisions — all structural design from v1.1 remains confirmed and unchanged. This is a naming and build-readiness alignment pass, applying Microsoft's skills-for-fabric semantic-model-authoring conventions (Technical/Business name separation, fact-table surrogate key removal, hidden/SummarizeBy build notes).</w:t>
      </w:r>
    </w:p>
    <w:p>
      <w:r>
        <w:br w:type="page"/>
      </w:r>
    </w:p>
    <w:p>
      <w:pPr>
        <w:pStyle w:val="Heading1"/>
        <w:spacing w:after="160" w:before="320"/>
      </w:pPr>
      <w:r>
        <w:rPr>
          <w:rFonts w:ascii="Calibri" w:cs="Calibri" w:eastAsia="Calibri" w:hAnsi="Calibri"/>
          <w:b/>
          <w:bCs/>
          <w:color w:val="1F3864"/>
          <w:sz w:val="30"/>
          <w:szCs w:val="30"/>
        </w:rPr>
        <w:t xml:space="preserve">1. Purpose</w:t>
      </w:r>
    </w:p>
    <w:p>
      <w:pPr>
        <w:spacing w:after="120"/>
      </w:pPr>
      <w:r>
        <w:rPr>
          <w:rFonts w:ascii="Calibri" w:cs="Calibri" w:eastAsia="Calibri" w:hAnsi="Calibri"/>
          <w:b w:val="false"/>
          <w:bCs w:val="false"/>
          <w:i w:val="false"/>
          <w:iCs w:val="false"/>
          <w:sz w:val="21"/>
          <w:szCs w:val="21"/>
        </w:rPr>
        <w:t xml:space="preserve">Define the Phase 1 semantic model required to support Foster Discovery, historical baseline reporting, and Foster Driver Analysis for BC SPCA's Animal Flow program.</w:t>
      </w:r>
    </w:p>
    <w:p>
      <w:pPr>
        <w:spacing w:after="120"/>
      </w:pPr>
      <w:r>
        <w:rPr>
          <w:rFonts w:ascii="Calibri" w:cs="Calibri" w:eastAsia="Calibri" w:hAnsi="Calibri"/>
          <w:b w:val="false"/>
          <w:bCs w:val="false"/>
          <w:i w:val="false"/>
          <w:iCs w:val="false"/>
          <w:sz w:val="21"/>
          <w:szCs w:val="21"/>
        </w:rPr>
        <w:t xml:space="preserve">This model focuses on understanding:</w:t>
      </w:r>
    </w:p>
    <w:p>
      <w:pPr>
        <w:pStyle w:val="ListParagraph"/>
        <w:numPr>
          <w:ilvl w:val="0"/>
          <w:numId w:val="2"/>
        </w:numPr>
        <w:spacing w:after="60"/>
      </w:pPr>
      <w:r>
        <w:rPr>
          <w:rFonts w:ascii="Calibri" w:cs="Calibri" w:eastAsia="Calibri" w:hAnsi="Calibri"/>
          <w:sz w:val="21"/>
          <w:szCs w:val="21"/>
        </w:rPr>
        <w:t xml:space="preserve">Foster utilization across BC SPCA</w:t>
      </w:r>
    </w:p>
    <w:p>
      <w:pPr>
        <w:pStyle w:val="ListParagraph"/>
        <w:numPr>
          <w:ilvl w:val="0"/>
          <w:numId w:val="2"/>
        </w:numPr>
        <w:spacing w:after="60"/>
      </w:pPr>
      <w:r>
        <w:rPr>
          <w:rFonts w:ascii="Calibri" w:cs="Calibri" w:eastAsia="Calibri" w:hAnsi="Calibri"/>
          <w:sz w:val="21"/>
          <w:szCs w:val="21"/>
        </w:rPr>
        <w:t xml:space="preserve">Historical foster trends and seasonality</w:t>
      </w:r>
    </w:p>
    <w:p>
      <w:pPr>
        <w:pStyle w:val="ListParagraph"/>
        <w:numPr>
          <w:ilvl w:val="0"/>
          <w:numId w:val="2"/>
        </w:numPr>
        <w:spacing w:after="60"/>
      </w:pPr>
      <w:r>
        <w:rPr>
          <w:rFonts w:ascii="Calibri" w:cs="Calibri" w:eastAsia="Calibri" w:hAnsi="Calibri"/>
          <w:sz w:val="21"/>
          <w:szCs w:val="21"/>
        </w:rPr>
        <w:t xml:space="preserve">Regional foster patterns</w:t>
      </w:r>
    </w:p>
    <w:p>
      <w:pPr>
        <w:pStyle w:val="ListParagraph"/>
        <w:numPr>
          <w:ilvl w:val="0"/>
          <w:numId w:val="2"/>
        </w:numPr>
        <w:spacing w:after="60"/>
      </w:pPr>
      <w:r>
        <w:rPr>
          <w:rFonts w:ascii="Calibri" w:cs="Calibri" w:eastAsia="Calibri" w:hAnsi="Calibri"/>
          <w:sz w:val="21"/>
          <w:szCs w:val="21"/>
        </w:rPr>
        <w:t xml:space="preserve">Species and age-related foster demand</w:t>
      </w:r>
    </w:p>
    <w:p>
      <w:pPr>
        <w:pStyle w:val="ListParagraph"/>
        <w:numPr>
          <w:ilvl w:val="0"/>
          <w:numId w:val="2"/>
        </w:numPr>
        <w:spacing w:after="60"/>
      </w:pPr>
      <w:r>
        <w:rPr>
          <w:rFonts w:ascii="Calibri" w:cs="Calibri" w:eastAsia="Calibri" w:hAnsi="Calibri"/>
          <w:sz w:val="21"/>
          <w:szCs w:val="21"/>
        </w:rPr>
        <w:t xml:space="preserve">Factors associated with foster placement</w:t>
      </w:r>
    </w:p>
    <w:p>
      <w:pPr>
        <w:spacing w:after="120"/>
      </w:pPr>
      <w:r>
        <w:rPr>
          <w:rFonts w:ascii="Calibri" w:cs="Calibri" w:eastAsia="Calibri" w:hAnsi="Calibri"/>
          <w:b w:val="false"/>
          <w:bCs w:val="false"/>
          <w:i w:val="false"/>
          <w:iCs w:val="false"/>
          <w:sz w:val="21"/>
          <w:szCs w:val="21"/>
        </w:rPr>
        <w:t xml:space="preserve">This phase does not include:</w:t>
      </w:r>
    </w:p>
    <w:p>
      <w:pPr>
        <w:pStyle w:val="ListParagraph"/>
        <w:numPr>
          <w:ilvl w:val="0"/>
          <w:numId w:val="2"/>
        </w:numPr>
        <w:spacing w:after="60"/>
      </w:pPr>
      <w:r>
        <w:rPr>
          <w:rFonts w:ascii="Calibri" w:cs="Calibri" w:eastAsia="Calibri" w:hAnsi="Calibri"/>
          <w:sz w:val="21"/>
          <w:szCs w:val="21"/>
        </w:rPr>
        <w:t xml:space="preserve">Foster caregiver analysis</w:t>
      </w:r>
    </w:p>
    <w:p>
      <w:pPr>
        <w:pStyle w:val="ListParagraph"/>
        <w:numPr>
          <w:ilvl w:val="0"/>
          <w:numId w:val="2"/>
        </w:numPr>
        <w:spacing w:after="60"/>
      </w:pPr>
      <w:r>
        <w:rPr>
          <w:rFonts w:ascii="Calibri" w:cs="Calibri" w:eastAsia="Calibri" w:hAnsi="Calibri"/>
          <w:sz w:val="21"/>
          <w:szCs w:val="21"/>
        </w:rPr>
        <w:t xml:space="preserve">Foster capacity / supply analysis</w:t>
      </w:r>
    </w:p>
    <w:p>
      <w:pPr>
        <w:pStyle w:val="ListParagraph"/>
        <w:numPr>
          <w:ilvl w:val="0"/>
          <w:numId w:val="2"/>
        </w:numPr>
        <w:spacing w:after="60"/>
      </w:pPr>
      <w:r>
        <w:rPr>
          <w:rFonts w:ascii="Calibri" w:cs="Calibri" w:eastAsia="Calibri" w:hAnsi="Calibri"/>
          <w:sz w:val="21"/>
          <w:szCs w:val="21"/>
        </w:rPr>
        <w:t xml:space="preserve">Foster duration analysis</w:t>
      </w:r>
    </w:p>
    <w:p>
      <w:pPr>
        <w:pStyle w:val="ListParagraph"/>
        <w:numPr>
          <w:ilvl w:val="0"/>
          <w:numId w:val="2"/>
        </w:numPr>
        <w:spacing w:after="60"/>
      </w:pPr>
      <w:r>
        <w:rPr>
          <w:rFonts w:ascii="Calibri" w:cs="Calibri" w:eastAsia="Calibri" w:hAnsi="Calibri"/>
          <w:sz w:val="21"/>
          <w:szCs w:val="21"/>
        </w:rPr>
        <w:t xml:space="preserve">Foster outcome analysis</w:t>
      </w:r>
    </w:p>
    <w:p>
      <w:pPr>
        <w:pStyle w:val="ListParagraph"/>
        <w:numPr>
          <w:ilvl w:val="0"/>
          <w:numId w:val="2"/>
        </w:numPr>
        <w:spacing w:after="60"/>
      </w:pPr>
      <w:r>
        <w:rPr>
          <w:rFonts w:ascii="Calibri" w:cs="Calibri" w:eastAsia="Calibri" w:hAnsi="Calibri"/>
          <w:sz w:val="21"/>
          <w:szCs w:val="21"/>
        </w:rPr>
        <w:t xml:space="preserve">Foster-to-Adopt (FTA) or Staff vs. Volunteer segmentation</w:t>
      </w:r>
    </w:p>
    <w:p>
      <w:pPr>
        <w:pStyle w:val="ListParagraph"/>
        <w:numPr>
          <w:ilvl w:val="0"/>
          <w:numId w:val="2"/>
        </w:numPr>
        <w:spacing w:after="60"/>
      </w:pPr>
      <w:r>
        <w:rPr>
          <w:rFonts w:ascii="Calibri" w:cs="Calibri" w:eastAsia="Calibri" w:hAnsi="Calibri"/>
          <w:sz w:val="21"/>
          <w:szCs w:val="21"/>
        </w:rPr>
        <w:t xml:space="preserve">Program-level segmentation (EAB / LSAI) — reserved for Phase 2</w:t>
      </w:r>
    </w:p>
    <w:p>
      <w:pPr>
        <w:pStyle w:val="Heading1"/>
        <w:spacing w:after="160" w:before="320"/>
      </w:pPr>
      <w:r>
        <w:rPr>
          <w:rFonts w:ascii="Calibri" w:cs="Calibri" w:eastAsia="Calibri" w:hAnsi="Calibri"/>
          <w:b/>
          <w:bCs/>
          <w:color w:val="1F3864"/>
          <w:sz w:val="30"/>
          <w:szCs w:val="30"/>
        </w:rPr>
        <w:t xml:space="preserve">2. Naming Convention — Technical vs. Business Names</w:t>
      </w:r>
    </w:p>
    <w:p>
      <w:pPr>
        <w:spacing w:after="120"/>
      </w:pPr>
      <w:r>
        <w:rPr>
          <w:rFonts w:ascii="Calibri" w:cs="Calibri" w:eastAsia="Calibri" w:hAnsi="Calibri"/>
          <w:b w:val="false"/>
          <w:bCs w:val="false"/>
          <w:i w:val="false"/>
          <w:iCs w:val="false"/>
          <w:sz w:val="21"/>
          <w:szCs w:val="21"/>
        </w:rPr>
        <w:t xml:space="preserve">This version introduces a two-name convention for every table and column, aligned to Microsoft's skills-for-fabric semantic-model-authoring standards:</w:t>
      </w:r>
    </w:p>
    <w:p>
      <w:pPr>
        <w:pStyle w:val="ListParagraph"/>
        <w:numPr>
          <w:ilvl w:val="0"/>
          <w:numId w:val="2"/>
        </w:numPr>
        <w:spacing w:after="60"/>
      </w:pPr>
      <w:r>
        <w:rPr>
          <w:rFonts w:ascii="Calibri" w:cs="Calibri" w:eastAsia="Calibri" w:hAnsi="Calibri"/>
          <w:sz w:val="21"/>
          <w:szCs w:val="21"/>
        </w:rPr>
        <w:t xml:space="preserve">Technical Name (Fabric): the physical table/column as it exists in the Fabric Lakehouse/Warehouse and as ETL builds it. Used as the TMDL sourceColumn mapping. Data-engineering convention is retained as-is (e.g., Fact_/Dim_ prefixes, no-space casing).</w:t>
      </w:r>
    </w:p>
    <w:p>
      <w:pPr>
        <w:pStyle w:val="ListParagraph"/>
        <w:numPr>
          <w:ilvl w:val="0"/>
          <w:numId w:val="2"/>
        </w:numPr>
        <w:spacing w:after="60"/>
      </w:pPr>
      <w:r>
        <w:rPr>
          <w:rFonts w:ascii="Calibri" w:cs="Calibri" w:eastAsia="Calibri" w:hAnsi="Calibri"/>
          <w:sz w:val="21"/>
          <w:szCs w:val="21"/>
        </w:rPr>
        <w:t xml:space="preserve">Business Name (Power BI): the display name exposed in the Power BI semantic model — what report authors, Copilot, and Data Agents see. Readable casing with spaces, no technical prefixes, per naming-conventions.md.</w:t>
      </w:r>
    </w:p>
    <w:p>
      <w:pPr>
        <w:spacing w:after="120"/>
      </w:pPr>
      <w:r>
        <w:rPr>
          <w:rFonts w:ascii="Calibri" w:cs="Calibri" w:eastAsia="Calibri" w:hAnsi="Calibri"/>
          <w:b w:val="false"/>
          <w:bCs w:val="false"/>
          <w:i/>
          <w:iCs/>
          <w:sz w:val="21"/>
          <w:szCs w:val="21"/>
        </w:rPr>
        <w:t xml:space="preserve">DAX formulas and relationship descriptions in this document reference Business Names, since that is what is actually queryable in the built semantic model. Technical Names are provided for Step 13 (Implementation Agent) to correctly map sourceColumn during build.</w:t>
      </w:r>
    </w:p>
    <w:p>
      <w:pPr>
        <w:pStyle w:val="Heading1"/>
        <w:spacing w:after="160" w:before="320"/>
      </w:pPr>
      <w:r>
        <w:rPr>
          <w:rFonts w:ascii="Calibri" w:cs="Calibri" w:eastAsia="Calibri" w:hAnsi="Calibri"/>
          <w:b/>
          <w:bCs/>
          <w:color w:val="1F3864"/>
          <w:sz w:val="30"/>
          <w:szCs w:val="30"/>
        </w:rPr>
        <w:t xml:space="preserve">3. Business Process</w:t>
      </w:r>
    </w:p>
    <w:p>
      <w:pPr>
        <w:pStyle w:val="ListParagraph"/>
        <w:numPr>
          <w:ilvl w:val="0"/>
          <w:numId w:val="2"/>
        </w:numPr>
        <w:spacing w:after="60"/>
      </w:pPr>
      <w:r>
        <w:rPr>
          <w:rFonts w:ascii="Calibri" w:cs="Calibri" w:eastAsia="Calibri" w:hAnsi="Calibri"/>
          <w:sz w:val="21"/>
          <w:szCs w:val="21"/>
        </w:rPr>
        <w:t xml:space="preserve">Business Event: Animal Intake</w:t>
      </w:r>
    </w:p>
    <w:p>
      <w:pPr>
        <w:pStyle w:val="ListParagraph"/>
        <w:numPr>
          <w:ilvl w:val="0"/>
          <w:numId w:val="2"/>
        </w:numPr>
        <w:spacing w:after="60"/>
      </w:pPr>
      <w:r>
        <w:rPr>
          <w:rFonts w:ascii="Calibri" w:cs="Calibri" w:eastAsia="Calibri" w:hAnsi="Calibri"/>
          <w:sz w:val="21"/>
          <w:szCs w:val="21"/>
        </w:rPr>
        <w:t xml:space="preserve">Analytical Question: Of the animals entering BC SPCA care, how many eventually experienced foster placement?</w:t>
      </w:r>
    </w:p>
    <w:p>
      <w:pPr>
        <w:pStyle w:val="ListParagraph"/>
        <w:numPr>
          <w:ilvl w:val="0"/>
          <w:numId w:val="2"/>
        </w:numPr>
        <w:spacing w:after="60"/>
      </w:pPr>
      <w:r>
        <w:rPr>
          <w:rFonts w:ascii="Calibri" w:cs="Calibri" w:eastAsia="Calibri" w:hAnsi="Calibri"/>
          <w:sz w:val="21"/>
          <w:szCs w:val="21"/>
        </w:rPr>
        <w:t xml:space="preserve">Fact Grain: One row per intake event (ShelterBuddy transaction) — not one row per animal.</w:t>
      </w:r>
    </w:p>
    <w:p>
      <w:pPr>
        <w:spacing w:after="120"/>
      </w:pPr>
      <w:r>
        <w:rPr>
          <w:rFonts w:ascii="Calibri" w:cs="Calibri" w:eastAsia="Calibri" w:hAnsi="Calibri"/>
          <w:b w:val="false"/>
          <w:bCs w:val="false"/>
          <w:i/>
          <w:iCs/>
          <w:sz w:val="21"/>
          <w:szCs w:val="21"/>
        </w:rPr>
        <w:t xml:space="preserve">An animal that is surrendered and later re-enters care generates a distinct intake record each time, sharing the same AnimalID. Grain is defined by the business event (an intake transaction), not by a combination of dimension keys.</w:t>
      </w:r>
    </w:p>
    <w:p>
      <w:pPr>
        <w:pStyle w:val="Heading1"/>
        <w:spacing w:after="160" w:before="320"/>
      </w:pPr>
      <w:r>
        <w:rPr>
          <w:rFonts w:ascii="Calibri" w:cs="Calibri" w:eastAsia="Calibri" w:hAnsi="Calibri"/>
          <w:b/>
          <w:bCs/>
          <w:color w:val="1F3864"/>
          <w:sz w:val="30"/>
          <w:szCs w:val="30"/>
        </w:rPr>
        <w:t xml:space="preserve">4. Dimensional Model Definitions</w:t>
      </w:r>
    </w:p>
    <w:p>
      <w:pPr>
        <w:pStyle w:val="Heading2"/>
        <w:spacing w:after="120" w:before="260"/>
      </w:pPr>
      <w:r>
        <w:rPr>
          <w:rFonts w:ascii="Calibri" w:cs="Calibri" w:eastAsia="Calibri" w:hAnsi="Calibri"/>
          <w:b/>
          <w:bCs/>
          <w:color w:val="1F3864"/>
          <w:sz w:val="24"/>
          <w:szCs w:val="24"/>
        </w:rPr>
        <w:t xml:space="preserve">4.1 Date  (technical: Dim_Date)</w:t>
      </w:r>
    </w:p>
    <w:p>
      <w:pPr>
        <w:spacing w:after="120"/>
      </w:pPr>
      <w:r>
        <w:rPr>
          <w:rFonts w:ascii="Calibri" w:cs="Calibri" w:eastAsia="Calibri" w:hAnsi="Calibri"/>
          <w:b w:val="false"/>
          <w:bCs w:val="false"/>
          <w:i w:val="false"/>
          <w:iCs w:val="false"/>
          <w:sz w:val="21"/>
          <w:szCs w:val="21"/>
        </w:rPr>
        <w:t xml:space="preserve">Primary Key: Date Key  |  Grain: One row per calendar day  |  SCD Type: 1 (overwrite)  |  Build: Governed table, built upstream in Microsoft Fabric.</w:t>
      </w:r>
    </w:p>
    <w:p>
      <w:pPr>
        <w:spacing w:after="120"/>
      </w:pPr>
      <w:r>
        <w:rPr>
          <w:rFonts w:ascii="Calibri" w:cs="Calibri" w:eastAsia="Calibri" w:hAnsi="Calibri"/>
          <w:b w:val="false"/>
          <w:bCs w:val="false"/>
          <w:i w:val="false"/>
          <w:iCs w:val="false"/>
          <w:sz w:val="21"/>
          <w:szCs w:val="21"/>
        </w:rPr>
        <w:t xml:space="preserve">Driver Coverage: Time, Seasonality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3480"/>
        <w:gridCol w:w="2400"/>
      </w:tblGrid>
      <w:tr>
        <w:trPr>
          <w:tblHeader/>
        </w:trPr>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Technical Name (Fabric)</w:t>
            </w:r>
          </w:p>
        </w:tc>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Business Name (Power BI)</w:t>
            </w:r>
          </w:p>
        </w:tc>
        <w:tc>
          <w:tcPr>
            <w:tcW w:type="dxa" w:w="1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348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Build Notes</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DateKey</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Date Key</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Int64 (YYYYMMDD)</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Surrogate/join key, e.g. 20260714</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SummarizeBy: None</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Date</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Date</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DateTime</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Calendar date</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Year</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Year</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Int64</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Calendar year</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SummarizeBy: None</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Quarter</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Quarter</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Calendar quarter (Q1–Q4)</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Month</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Month</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Int64</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Calendar month number (1–12)</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SummarizeBy: None</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MonthName</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Month Name</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Month name</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sortByColumn: Month</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Week</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Week</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Week label</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Season</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Season</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Winter (Dec–Feb) / Spring (Mar–May) / Summer (Jun–Aug) / Fall (Sep–Nov) — supports BC seasonal / "kitten season" analysis</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bl>
    <w:p>
      <w:pPr>
        <w:pBdr>
          <w:left w:val="single" w:color="C00000" w:sz="18" w:space="8"/>
        </w:pBdr>
        <w:spacing w:after="200" w:before="100"/>
        <w:ind w:left="200"/>
      </w:pPr>
      <w:r>
        <w:rPr>
          <w:rFonts w:ascii="Calibri" w:cs="Calibri" w:eastAsia="Calibri" w:hAnsi="Calibri"/>
          <w:i/>
          <w:iCs/>
          <w:color w:val="7A1E1E"/>
          <w:sz w:val="20"/>
          <w:szCs w:val="20"/>
        </w:rPr>
        <w:t xml:space="preserve">Change from v1.1: Column technical names unchanged. Business Names reformatted to spaced, readable form (Date Key, Month Name). Added SummarizeBy: None on Date Key, Year, and Month — these are non-aggregatable numerics and would otherwise default to summable in Power BI. Recommend dataCategory: "Time" for Step 13 (applies at the table level).</w:t>
      </w:r>
    </w:p>
    <w:p>
      <w:pPr>
        <w:pStyle w:val="Heading2"/>
        <w:spacing w:after="120" w:before="260"/>
      </w:pPr>
      <w:r>
        <w:rPr>
          <w:rFonts w:ascii="Calibri" w:cs="Calibri" w:eastAsia="Calibri" w:hAnsi="Calibri"/>
          <w:b/>
          <w:bCs/>
          <w:color w:val="1F3864"/>
          <w:sz w:val="24"/>
          <w:szCs w:val="24"/>
        </w:rPr>
        <w:t xml:space="preserve">4.2 Centre  (technical: Dim_Centre)</w:t>
      </w:r>
    </w:p>
    <w:p>
      <w:pPr>
        <w:spacing w:after="120"/>
      </w:pPr>
      <w:r>
        <w:rPr>
          <w:rFonts w:ascii="Calibri" w:cs="Calibri" w:eastAsia="Calibri" w:hAnsi="Calibri"/>
          <w:b w:val="false"/>
          <w:bCs w:val="false"/>
          <w:i w:val="false"/>
          <w:iCs w:val="false"/>
          <w:sz w:val="21"/>
          <w:szCs w:val="21"/>
        </w:rPr>
        <w:t xml:space="preserve">Primary Key: Centre ID  |  SCD Type: 1 (overwrite)  |  Scope: 32 centres, 5 regions, all located in BC, all of type "Animal Shelter."</w:t>
      </w:r>
    </w:p>
    <w:p>
      <w:pPr>
        <w:spacing w:after="120"/>
      </w:pPr>
      <w:r>
        <w:rPr>
          <w:rFonts w:ascii="Calibri" w:cs="Calibri" w:eastAsia="Calibri" w:hAnsi="Calibri"/>
          <w:b w:val="false"/>
          <w:bCs w:val="false"/>
          <w:i w:val="false"/>
          <w:iCs w:val="false"/>
          <w:sz w:val="21"/>
          <w:szCs w:val="21"/>
        </w:rPr>
        <w:t xml:space="preserve">Driver Coverage: Region, Centre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3480"/>
        <w:gridCol w:w="2400"/>
      </w:tblGrid>
      <w:tr>
        <w:trPr>
          <w:tblHeader/>
        </w:trPr>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Technical Name (Fabric)</w:t>
            </w:r>
          </w:p>
        </w:tc>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Business Name (Power BI)</w:t>
            </w:r>
          </w:p>
        </w:tc>
        <w:tc>
          <w:tcPr>
            <w:tcW w:type="dxa" w:w="1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348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Build Notes</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CentreID</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Centre ID</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Unique centre identifier (PK)</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key column</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CentreName</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Centre</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Centre name — 32 distinct centres</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Region</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Region</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Operational region — 5 distinct regions</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PostalCode</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Postal Code</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Supports Power BI map visual geocoding</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dataCategory: "PostalCode"; SummarizeBy: None</w:t>
            </w:r>
          </w:p>
        </w:tc>
      </w:tr>
    </w:tbl>
    <w:p>
      <w:pPr>
        <w:pBdr>
          <w:left w:val="single" w:color="C00000" w:sz="18" w:space="8"/>
        </w:pBdr>
        <w:spacing w:after="200" w:before="100"/>
        <w:ind w:left="200"/>
      </w:pPr>
      <w:r>
        <w:rPr>
          <w:rFonts w:ascii="Calibri" w:cs="Calibri" w:eastAsia="Calibri" w:hAnsi="Calibri"/>
          <w:i/>
          <w:iCs/>
          <w:color w:val="7A1E1E"/>
          <w:sz w:val="20"/>
          <w:szCs w:val="20"/>
        </w:rPr>
        <w:t xml:space="preserve">Change from v1.1: Business Name for the primary descriptive column shortened to "Centre" (naming-conventions.md prefers the table's own name for its primary descriptive column, inside the Centre table). Centre ID marked Hidden — technical key columns are hidden in the semantic model; the business-friendly Centre column is what report authors use. Postal Code flagged with a geographic dataCategory and SummarizeBy: None.</w:t>
      </w:r>
    </w:p>
    <w:p>
      <w:pPr>
        <w:pStyle w:val="Heading2"/>
        <w:spacing w:after="120" w:before="260"/>
      </w:pPr>
      <w:r>
        <w:rPr>
          <w:rFonts w:ascii="Calibri" w:cs="Calibri" w:eastAsia="Calibri" w:hAnsi="Calibri"/>
          <w:b/>
          <w:bCs/>
          <w:color w:val="1F3864"/>
          <w:sz w:val="24"/>
          <w:szCs w:val="24"/>
        </w:rPr>
        <w:t xml:space="preserve">4.3 Animal  (technical: Dim_Animal)</w:t>
      </w:r>
    </w:p>
    <w:p>
      <w:pPr>
        <w:spacing w:after="120"/>
      </w:pPr>
      <w:r>
        <w:rPr>
          <w:rFonts w:ascii="Calibri" w:cs="Calibri" w:eastAsia="Calibri" w:hAnsi="Calibri"/>
          <w:b w:val="false"/>
          <w:bCs w:val="false"/>
          <w:i w:val="false"/>
          <w:iCs w:val="false"/>
          <w:sz w:val="21"/>
          <w:szCs w:val="21"/>
        </w:rPr>
        <w:t xml:space="preserve">Primary Key: Animal Key  |  SCD Type: 1 (overwrite)</w:t>
      </w:r>
    </w:p>
    <w:p>
      <w:pPr>
        <w:spacing w:after="120"/>
      </w:pPr>
      <w:r>
        <w:rPr>
          <w:rFonts w:ascii="Calibri" w:cs="Calibri" w:eastAsia="Calibri" w:hAnsi="Calibri"/>
          <w:b w:val="false"/>
          <w:bCs w:val="false"/>
          <w:i w:val="false"/>
          <w:iCs w:val="false"/>
          <w:sz w:val="21"/>
          <w:szCs w:val="21"/>
        </w:rPr>
        <w:t xml:space="preserve">Driver Coverage: Species, Age Group, Breed, Sex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3480"/>
        <w:gridCol w:w="2400"/>
      </w:tblGrid>
      <w:tr>
        <w:trPr>
          <w:tblHeader/>
        </w:trPr>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Technical Name (Fabric)</w:t>
            </w:r>
          </w:p>
        </w:tc>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Business Name (Power BI)</w:t>
            </w:r>
          </w:p>
        </w:tc>
        <w:tc>
          <w:tcPr>
            <w:tcW w:type="dxa" w:w="1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348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Build Notes</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AnimalKey</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 Key</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Int64</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 surrogate key (PK)</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key column</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AnimalID</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 ID</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ShelterBuddy Animal ID (natural key). Retained to support a future DISTINCTCOUNT(Animal ID) measure distinct from the event-level Intake Count.</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key column</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Species</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Species</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 species</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Breed</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Breed</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 breed</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AgeGroup</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Age Group</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Neonate / Juvenile / Adult / Senior — native ShelterBuddy field</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Sex</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Sex</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Retained as a low-cost, plausible driver. Treat as a hypothesis to validate — likely correlated with Species × Age Group (Neonate), not independent.</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bl>
    <w:p>
      <w:pPr>
        <w:pStyle w:val="Heading2"/>
        <w:spacing w:after="120" w:before="260"/>
      </w:pPr>
      <w:r>
        <w:rPr>
          <w:rFonts w:ascii="Calibri" w:cs="Calibri" w:eastAsia="Calibri" w:hAnsi="Calibri"/>
          <w:b/>
          <w:bCs/>
          <w:color w:val="1F3864"/>
          <w:sz w:val="24"/>
          <w:szCs w:val="24"/>
        </w:rPr>
        <w:t xml:space="preserve">4.4 Intake Type  (technical: Dim_Intake)</w:t>
      </w:r>
    </w:p>
    <w:p>
      <w:pPr>
        <w:spacing w:after="120"/>
      </w:pPr>
      <w:r>
        <w:rPr>
          <w:rFonts w:ascii="Calibri" w:cs="Calibri" w:eastAsia="Calibri" w:hAnsi="Calibri"/>
          <w:b w:val="false"/>
          <w:bCs w:val="false"/>
          <w:i w:val="false"/>
          <w:iCs w:val="false"/>
          <w:sz w:val="21"/>
          <w:szCs w:val="21"/>
        </w:rPr>
        <w:t xml:space="preserve">Primary Key: Intake Type ID  |  Grain: One row per ShelterBuddy intake type  |  SCD Type: 1 (overwrite)</w:t>
      </w:r>
    </w:p>
    <w:p>
      <w:pPr>
        <w:spacing w:after="120"/>
      </w:pPr>
      <w:r>
        <w:rPr>
          <w:rFonts w:ascii="Calibri" w:cs="Calibri" w:eastAsia="Calibri" w:hAnsi="Calibri"/>
          <w:b w:val="false"/>
          <w:bCs w:val="false"/>
          <w:i w:val="false"/>
          <w:iCs w:val="false"/>
          <w:sz w:val="21"/>
          <w:szCs w:val="21"/>
        </w:rPr>
        <w:t xml:space="preserve">Driver Coverage: Intake Source, Intake Group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3480"/>
        <w:gridCol w:w="2400"/>
      </w:tblGrid>
      <w:tr>
        <w:trPr>
          <w:tblHeader/>
        </w:trPr>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Technical Name (Fabric)</w:t>
            </w:r>
          </w:p>
        </w:tc>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Business Name (Power BI)</w:t>
            </w:r>
          </w:p>
        </w:tc>
        <w:tc>
          <w:tcPr>
            <w:tcW w:type="dxa" w:w="1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348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Build Notes</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IntakeTypeID</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 Type ID</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 category identifier (PK) — 34 distinct source values</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key column</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IntakeType</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 Type</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Raw ShelterBuddy intake type (Stray, Owner Surrender, Humane Officer Surrender, Returns, Humane Officer Seized, Euthanasia Request, Transfer In (External), Other) — 34 values</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IntakeGroup</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 Group</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Data-Owner-governed rollup — 8 groups. Many-to-one from Intake Type.</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bl>
    <w:p>
      <w:pPr>
        <w:pStyle w:val="Heading1"/>
        <w:spacing w:after="160" w:before="320"/>
      </w:pPr>
      <w:r>
        <w:rPr>
          <w:rFonts w:ascii="Calibri" w:cs="Calibri" w:eastAsia="Calibri" w:hAnsi="Calibri"/>
          <w:b/>
          <w:bCs/>
          <w:color w:val="1F3864"/>
          <w:sz w:val="30"/>
          <w:szCs w:val="30"/>
        </w:rPr>
        <w:t xml:space="preserve">5. Fact Table Definition</w:t>
      </w:r>
    </w:p>
    <w:p>
      <w:pPr>
        <w:pStyle w:val="Heading2"/>
        <w:spacing w:after="120" w:before="260"/>
      </w:pPr>
      <w:r>
        <w:rPr>
          <w:rFonts w:ascii="Calibri" w:cs="Calibri" w:eastAsia="Calibri" w:hAnsi="Calibri"/>
          <w:b/>
          <w:bCs/>
          <w:color w:val="1F3864"/>
          <w:sz w:val="24"/>
          <w:szCs w:val="24"/>
        </w:rPr>
        <w:t xml:space="preserve">Animal Intakes  (technical: Fact_AnimalIntake)</w:t>
      </w:r>
    </w:p>
    <w:p>
      <w:pPr>
        <w:spacing w:after="120"/>
      </w:pPr>
      <w:r>
        <w:rPr>
          <w:rFonts w:ascii="Calibri" w:cs="Calibri" w:eastAsia="Calibri" w:hAnsi="Calibri"/>
          <w:b/>
          <w:bCs/>
          <w:i w:val="false"/>
          <w:iCs w:val="false"/>
          <w:sz w:val="21"/>
          <w:szCs w:val="21"/>
        </w:rPr>
        <w:t xml:space="preserve">Grain: One row per intake event, as recorded by ShelterBuddy. One animal with two separate intakes produces two fact rows sharing one Animal Key.</w:t>
      </w:r>
    </w:p>
    <w:p>
      <w:pPr>
        <w:spacing w:after="120"/>
      </w:pPr>
      <w:r>
        <w:rPr>
          <w:rFonts w:ascii="Calibri" w:cs="Calibri" w:eastAsia="Calibri" w:hAnsi="Calibri"/>
          <w:b w:val="false"/>
          <w:bCs w:val="false"/>
          <w:i w:val="false"/>
          <w:iCs w:val="false"/>
          <w:sz w:val="21"/>
          <w:szCs w:val="21"/>
        </w:rPr>
        <w:t xml:space="preserve">Description: Primary analytical fact table used to determine whether an intake animal experienced foster placement. Supports Foster Discovery reporting and Foster Placement Rate calculations.</w:t>
      </w:r>
    </w:p>
    <w:p>
      <w:pPr>
        <w:pStyle w:val="Heading3"/>
        <w:spacing w:after="100" w:before="200"/>
      </w:pPr>
      <w:r>
        <w:rPr>
          <w:rFonts w:ascii="Calibri" w:cs="Calibri" w:eastAsia="Calibri" w:hAnsi="Calibri"/>
          <w:b/>
          <w:bCs/>
          <w:color w:val="2E5395"/>
          <w:sz w:val="21"/>
          <w:szCs w:val="21"/>
        </w:rPr>
        <w:t xml:space="preserve">Foreign Keys</w:t>
      </w:r>
    </w:p>
    <w:p>
      <w:pPr>
        <w:pStyle w:val="ListParagraph"/>
        <w:numPr>
          <w:ilvl w:val="0"/>
          <w:numId w:val="2"/>
        </w:numPr>
        <w:spacing w:after="60"/>
      </w:pPr>
      <w:r>
        <w:rPr>
          <w:rFonts w:ascii="Calibri" w:cs="Calibri" w:eastAsia="Calibri" w:hAnsi="Calibri"/>
          <w:sz w:val="21"/>
          <w:szCs w:val="21"/>
        </w:rPr>
        <w:t xml:space="preserve">Date Key → Date  (bound to Intake Date — see Section 8, Design Decision)</w:t>
      </w:r>
    </w:p>
    <w:p>
      <w:pPr>
        <w:pStyle w:val="ListParagraph"/>
        <w:numPr>
          <w:ilvl w:val="0"/>
          <w:numId w:val="2"/>
        </w:numPr>
        <w:spacing w:after="60"/>
      </w:pPr>
      <w:r>
        <w:rPr>
          <w:rFonts w:ascii="Calibri" w:cs="Calibri" w:eastAsia="Calibri" w:hAnsi="Calibri"/>
          <w:sz w:val="21"/>
          <w:szCs w:val="21"/>
        </w:rPr>
        <w:t xml:space="preserve">Centre ID → Centre</w:t>
      </w:r>
    </w:p>
    <w:p>
      <w:pPr>
        <w:pStyle w:val="ListParagraph"/>
        <w:numPr>
          <w:ilvl w:val="0"/>
          <w:numId w:val="2"/>
        </w:numPr>
        <w:spacing w:after="60"/>
      </w:pPr>
      <w:r>
        <w:rPr>
          <w:rFonts w:ascii="Calibri" w:cs="Calibri" w:eastAsia="Calibri" w:hAnsi="Calibri"/>
          <w:sz w:val="21"/>
          <w:szCs w:val="21"/>
        </w:rPr>
        <w:t xml:space="preserve">Intake Type ID → Intake Type</w:t>
      </w:r>
    </w:p>
    <w:p>
      <w:pPr>
        <w:pStyle w:val="ListParagraph"/>
        <w:numPr>
          <w:ilvl w:val="0"/>
          <w:numId w:val="2"/>
        </w:numPr>
        <w:spacing w:after="60"/>
      </w:pPr>
      <w:r>
        <w:rPr>
          <w:rFonts w:ascii="Calibri" w:cs="Calibri" w:eastAsia="Calibri" w:hAnsi="Calibri"/>
          <w:sz w:val="21"/>
          <w:szCs w:val="21"/>
        </w:rPr>
        <w:t xml:space="preserve">Animal Key → Animal</w:t>
      </w:r>
    </w:p>
    <w:p>
      <w:pPr>
        <w:pStyle w:val="Heading3"/>
        <w:spacing w:after="100" w:before="200"/>
      </w:pPr>
      <w:r>
        <w:rPr>
          <w:rFonts w:ascii="Calibri" w:cs="Calibri" w:eastAsia="Calibri" w:hAnsi="Calibri"/>
          <w:b/>
          <w:bCs/>
          <w:color w:val="2E5395"/>
          <w:sz w:val="21"/>
          <w:szCs w:val="21"/>
        </w:rPr>
        <w:t xml:space="preserve">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3480"/>
        <w:gridCol w:w="2400"/>
      </w:tblGrid>
      <w:tr>
        <w:trPr>
          <w:tblHeader/>
        </w:trPr>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Technical Name (Fabric)</w:t>
            </w:r>
          </w:p>
        </w:tc>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Business Name (Power BI)</w:t>
            </w:r>
          </w:p>
        </w:tc>
        <w:tc>
          <w:tcPr>
            <w:tcW w:type="dxa" w:w="1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348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Build Notes</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SourceIntakeID</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Source Intake ID</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ShelterBuddy's unique intake transaction ID (natural key). Guarantees grain uniqueness at load; supports reconciliation and QA.</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backend/QA only</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DateKey</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Date Key</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Int64 (FK)</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Date</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FK column</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CentreID</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Centre ID</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 (FK)</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 Centre</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FK column</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IntakeTypeID</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 Type ID</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 (FK)</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Intake Type</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FK column</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AnimalKey</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 Key</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Int64 (FK)</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 Animal</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FK column</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IntakeCount</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 Count</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Int64</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Additive measure, constant value = 1. Base column for the [Intake Count] measure.</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base column for explicit measure</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FosterFlag</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Foster Flag</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Int64 (0/1)</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Additive measure. Integer, not Boolean, so it can be SUM()'d directly. Base column for the [Animals Ever Fostered] measure.</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base column for explicit measure</w:t>
            </w:r>
          </w:p>
        </w:tc>
      </w:tr>
    </w:tbl>
    <w:p>
      <w:pPr>
        <w:pBdr>
          <w:left w:val="single" w:color="C00000" w:sz="18" w:space="8"/>
        </w:pBdr>
        <w:spacing w:after="200" w:before="100"/>
        <w:ind w:left="200"/>
      </w:pPr>
      <w:r>
        <w:rPr>
          <w:rFonts w:ascii="Calibri" w:cs="Calibri" w:eastAsia="Calibri" w:hAnsi="Calibri"/>
          <w:i/>
          <w:iCs/>
          <w:color w:val="7A1E1E"/>
          <w:sz w:val="20"/>
          <w:szCs w:val="20"/>
        </w:rPr>
        <w:t xml:space="preserve">Change from v1.1: FactAnimalIntakeID (surrogate PK) REMOVED. Nothing relates to a fact table's own key — dimensions relate into the fact via their FKs — so a fact-level surrogate key is pure memory overhead with no join benefit in a VertiPaq/columnstore engine. Source Intake ID alone guarantees grain uniqueness. All FK columns and both measure base columns now marked Hidden per Fabric best practice: explicit DAX measures are the user-facing interface, not the raw summable columns.</w:t>
      </w:r>
    </w:p>
    <w:p>
      <w:pPr>
        <w:pStyle w:val="Heading1"/>
        <w:spacing w:after="160" w:before="320"/>
      </w:pPr>
      <w:r>
        <w:rPr>
          <w:rFonts w:ascii="Calibri" w:cs="Calibri" w:eastAsia="Calibri" w:hAnsi="Calibri"/>
          <w:b/>
          <w:bCs/>
          <w:color w:val="1F3864"/>
          <w:sz w:val="30"/>
          <w:szCs w:val="30"/>
        </w:rPr>
        <w:t xml:space="preserve">6. KPI Definitions</w:t>
      </w:r>
    </w:p>
    <w:p>
      <w:pPr>
        <w:pStyle w:val="Heading3"/>
        <w:spacing w:after="100" w:before="200"/>
      </w:pPr>
      <w:r>
        <w:rPr>
          <w:rFonts w:ascii="Calibri" w:cs="Calibri" w:eastAsia="Calibri" w:hAnsi="Calibri"/>
          <w:b/>
          <w:bCs/>
          <w:color w:val="2E5395"/>
          <w:sz w:val="21"/>
          <w:szCs w:val="21"/>
        </w:rPr>
        <w:t xml:space="preserve">KPI: Intake Count</w:t>
      </w:r>
    </w:p>
    <w:p>
      <w:pPr>
        <w:pStyle w:val="ListParagraph"/>
        <w:numPr>
          <w:ilvl w:val="0"/>
          <w:numId w:val="2"/>
        </w:numPr>
        <w:spacing w:after="60"/>
      </w:pPr>
      <w:r>
        <w:rPr>
          <w:rFonts w:ascii="Calibri" w:cs="Calibri" w:eastAsia="Calibri" w:hAnsi="Calibri"/>
          <w:sz w:val="21"/>
          <w:szCs w:val="21"/>
        </w:rPr>
        <w:t xml:space="preserve">Definition: Count of intake events (see grain note — not a distinct-animal count).</w:t>
      </w:r>
    </w:p>
    <w:p>
      <w:pPr>
        <w:pStyle w:val="ListParagraph"/>
        <w:numPr>
          <w:ilvl w:val="0"/>
          <w:numId w:val="2"/>
        </w:numPr>
        <w:spacing w:after="60"/>
      </w:pPr>
      <w:r>
        <w:rPr>
          <w:rFonts w:ascii="Calibri" w:cs="Calibri" w:eastAsia="Calibri" w:hAnsi="Calibri"/>
          <w:sz w:val="21"/>
          <w:szCs w:val="21"/>
        </w:rPr>
        <w:t xml:space="preserve">Grain: Animal Intake</w:t>
      </w:r>
    </w:p>
    <w:p>
      <w:pPr>
        <w:pStyle w:val="ListParagraph"/>
        <w:numPr>
          <w:ilvl w:val="0"/>
          <w:numId w:val="2"/>
        </w:numPr>
        <w:spacing w:after="60"/>
      </w:pPr>
      <w:r>
        <w:rPr>
          <w:rFonts w:ascii="Calibri" w:cs="Calibri" w:eastAsia="Calibri" w:hAnsi="Calibri"/>
          <w:sz w:val="21"/>
          <w:szCs w:val="21"/>
        </w:rPr>
        <w:t xml:space="preserve">Formula: SUM('Animal Intakes'[Intake Count])</w:t>
      </w:r>
    </w:p>
    <w:p>
      <w:pPr>
        <w:pStyle w:val="ListParagraph"/>
        <w:numPr>
          <w:ilvl w:val="0"/>
          <w:numId w:val="2"/>
        </w:numPr>
        <w:spacing w:after="60"/>
      </w:pPr>
      <w:r>
        <w:rPr>
          <w:rFonts w:ascii="Calibri" w:cs="Calibri" w:eastAsia="Calibri" w:hAnsi="Calibri"/>
          <w:sz w:val="21"/>
          <w:szCs w:val="21"/>
        </w:rPr>
        <w:t xml:space="preserve">Base column 'Animal Intakes'[Intake Count] is hidden; this measure is the user-facing interface.</w:t>
      </w:r>
    </w:p>
    <w:p>
      <w:pPr>
        <w:pStyle w:val="Heading3"/>
        <w:spacing w:after="100" w:before="200"/>
      </w:pPr>
      <w:r>
        <w:rPr>
          <w:rFonts w:ascii="Calibri" w:cs="Calibri" w:eastAsia="Calibri" w:hAnsi="Calibri"/>
          <w:b/>
          <w:bCs/>
          <w:color w:val="2E5395"/>
          <w:sz w:val="21"/>
          <w:szCs w:val="21"/>
        </w:rPr>
        <w:t xml:space="preserve">KPI: Animals Ever Fostered</w:t>
      </w:r>
    </w:p>
    <w:p>
      <w:pPr>
        <w:pStyle w:val="ListParagraph"/>
        <w:numPr>
          <w:ilvl w:val="0"/>
          <w:numId w:val="2"/>
        </w:numPr>
        <w:spacing w:after="60"/>
      </w:pPr>
      <w:r>
        <w:rPr>
          <w:rFonts w:ascii="Calibri" w:cs="Calibri" w:eastAsia="Calibri" w:hAnsi="Calibri"/>
          <w:sz w:val="21"/>
          <w:szCs w:val="21"/>
        </w:rPr>
        <w:t xml:space="preserve">Definition: Count of intake events where the animal experienced at least one foster placement.</w:t>
      </w:r>
    </w:p>
    <w:p>
      <w:pPr>
        <w:pStyle w:val="ListParagraph"/>
        <w:numPr>
          <w:ilvl w:val="0"/>
          <w:numId w:val="2"/>
        </w:numPr>
        <w:spacing w:after="60"/>
      </w:pPr>
      <w:r>
        <w:rPr>
          <w:rFonts w:ascii="Calibri" w:cs="Calibri" w:eastAsia="Calibri" w:hAnsi="Calibri"/>
          <w:sz w:val="21"/>
          <w:szCs w:val="21"/>
        </w:rPr>
        <w:t xml:space="preserve">Grain: Animal Intake</w:t>
      </w:r>
    </w:p>
    <w:p>
      <w:pPr>
        <w:pStyle w:val="ListParagraph"/>
        <w:numPr>
          <w:ilvl w:val="0"/>
          <w:numId w:val="2"/>
        </w:numPr>
        <w:spacing w:after="60"/>
      </w:pPr>
      <w:r>
        <w:rPr>
          <w:rFonts w:ascii="Calibri" w:cs="Calibri" w:eastAsia="Calibri" w:hAnsi="Calibri"/>
          <w:sz w:val="21"/>
          <w:szCs w:val="21"/>
        </w:rPr>
        <w:t xml:space="preserve">Formula: SUM('Animal Intakes'[Foster Flag])</w:t>
      </w:r>
    </w:p>
    <w:p>
      <w:pPr>
        <w:pStyle w:val="ListParagraph"/>
        <w:numPr>
          <w:ilvl w:val="0"/>
          <w:numId w:val="2"/>
        </w:numPr>
        <w:spacing w:after="60"/>
      </w:pPr>
      <w:r>
        <w:rPr>
          <w:rFonts w:ascii="Calibri" w:cs="Calibri" w:eastAsia="Calibri" w:hAnsi="Calibri"/>
          <w:sz w:val="21"/>
          <w:szCs w:val="21"/>
        </w:rPr>
        <w:t xml:space="preserve">Base column 'Animal Intakes'[Foster Flag] is hidden; this measure is the user-facing interface.</w:t>
      </w:r>
    </w:p>
    <w:p>
      <w:pPr>
        <w:pStyle w:val="Heading3"/>
        <w:spacing w:after="100" w:before="200"/>
      </w:pPr>
      <w:r>
        <w:rPr>
          <w:rFonts w:ascii="Calibri" w:cs="Calibri" w:eastAsia="Calibri" w:hAnsi="Calibri"/>
          <w:b/>
          <w:bCs/>
          <w:color w:val="2E5395"/>
          <w:sz w:val="21"/>
          <w:szCs w:val="21"/>
        </w:rPr>
        <w:t xml:space="preserve">KPI: Foster Placement Rate (%)</w:t>
      </w:r>
    </w:p>
    <w:p>
      <w:pPr>
        <w:pStyle w:val="ListParagraph"/>
        <w:numPr>
          <w:ilvl w:val="0"/>
          <w:numId w:val="2"/>
        </w:numPr>
        <w:spacing w:after="60"/>
      </w:pPr>
      <w:r>
        <w:rPr>
          <w:rFonts w:ascii="Calibri" w:cs="Calibri" w:eastAsia="Calibri" w:hAnsi="Calibri"/>
          <w:sz w:val="21"/>
          <w:szCs w:val="21"/>
        </w:rPr>
        <w:t xml:space="preserve">Definition: Percentage of intake events that experienced foster placement.</w:t>
      </w:r>
    </w:p>
    <w:p>
      <w:pPr>
        <w:pStyle w:val="ListParagraph"/>
        <w:numPr>
          <w:ilvl w:val="0"/>
          <w:numId w:val="2"/>
        </w:numPr>
        <w:spacing w:after="60"/>
      </w:pPr>
      <w:r>
        <w:rPr>
          <w:rFonts w:ascii="Calibri" w:cs="Calibri" w:eastAsia="Calibri" w:hAnsi="Calibri"/>
          <w:sz w:val="21"/>
          <w:szCs w:val="21"/>
        </w:rPr>
        <w:t xml:space="preserve">Grain: Aggregate — implemented as a DAX measure (not stored/pre-calculated) so it recalculates correctly under any filter context.</w:t>
      </w:r>
    </w:p>
    <w:p>
      <w:pPr>
        <w:pStyle w:val="ListParagraph"/>
        <w:numPr>
          <w:ilvl w:val="0"/>
          <w:numId w:val="2"/>
        </w:numPr>
        <w:spacing w:after="60"/>
      </w:pPr>
      <w:r>
        <w:rPr>
          <w:rFonts w:ascii="Calibri" w:cs="Calibri" w:eastAsia="Calibri" w:hAnsi="Calibri"/>
          <w:sz w:val="21"/>
          <w:szCs w:val="21"/>
        </w:rPr>
        <w:t xml:space="preserve">Formula: DIVIDE( [Animals Ever Fostered], [Intake Count] )</w:t>
      </w:r>
    </w:p>
    <w:p>
      <w:pPr>
        <w:pStyle w:val="ListParagraph"/>
        <w:numPr>
          <w:ilvl w:val="0"/>
          <w:numId w:val="2"/>
        </w:numPr>
        <w:spacing w:after="60"/>
      </w:pPr>
      <w:r>
        <w:rPr>
          <w:rFonts w:ascii="Calibri" w:cs="Calibri" w:eastAsia="Calibri" w:hAnsi="Calibri"/>
          <w:sz w:val="21"/>
          <w:szCs w:val="21"/>
        </w:rPr>
        <w:t xml:space="preserve">formatString: "0.00%" per naming-conventions.md measure/format guidance. Measure name follows the (%) unit-suffix convention.</w:t>
      </w:r>
    </w:p>
    <w:p>
      <w:pPr>
        <w:pBdr>
          <w:left w:val="single" w:color="C00000" w:sz="18" w:space="8"/>
        </w:pBdr>
        <w:spacing w:after="200" w:before="100"/>
        <w:ind w:left="200"/>
      </w:pPr>
      <w:r>
        <w:rPr>
          <w:rFonts w:ascii="Calibri" w:cs="Calibri" w:eastAsia="Calibri" w:hAnsi="Calibri"/>
          <w:i/>
          <w:iCs/>
          <w:color w:val="7A1E1E"/>
          <w:sz w:val="20"/>
          <w:szCs w:val="20"/>
        </w:rPr>
        <w:t xml:space="preserve">Future / Phase 2+: DISTINCTCOUNT('Animal'[Animal ID]) may be added as a parallel "# Animals" measure, distinct from the event-level Intake Count, since intake records are not unique per animal.</w:t>
      </w:r>
    </w:p>
    <w:p>
      <w:pPr>
        <w:pStyle w:val="Heading1"/>
        <w:spacing w:after="160" w:before="320"/>
      </w:pPr>
      <w:r>
        <w:rPr>
          <w:rFonts w:ascii="Calibri" w:cs="Calibri" w:eastAsia="Calibri" w:hAnsi="Calibri"/>
          <w:b/>
          <w:bCs/>
          <w:color w:val="1F3864"/>
          <w:sz w:val="30"/>
          <w:szCs w:val="30"/>
        </w:rPr>
        <w:t xml:space="preserve">7. Fabric / Power BI Build Notes Summary</w:t>
      </w:r>
    </w:p>
    <w:p>
      <w:pPr>
        <w:spacing w:after="120"/>
      </w:pPr>
      <w:r>
        <w:rPr>
          <w:rFonts w:ascii="Calibri" w:cs="Calibri" w:eastAsia="Calibri" w:hAnsi="Calibri"/>
          <w:b w:val="false"/>
          <w:bCs w:val="false"/>
          <w:i w:val="false"/>
          <w:iCs w:val="false"/>
          <w:sz w:val="21"/>
          <w:szCs w:val="21"/>
        </w:rPr>
        <w:t xml:space="preserve">Consolidated build-readiness guidance for Step 13 (Implementation Agent), per Microsoft skills-for-fabric semantic-model-authoring standards:</w:t>
      </w:r>
    </w:p>
    <w:p>
      <w:pPr>
        <w:pStyle w:val="ListParagraph"/>
        <w:numPr>
          <w:ilvl w:val="0"/>
          <w:numId w:val="2"/>
        </w:numPr>
        <w:spacing w:after="60"/>
      </w:pPr>
      <w:r>
        <w:rPr>
          <w:rFonts w:ascii="Calibri" w:cs="Calibri" w:eastAsia="Calibri" w:hAnsi="Calibri"/>
          <w:sz w:val="21"/>
          <w:szCs w:val="21"/>
        </w:rPr>
        <w:t xml:space="preserve">All primary/foreign key columns hidden across all tables — business-friendly descriptive columns are the user-facing interface.</w:t>
      </w:r>
    </w:p>
    <w:p>
      <w:pPr>
        <w:pStyle w:val="ListParagraph"/>
        <w:numPr>
          <w:ilvl w:val="0"/>
          <w:numId w:val="2"/>
        </w:numPr>
        <w:spacing w:after="60"/>
      </w:pPr>
      <w:r>
        <w:rPr>
          <w:rFonts w:ascii="Calibri" w:cs="Calibri" w:eastAsia="Calibri" w:hAnsi="Calibri"/>
          <w:sz w:val="21"/>
          <w:szCs w:val="21"/>
        </w:rPr>
        <w:t xml:space="preserve">Both fact measure base columns (Intake Count, Foster Flag) hidden — explicit DAX measures (Intake Count, Animals Ever Fostered) are the user-facing interface.</w:t>
      </w:r>
    </w:p>
    <w:p>
      <w:pPr>
        <w:pStyle w:val="ListParagraph"/>
        <w:numPr>
          <w:ilvl w:val="0"/>
          <w:numId w:val="2"/>
        </w:numPr>
        <w:spacing w:after="60"/>
      </w:pPr>
      <w:r>
        <w:rPr>
          <w:rFonts w:ascii="Calibri" w:cs="Calibri" w:eastAsia="Calibri" w:hAnsi="Calibri"/>
          <w:sz w:val="21"/>
          <w:szCs w:val="21"/>
        </w:rPr>
        <w:t xml:space="preserve">SummarizeBy: None set on Date Key, Year, Month (Date table) and Postal Code (Centre table) — these are non-aggregatable numerics.</w:t>
      </w:r>
    </w:p>
    <w:p>
      <w:pPr>
        <w:pStyle w:val="ListParagraph"/>
        <w:numPr>
          <w:ilvl w:val="0"/>
          <w:numId w:val="2"/>
        </w:numPr>
        <w:spacing w:after="60"/>
      </w:pPr>
      <w:r>
        <w:rPr>
          <w:rFonts w:ascii="Calibri" w:cs="Calibri" w:eastAsia="Calibri" w:hAnsi="Calibri"/>
          <w:sz w:val="21"/>
          <w:szCs w:val="21"/>
        </w:rPr>
        <w:t xml:space="preserve">No fact-table surrogate key — Source Intake ID (natural key) is sufficient for grain uniqueness and QA.</w:t>
      </w:r>
    </w:p>
    <w:p>
      <w:pPr>
        <w:pStyle w:val="ListParagraph"/>
        <w:numPr>
          <w:ilvl w:val="0"/>
          <w:numId w:val="2"/>
        </w:numPr>
        <w:spacing w:after="60"/>
      </w:pPr>
      <w:r>
        <w:rPr>
          <w:rFonts w:ascii="Calibri" w:cs="Calibri" w:eastAsia="Calibri" w:hAnsi="Calibri"/>
          <w:sz w:val="21"/>
          <w:szCs w:val="21"/>
        </w:rPr>
        <w:t xml:space="preserve">Recommend enabling discourageImplicitMeasures at the model level once built, consistent with explicit-measures-only design.</w:t>
      </w:r>
    </w:p>
    <w:p>
      <w:pPr>
        <w:pStyle w:val="ListParagraph"/>
        <w:numPr>
          <w:ilvl w:val="0"/>
          <w:numId w:val="2"/>
        </w:numPr>
        <w:spacing w:after="60"/>
      </w:pPr>
      <w:r>
        <w:rPr>
          <w:rFonts w:ascii="Calibri" w:cs="Calibri" w:eastAsia="Calibri" w:hAnsi="Calibri"/>
          <w:sz w:val="21"/>
          <w:szCs w:val="21"/>
        </w:rPr>
        <w:t xml:space="preserve">Recommend dataCategory: "Time" on the Date table and dataCategory: "PostalCode" on Centre[Postal Code] for map visual support.</w:t>
      </w:r>
    </w:p>
    <w:p>
      <w:pPr>
        <w:pStyle w:val="Heading1"/>
        <w:spacing w:after="160" w:before="320"/>
      </w:pPr>
      <w:r>
        <w:rPr>
          <w:rFonts w:ascii="Calibri" w:cs="Calibri" w:eastAsia="Calibri" w:hAnsi="Calibri"/>
          <w:b/>
          <w:bCs/>
          <w:color w:val="1F3864"/>
          <w:sz w:val="30"/>
          <w:szCs w:val="30"/>
        </w:rPr>
        <w:t xml:space="preserve">8. Design Decision: Date Dimension Binding</w:t>
      </w:r>
    </w:p>
    <w:p>
      <w:pPr>
        <w:spacing w:after="120"/>
      </w:pPr>
      <w:r>
        <w:rPr>
          <w:rFonts w:ascii="Calibri" w:cs="Calibri" w:eastAsia="Calibri" w:hAnsi="Calibri"/>
          <w:b/>
          <w:bCs/>
          <w:i w:val="false"/>
          <w:iCs w:val="false"/>
          <w:sz w:val="21"/>
          <w:szCs w:val="21"/>
        </w:rPr>
        <w:t xml:space="preserve">Decision: Date analysis uses Intake Date, not Foster Date.</w:t>
      </w:r>
    </w:p>
    <w:p>
      <w:pPr>
        <w:spacing w:after="120"/>
      </w:pPr>
      <w:r>
        <w:rPr>
          <w:rFonts w:ascii="Calibri" w:cs="Calibri" w:eastAsia="Calibri" w:hAnsi="Calibri"/>
          <w:b w:val="false"/>
          <w:bCs w:val="false"/>
          <w:i w:val="false"/>
          <w:iCs w:val="false"/>
          <w:sz w:val="21"/>
          <w:szCs w:val="21"/>
        </w:rPr>
        <w:t xml:space="preserve">Rationale: The primary business question is: "Of animals entering BC SPCA care, how many eventually experienced foster placement?" Therefore, Phase 1 is an Intake Cohort Analysis rather than a Foster Activity Analysis. Binding the model to Intake Date allows the team to evaluate foster utilization consistently across all intake populations and establish a historical baseline before introducing KPI thresholds and operational targets.</w:t>
      </w:r>
    </w:p>
    <w:p>
      <w:pPr>
        <w:pStyle w:val="Heading1"/>
        <w:spacing w:after="160" w:before="320"/>
      </w:pPr>
      <w:r>
        <w:rPr>
          <w:rFonts w:ascii="Calibri" w:cs="Calibri" w:eastAsia="Calibri" w:hAnsi="Calibri"/>
          <w:b/>
          <w:bCs/>
          <w:color w:val="1F3864"/>
          <w:sz w:val="30"/>
          <w:szCs w:val="30"/>
        </w:rPr>
        <w:t xml:space="preserve">9. Relationship Summary</w:t>
      </w:r>
    </w:p>
    <w:p>
      <w:pPr>
        <w:spacing w:after="120"/>
      </w:pPr>
      <w:r>
        <w:rPr>
          <w:rFonts w:ascii="Calibri" w:cs="Calibri" w:eastAsia="Calibri" w:hAnsi="Calibri"/>
          <w:b w:val="false"/>
          <w:bCs w:val="false"/>
          <w:i w:val="false"/>
          <w:iCs w:val="false"/>
          <w:sz w:val="21"/>
          <w:szCs w:val="21"/>
        </w:rPr>
        <w:t xml:space="preserve">Standard star schema. All relationships are one-to-many, single-direction, from each dimension to the fact table:</w:t>
      </w:r>
    </w:p>
    <w:p>
      <w:pPr>
        <w:pStyle w:val="ListParagraph"/>
        <w:numPr>
          <w:ilvl w:val="0"/>
          <w:numId w:val="2"/>
        </w:numPr>
        <w:spacing w:after="60"/>
      </w:pPr>
      <w:r>
        <w:rPr>
          <w:rFonts w:ascii="Calibri" w:cs="Calibri" w:eastAsia="Calibri" w:hAnsi="Calibri"/>
          <w:sz w:val="21"/>
          <w:szCs w:val="21"/>
        </w:rPr>
        <w:t xml:space="preserve">Animal Intakes[Date Key] → Date[Date Key]</w:t>
      </w:r>
    </w:p>
    <w:p>
      <w:pPr>
        <w:pStyle w:val="ListParagraph"/>
        <w:numPr>
          <w:ilvl w:val="0"/>
          <w:numId w:val="2"/>
        </w:numPr>
        <w:spacing w:after="60"/>
      </w:pPr>
      <w:r>
        <w:rPr>
          <w:rFonts w:ascii="Calibri" w:cs="Calibri" w:eastAsia="Calibri" w:hAnsi="Calibri"/>
          <w:sz w:val="21"/>
          <w:szCs w:val="21"/>
        </w:rPr>
        <w:t xml:space="preserve">Animal Intakes[Centre ID] → Centre[Centre ID]</w:t>
      </w:r>
    </w:p>
    <w:p>
      <w:pPr>
        <w:pStyle w:val="ListParagraph"/>
        <w:numPr>
          <w:ilvl w:val="0"/>
          <w:numId w:val="2"/>
        </w:numPr>
        <w:spacing w:after="60"/>
      </w:pPr>
      <w:r>
        <w:rPr>
          <w:rFonts w:ascii="Calibri" w:cs="Calibri" w:eastAsia="Calibri" w:hAnsi="Calibri"/>
          <w:sz w:val="21"/>
          <w:szCs w:val="21"/>
        </w:rPr>
        <w:t xml:space="preserve">Animal Intakes[Animal Key] → Animal[Animal Key]</w:t>
      </w:r>
    </w:p>
    <w:p>
      <w:pPr>
        <w:pStyle w:val="ListParagraph"/>
        <w:numPr>
          <w:ilvl w:val="0"/>
          <w:numId w:val="2"/>
        </w:numPr>
        <w:spacing w:after="60"/>
      </w:pPr>
      <w:r>
        <w:rPr>
          <w:rFonts w:ascii="Calibri" w:cs="Calibri" w:eastAsia="Calibri" w:hAnsi="Calibri"/>
          <w:sz w:val="21"/>
          <w:szCs w:val="21"/>
        </w:rPr>
        <w:t xml:space="preserve">Animal Intakes[Intake Type ID] → Intake Type[Intake Type ID]</w:t>
      </w:r>
    </w:p>
    <w:p>
      <w:pPr>
        <w:spacing w:after="120"/>
      </w:pPr>
      <w:r>
        <w:rPr>
          <w:rFonts w:ascii="Calibri" w:cs="Calibri" w:eastAsia="Calibri" w:hAnsi="Calibri"/>
          <w:b w:val="false"/>
          <w:bCs w:val="false"/>
          <w:i/>
          <w:iCs/>
          <w:sz w:val="21"/>
          <w:szCs w:val="21"/>
        </w:rPr>
        <w:t xml:space="preserve">Cross-filtering: single-direction on all relationships (CrossFilteringBehavior: OneDirection), per Fabric best practice — no bidirectional or many-to-many relationships in this model.</w:t>
      </w:r>
    </w:p>
    <w:p>
      <w:pPr>
        <w:pStyle w:val="Heading1"/>
        <w:spacing w:after="160" w:before="320"/>
      </w:pPr>
      <w:r>
        <w:rPr>
          <w:rFonts w:ascii="Calibri" w:cs="Calibri" w:eastAsia="Calibri" w:hAnsi="Calibri"/>
          <w:b/>
          <w:bCs/>
          <w:color w:val="1F3864"/>
          <w:sz w:val="30"/>
          <w:szCs w:val="30"/>
        </w:rPr>
        <w:t xml:space="preserve">10. Phase 1 Reporting Scope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0"/>
        <w:gridCol w:w="6400"/>
      </w:tblGrid>
      <w:tr>
        <w:trPr>
          <w:tblHeader/>
        </w:trPr>
        <w:tc>
          <w:tcPr>
            <w:tcW w:type="dxa" w:w="31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Page</w:t>
            </w:r>
          </w:p>
        </w:tc>
        <w:tc>
          <w:tcPr>
            <w:tcW w:type="dxa" w:w="6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Contents</w:t>
            </w:r>
          </w:p>
        </w:tc>
      </w:tr>
      <w:tr>
        <w:tc>
          <w:tcPr>
            <w:tcW w:type="dxa" w:w="3100"/>
            <w:tcMar>
              <w:top w:type="dxa" w:w="80"/>
              <w:left w:type="dxa" w:w="100"/>
              <w:bottom w:type="dxa" w:w="80"/>
              <w:right w:type="dxa" w:w="100"/>
            </w:tcMar>
          </w:tcPr>
          <w:p>
            <w:r>
              <w:rPr>
                <w:rFonts w:ascii="Calibri" w:cs="Calibri" w:eastAsia="Calibri" w:hAnsi="Calibri"/>
                <w:b w:val="false"/>
                <w:bCs w:val="false"/>
                <w:color w:val="000000"/>
                <w:sz w:val="19"/>
                <w:szCs w:val="19"/>
              </w:rPr>
              <w:t xml:space="preserve">Page 1: Foster Baseline</w:t>
            </w:r>
          </w:p>
        </w:tc>
        <w:tc>
          <w:tcPr>
            <w:tcW w:type="dxa" w:w="6400"/>
            <w:tcMar>
              <w:top w:type="dxa" w:w="80"/>
              <w:left w:type="dxa" w:w="100"/>
              <w:bottom w:type="dxa" w:w="80"/>
              <w:right w:type="dxa" w:w="100"/>
            </w:tcMar>
          </w:tcPr>
          <w:p>
            <w:r>
              <w:rPr>
                <w:rFonts w:ascii="Calibri" w:cs="Calibri" w:eastAsia="Calibri" w:hAnsi="Calibri"/>
                <w:b w:val="false"/>
                <w:bCs w:val="false"/>
                <w:color w:val="000000"/>
                <w:sz w:val="19"/>
                <w:szCs w:val="19"/>
              </w:rPr>
              <w:t xml:space="preserve">Intake Count · Animals Ever Fostered · Foster Placement Rate (%)</w:t>
            </w:r>
          </w:p>
        </w:tc>
      </w:tr>
      <w:tr>
        <w:tc>
          <w:tcPr>
            <w:tcW w:type="dxa" w:w="31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Page 2: Time Analysis</w:t>
            </w:r>
          </w:p>
        </w:tc>
        <w:tc>
          <w:tcPr>
            <w:tcW w:type="dxa" w:w="64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Historical trends · YoY analysis · Seasonal patterns (incl. Season)</w:t>
            </w:r>
          </w:p>
        </w:tc>
      </w:tr>
      <w:tr>
        <w:tc>
          <w:tcPr>
            <w:tcW w:type="dxa" w:w="3100"/>
            <w:tcMar>
              <w:top w:type="dxa" w:w="80"/>
              <w:left w:type="dxa" w:w="100"/>
              <w:bottom w:type="dxa" w:w="80"/>
              <w:right w:type="dxa" w:w="100"/>
            </w:tcMar>
          </w:tcPr>
          <w:p>
            <w:r>
              <w:rPr>
                <w:rFonts w:ascii="Calibri" w:cs="Calibri" w:eastAsia="Calibri" w:hAnsi="Calibri"/>
                <w:b w:val="false"/>
                <w:bCs w:val="false"/>
                <w:color w:val="000000"/>
                <w:sz w:val="19"/>
                <w:szCs w:val="19"/>
              </w:rPr>
              <w:t xml:space="preserve">Page 3: Geography Analysis</w:t>
            </w:r>
          </w:p>
        </w:tc>
        <w:tc>
          <w:tcPr>
            <w:tcW w:type="dxa" w:w="6400"/>
            <w:tcMar>
              <w:top w:type="dxa" w:w="80"/>
              <w:left w:type="dxa" w:w="100"/>
              <w:bottom w:type="dxa" w:w="80"/>
              <w:right w:type="dxa" w:w="100"/>
            </w:tcMar>
          </w:tcPr>
          <w:p>
            <w:r>
              <w:rPr>
                <w:rFonts w:ascii="Calibri" w:cs="Calibri" w:eastAsia="Calibri" w:hAnsi="Calibri"/>
                <w:b w:val="false"/>
                <w:bCs w:val="false"/>
                <w:color w:val="000000"/>
                <w:sz w:val="19"/>
                <w:szCs w:val="19"/>
              </w:rPr>
              <w:t xml:space="preserve">Region · Centre  (Municipality deferred)</w:t>
            </w:r>
          </w:p>
        </w:tc>
      </w:tr>
      <w:tr>
        <w:tc>
          <w:tcPr>
            <w:tcW w:type="dxa" w:w="31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Page 4: Animal Characteristics</w:t>
            </w:r>
          </w:p>
        </w:tc>
        <w:tc>
          <w:tcPr>
            <w:tcW w:type="dxa" w:w="64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Species · Age Group · Sex</w:t>
            </w:r>
          </w:p>
        </w:tc>
      </w:tr>
      <w:tr>
        <w:tc>
          <w:tcPr>
            <w:tcW w:type="dxa" w:w="3100"/>
            <w:tcMar>
              <w:top w:type="dxa" w:w="80"/>
              <w:left w:type="dxa" w:w="100"/>
              <w:bottom w:type="dxa" w:w="80"/>
              <w:right w:type="dxa" w:w="100"/>
            </w:tcMar>
          </w:tcPr>
          <w:p>
            <w:r>
              <w:rPr>
                <w:rFonts w:ascii="Calibri" w:cs="Calibri" w:eastAsia="Calibri" w:hAnsi="Calibri"/>
                <w:b w:val="false"/>
                <w:bCs w:val="false"/>
                <w:color w:val="000000"/>
                <w:sz w:val="19"/>
                <w:szCs w:val="19"/>
              </w:rPr>
              <w:t xml:space="preserve">Page 5: Driver Assessment</w:t>
            </w:r>
          </w:p>
        </w:tc>
        <w:tc>
          <w:tcPr>
            <w:tcW w:type="dxa" w:w="6400"/>
            <w:tcMar>
              <w:top w:type="dxa" w:w="80"/>
              <w:left w:type="dxa" w:w="100"/>
              <w:bottom w:type="dxa" w:w="80"/>
              <w:right w:type="dxa" w:w="100"/>
            </w:tcMar>
          </w:tcPr>
          <w:p>
            <w:r>
              <w:rPr>
                <w:rFonts w:ascii="Calibri" w:cs="Calibri" w:eastAsia="Calibri" w:hAnsi="Calibri"/>
                <w:b w:val="false"/>
                <w:bCs w:val="false"/>
                <w:color w:val="000000"/>
                <w:sz w:val="19"/>
                <w:szCs w:val="19"/>
              </w:rPr>
              <w:t xml:space="preserve">Intake Group · Breed · Driver ranking</w:t>
            </w:r>
          </w:p>
        </w:tc>
      </w:tr>
    </w:tbl>
    <w:p>
      <w:pPr>
        <w:pStyle w:val="Heading1"/>
        <w:spacing w:after="160" w:before="320"/>
      </w:pPr>
      <w:r>
        <w:rPr>
          <w:rFonts w:ascii="Calibri" w:cs="Calibri" w:eastAsia="Calibri" w:hAnsi="Calibri"/>
          <w:b/>
          <w:bCs/>
          <w:color w:val="1F3864"/>
          <w:sz w:val="30"/>
          <w:szCs w:val="30"/>
        </w:rPr>
        <w:t xml:space="preserve">11. Known Gaps &amp; Deferred Items (Carried Forward)</w:t>
      </w:r>
    </w:p>
    <w:p>
      <w:pPr>
        <w:pStyle w:val="ListParagraph"/>
        <w:numPr>
          <w:ilvl w:val="0"/>
          <w:numId w:val="2"/>
        </w:numPr>
        <w:spacing w:after="60"/>
      </w:pPr>
      <w:r>
        <w:rPr>
          <w:rFonts w:ascii="Calibri" w:cs="Calibri" w:eastAsia="Calibri" w:hAnsi="Calibri"/>
          <w:sz w:val="21"/>
          <w:szCs w:val="21"/>
        </w:rPr>
        <w:t xml:space="preserve">BRD_Foster_Analysis_v1.0 §7.1 requires correction to remove Foster Type, Outcome, and Placement Start/End Date from the Phase 1 signal list.</w:t>
      </w:r>
    </w:p>
    <w:p>
      <w:pPr>
        <w:pStyle w:val="ListParagraph"/>
        <w:numPr>
          <w:ilvl w:val="0"/>
          <w:numId w:val="2"/>
        </w:numPr>
        <w:spacing w:after="60"/>
      </w:pPr>
      <w:r>
        <w:rPr>
          <w:rFonts w:ascii="Calibri" w:cs="Calibri" w:eastAsia="Calibri" w:hAnsi="Calibri"/>
          <w:sz w:val="21"/>
          <w:szCs w:val="21"/>
        </w:rPr>
        <w:t xml:space="preserve">Municipality-level geography analysis is deferred — source data not yet available.</w:t>
      </w:r>
    </w:p>
    <w:p>
      <w:pPr>
        <w:pStyle w:val="ListParagraph"/>
        <w:numPr>
          <w:ilvl w:val="0"/>
          <w:numId w:val="2"/>
        </w:numPr>
        <w:spacing w:after="60"/>
      </w:pPr>
      <w:r>
        <w:rPr>
          <w:rFonts w:ascii="Calibri" w:cs="Calibri" w:eastAsia="Calibri" w:hAnsi="Calibri"/>
          <w:sz w:val="21"/>
          <w:szCs w:val="21"/>
        </w:rPr>
        <w:t xml:space="preserve">Centre Size and Operating Status — parked for a later phase.</w:t>
      </w:r>
    </w:p>
    <w:p>
      <w:pPr>
        <w:pStyle w:val="ListParagraph"/>
        <w:numPr>
          <w:ilvl w:val="0"/>
          <w:numId w:val="2"/>
        </w:numPr>
        <w:spacing w:after="60"/>
      </w:pPr>
      <w:r>
        <w:rPr>
          <w:rFonts w:ascii="Calibri" w:cs="Calibri" w:eastAsia="Calibri" w:hAnsi="Calibri"/>
          <w:sz w:val="21"/>
          <w:szCs w:val="21"/>
        </w:rPr>
        <w:t xml:space="preserve">Fiscal period reporting — parked; calendar year only in Phase 1.</w:t>
      </w:r>
    </w:p>
    <w:p>
      <w:pPr>
        <w:pStyle w:val="ListParagraph"/>
        <w:numPr>
          <w:ilvl w:val="0"/>
          <w:numId w:val="2"/>
        </w:numPr>
        <w:spacing w:after="60"/>
      </w:pPr>
      <w:r>
        <w:rPr>
          <w:rFonts w:ascii="Calibri" w:cs="Calibri" w:eastAsia="Calibri" w:hAnsi="Calibri"/>
          <w:sz w:val="21"/>
          <w:szCs w:val="21"/>
        </w:rPr>
        <w:t xml:space="preserve">EAB/LSAI Program derivation from Intake Type/Intake Group remains unconfirmed (BRD §11 assumption) — to be validated in Phase 2.</w:t>
      </w:r>
    </w:p>
    <w:p>
      <w:pPr>
        <w:pStyle w:val="ListParagraph"/>
        <w:numPr>
          <w:ilvl w:val="0"/>
          <w:numId w:val="2"/>
        </w:numPr>
        <w:spacing w:after="60"/>
      </w:pPr>
      <w:r>
        <w:rPr>
          <w:rFonts w:ascii="Calibri" w:cs="Calibri" w:eastAsia="Calibri" w:hAnsi="Calibri"/>
          <w:sz w:val="21"/>
          <w:szCs w:val="21"/>
        </w:rPr>
        <w:t xml:space="preserve">Sex as a foster driver is untested against BC SPCA's own data — treat as a hypothesis.</w:t>
      </w:r>
    </w:p>
    <w:p>
      <w:pPr>
        <w:pStyle w:val="Heading1"/>
        <w:spacing w:after="160" w:before="320"/>
      </w:pPr>
      <w:r>
        <w:rPr>
          <w:rFonts w:ascii="Calibri" w:cs="Calibri" w:eastAsia="Calibri" w:hAnsi="Calibri"/>
          <w:b/>
          <w:bCs/>
          <w:color w:val="1F3864"/>
          <w:sz w:val="30"/>
          <w:szCs w:val="30"/>
        </w:rPr>
        <w:t xml:space="preserve">12. 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300"/>
      </w:tblGrid>
      <w:tr>
        <w:trPr>
          <w:tblHeader/>
        </w:trPr>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Version</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Date</w:t>
            </w:r>
          </w:p>
        </w:tc>
        <w:tc>
          <w:tcPr>
            <w:tcW w:type="dxa" w:w="63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Change</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9"/>
                <w:szCs w:val="19"/>
              </w:rPr>
              <w:t xml:space="preserve">1.0</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2026-07-06</w:t>
            </w:r>
          </w:p>
        </w:tc>
        <w:tc>
          <w:tcPr>
            <w:tcW w:type="dxa" w:w="6300"/>
            <w:tcMar>
              <w:top w:type="dxa" w:w="80"/>
              <w:left w:type="dxa" w:w="100"/>
              <w:bottom w:type="dxa" w:w="80"/>
              <w:right w:type="dxa" w:w="100"/>
            </w:tcMar>
          </w:tcPr>
          <w:p>
            <w:r>
              <w:rPr>
                <w:rFonts w:ascii="Calibri" w:cs="Calibri" w:eastAsia="Calibri" w:hAnsi="Calibri"/>
                <w:b w:val="false"/>
                <w:bCs w:val="false"/>
                <w:color w:val="000000"/>
                <w:sz w:val="19"/>
                <w:szCs w:val="19"/>
              </w:rPr>
              <w:t xml:space="preserve">Initial table definitions</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1.1</w:t>
            </w:r>
          </w:p>
        </w:tc>
        <w:tc>
          <w:tcPr>
            <w:tcW w:type="dxa" w:w="17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2026-08-14</w:t>
            </w:r>
          </w:p>
        </w:tc>
        <w:tc>
          <w:tcPr>
            <w:tcW w:type="dxa" w:w="63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Design-review pass: grain corrected to intake-event; FosterFlag Boolean→Integer; fact simplified to 2 additive measures; dimension columns finalized; SourceIntakeID added as fact natural key; SCD Type 1 confirmed; source counts confirmed (32 centres / 5 regions, 34 intake types / 8 groups).</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9"/>
                <w:szCs w:val="19"/>
              </w:rPr>
              <w:t xml:space="preserve">1.2</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2026-08-17</w:t>
            </w:r>
          </w:p>
        </w:tc>
        <w:tc>
          <w:tcPr>
            <w:tcW w:type="dxa" w:w="6300"/>
            <w:tcMar>
              <w:top w:type="dxa" w:w="80"/>
              <w:left w:type="dxa" w:w="100"/>
              <w:bottom w:type="dxa" w:w="80"/>
              <w:right w:type="dxa" w:w="100"/>
            </w:tcMar>
          </w:tcPr>
          <w:p>
            <w:r>
              <w:rPr>
                <w:rFonts w:ascii="Calibri" w:cs="Calibri" w:eastAsia="Calibri" w:hAnsi="Calibri"/>
                <w:b w:val="false"/>
                <w:bCs w:val="false"/>
                <w:color w:val="000000"/>
                <w:sz w:val="19"/>
                <w:szCs w:val="19"/>
              </w:rPr>
              <w:t xml:space="preserve">Fabric/Power BI naming &amp; build-readiness alignment pass (rdlc-coach-semantic-model, applying Microsoft skills-for-fabric semantic-model-authoring standards). No structural/grain changes. Added Technical Name / Business Name column separation. Removed FactAnimalIntakeID surrogate key. Reformatted Business Names to readable spaced casing, no technical prefixes. Added Build Notes column: hidden-column flags, SummarizeBy: None on non-aggregatable numerics, dataCategory recommendations. Updated KPI formulas to reference Business Names.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2026-08-17T16:56:16.014Z</dcterms:created>
  <dcterms:modified xsi:type="dcterms:W3CDTF">2026-08-17T16:56:16.028Z</dcterms:modified>
</cp:coreProperties>
</file>

<file path=docProps/custom.xml><?xml version="1.0" encoding="utf-8"?>
<Properties xmlns="http://schemas.openxmlformats.org/officeDocument/2006/custom-properties" xmlns:vt="http://schemas.openxmlformats.org/officeDocument/2006/docPropsVTypes"/>
</file>