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Re-Fluye  Guía visual para acompañar el producto</w:t>
      </w:r>
    </w:p>
    <w:p>
      <w:pPr>
        <w:pStyle w:val="Heading1"/>
      </w:pPr>
      <w:r>
        <w:t>Cara 1  Abre, conecta, mide</w:t>
      </w:r>
    </w:p>
    <w:p>
      <w:pPr>
        <w:pStyle w:val="Heading2"/>
      </w:pPr>
      <w:r>
        <w:t>Lo primero que debes saber</w:t>
      </w:r>
    </w:p>
    <w:p>
      <w:r>
        <w:rPr>
          <w:b/>
        </w:rPr>
        <w:t>Re-Fluye mide pH, turbidez, sólidos disueltos (TDS) y temperatura.</w:t>
      </w:r>
      <w:r>
        <w:t xml:space="preserve"> Tus observaciones sobre origen, olor y aspecto completan la evaluación. </w:t>
      </w:r>
      <w:r>
        <w:rPr>
          <w:b/>
        </w:rPr>
        <w:t>No detecta bacterias, virus, parásitos, metales ni todos los químicos. No certifica potabilidad.</w:t>
      </w:r>
      <w:r>
        <w:t xml:space="preserve"> No pruebes el agua.</w:t>
      </w:r>
    </w:p>
    <w:p>
      <w:pPr>
        <w:pStyle w:val="Heading2"/>
      </w:pPr>
      <w:r>
        <w:t>1  Revisa</w:t>
      </w:r>
    </w:p>
    <w:p>
      <w:pPr>
        <w:pStyle w:val="ListBullet"/>
        <w:spacing w:after="40"/>
      </w:pPr>
      <w:r>
        <w:t xml:space="preserve">¿La caja electrónica y los conectores están secos y sin daño? Si no, </w:t>
      </w:r>
      <w:r>
        <w:rPr>
          <w:b/>
        </w:rPr>
        <w:t>no enciendas</w:t>
      </w:r>
      <w:r>
        <w:t>.</w:t>
      </w:r>
    </w:p>
    <w:p>
      <w:pPr>
        <w:pStyle w:val="ListBullet"/>
        <w:spacing w:after="40"/>
      </w:pPr>
      <w:r>
        <w:t>¿La persona técnica indicó la alimentación y confirmó calibración vigente? Si no, pide revisión; no improvises una fuente de energía.</w:t>
      </w:r>
    </w:p>
    <w:p>
      <w:pPr>
        <w:pStyle w:val="ListBullet"/>
        <w:spacing w:after="40"/>
      </w:pPr>
      <w:r>
        <w:t>Identifica qué extremos de las sondas pueden tocar el agua. Mantén secos los módulos y la electrónica.</w:t>
      </w:r>
    </w:p>
    <w:p>
      <w:pPr>
        <w:pStyle w:val="Heading2"/>
      </w:pPr>
      <w:r>
        <w:t>2  Enciende y conecta</w:t>
      </w:r>
    </w:p>
    <w:p>
      <w:pPr>
        <w:pStyle w:val="ListBullet"/>
        <w:spacing w:after="40"/>
      </w:pPr>
      <w:r>
        <w:t xml:space="preserve">Enciende el equipo con la alimentación </w:t>
      </w:r>
      <w:r>
        <w:rPr>
          <w:b/>
        </w:rPr>
        <w:t>etiquetada en tu unidad</w:t>
      </w:r>
      <w:r>
        <w:t>.</w:t>
      </w:r>
    </w:p>
    <w:p>
      <w:pPr>
        <w:pStyle w:val="ListBullet"/>
        <w:spacing w:after="40"/>
      </w:pPr>
      <w:r>
        <w:t>Si aún no tienes la app, descarga la APK 0.3.0 desde el enlace/QR de esta hoja.</w:t>
      </w:r>
    </w:p>
    <w:p>
      <w:pPr>
        <w:pStyle w:val="ListBullet"/>
        <w:spacing w:after="40"/>
      </w:pPr>
      <w:r>
        <w:t xml:space="preserve">Abre Re-Fluye en Android: </w:t>
      </w:r>
      <w:r>
        <w:rPr>
          <w:b/>
        </w:rPr>
        <w:t>Medir agua → Buscar equipos cercanos</w:t>
      </w:r>
      <w:r>
        <w:t>.</w:t>
      </w:r>
    </w:p>
    <w:p>
      <w:pPr>
        <w:pStyle w:val="ListBullet"/>
        <w:spacing w:after="40"/>
      </w:pPr>
      <w:r>
        <w:t xml:space="preserve">Acepta el permiso Bluetooth de Android. Elige </w:t>
      </w:r>
      <w:r>
        <w:rPr>
          <w:b/>
        </w:rPr>
        <w:t>ReFluye-V2</w:t>
      </w:r>
      <w:r>
        <w:t xml:space="preserve"> y verifica su identificador; el firmware de referencia documenta PIN </w:t>
      </w:r>
      <w:r>
        <w:rPr>
          <w:rFonts w:ascii="Consolas" w:hAnsi="Consolas"/>
          <w:sz w:val="17"/>
        </w:rPr>
        <w:t>1234</w:t>
      </w:r>
      <w:r>
        <w:t>, si Android lo pide.</w:t>
      </w:r>
    </w:p>
    <w:p>
      <w:pPr>
        <w:pStyle w:val="ListBullet"/>
        <w:spacing w:after="40"/>
      </w:pPr>
      <w:r>
        <w:t xml:space="preserve">Sin equipo, toca </w:t>
      </w:r>
      <w:r>
        <w:rPr>
          <w:b/>
        </w:rPr>
        <w:t>Practicar sin equipo · DEMO</w:t>
      </w:r>
      <w:r>
        <w:t>; los resultados simulados no describen tu fuente.</w:t>
      </w:r>
    </w:p>
    <w:p>
      <w:pPr>
        <w:pStyle w:val="Heading2"/>
      </w:pPr>
      <w:r>
        <w:t>3  Coloca las sondas</w:t>
      </w:r>
    </w:p>
    <w:p>
      <w:pPr>
        <w:pStyle w:val="ListBullet"/>
        <w:spacing w:after="40"/>
      </w:pPr>
      <w:r>
        <w:t>Introduce únicamente sus extremos de medición en una muestra tomada de forma segura. No mojes la caja, conectores ni placas.</w:t>
      </w:r>
    </w:p>
    <w:p>
      <w:pPr>
        <w:pStyle w:val="ListBullet"/>
        <w:spacing w:after="40"/>
      </w:pPr>
      <w:r>
        <w:t>Evita chocar el bulbo de vidrio del pH contra el recipiente. No uses agua caliente con la sonda TDS de referencia.</w:t>
      </w:r>
    </w:p>
    <w:p>
      <w:pPr>
        <w:pStyle w:val="ListBullet"/>
        <w:spacing w:after="40"/>
      </w:pPr>
      <w:r>
        <w:t xml:space="preserve">Mantén las sondas quietas. Con la primera lectura completa ya puedes abrir una orientación; si varía, el resultado será </w:t>
      </w:r>
      <w:r>
        <w:rPr>
          <w:b/>
        </w:rPr>
        <w:t>preliminar</w:t>
      </w:r>
      <w:r>
        <w:t xml:space="preserve"> y no autoriza consumo. Una lectura repetida tampoco prueba calibración.</w:t>
      </w:r>
    </w:p>
    <w:p>
      <w:pPr>
        <w:pStyle w:val="Heading2"/>
      </w:pPr>
      <w:r>
        <w:t>4  Cuenta lo que ves</w:t>
      </w:r>
    </w:p>
    <w:p>
      <w:r>
        <w:t xml:space="preserve">En la misma pantalla escribe el </w:t>
      </w:r>
      <w:r>
        <w:rPr>
          <w:b/>
        </w:rPr>
        <w:t>nombre de la fuente</w:t>
      </w:r>
      <w:r>
        <w:t xml:space="preserve">, escoge </w:t>
      </w:r>
      <w:r>
        <w:rPr>
          <w:b/>
        </w:rPr>
        <w:t>para qué necesitas el agua</w:t>
      </w:r>
      <w:r>
        <w:t xml:space="preserve"> y marca </w:t>
      </w:r>
      <w:r>
        <w:rPr>
          <w:b/>
        </w:rPr>
        <w:t>origen, olor y aspecto</w:t>
      </w:r>
      <w:r>
        <w:t xml:space="preserve">. Si no estás seguro, marca </w:t>
      </w:r>
      <w:r>
        <w:rPr>
          <w:b/>
        </w:rPr>
        <w:t>No sé</w:t>
      </w:r>
      <w:r>
        <w:t>. Si observas olor químico, aceite o agua verde, aléjate y busca otra fuente; no inhales de cerca.</w:t>
      </w:r>
    </w:p>
    <w:p>
      <w:pPr>
        <w:pStyle w:val="Heading2"/>
      </w:pPr>
      <w:r>
        <w:t>5  Decide con el resultado completo</w:t>
      </w:r>
    </w:p>
    <w:p>
      <w:r>
        <w:t xml:space="preserve">Toca </w:t>
      </w:r>
      <w:r>
        <w:rPr>
          <w:b/>
        </w:rPr>
        <w:t>Ver qué puedo hacer con esta agua</w:t>
      </w:r>
      <w:r>
        <w:t xml:space="preserve">. Lee primero la decisión, </w:t>
      </w:r>
      <w:r>
        <w:rPr>
          <w:b/>
        </w:rPr>
        <w:t>TU USO</w:t>
      </w:r>
      <w:r>
        <w:t xml:space="preserve"> y </w:t>
      </w:r>
      <w:r>
        <w:rPr>
          <w:b/>
        </w:rPr>
        <w:t>QUÉ HACER AHORA</w:t>
      </w:r>
      <w:r>
        <w:t>. El ICA de 0 a 100 es orientativo, no un porcentaje de potabilidad. Para beber o cocinar, una lectura favorable todavía exige desinfección. La app puede indicar buscar otra fuente o repetir. Nunca uses el color o el número del LCD/LED como autorización: son una preclasificación solo por sensores.</w:t>
      </w:r>
    </w:p>
    <w:p>
      <w:r>
        <w:br w:type="page"/>
      </w:r>
    </w:p>
    <w:p>
      <w:pPr>
        <w:pStyle w:val="Heading1"/>
      </w:pPr>
      <w:r>
        <w:t>Cara 2  Cuida el equipo y resuelve dudas</w:t>
      </w:r>
    </w:p>
    <w:p>
      <w:pPr>
        <w:pStyle w:val="Heading2"/>
      </w:pPr>
      <w:r>
        <w:t>Cada parte tiene un cuidado distinto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9"/>
        <w:gridCol w:w="3459"/>
        <w:gridCol w:w="3459"/>
      </w:tblGrid>
      <w:tr>
        <w:trPr>
          <w:cantSplit/>
          <w:tblHeader/>
        </w:trPr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4"/>
              </w:rPr>
              <w:t>Parte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4"/>
              </w:rPr>
              <w:t>Cuidado después de cada medición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4"/>
              </w:rPr>
              <w:t>No hacer</w:t>
            </w:r>
          </w:p>
        </w:tc>
      </w:tr>
      <w:tr>
        <w:trPr>
          <w:cantSplit/>
        </w:trPr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Electrodo de pH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Enjuagar el extremo con agua desionizada/destilada; guardar con la solución y tapa del modelo instalado. Solicitar calibración con buffers de referencia.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Golpear o frotar el bulbo; dejar secar; mojar conector BNC o módulo.</w:t>
            </w:r>
          </w:p>
        </w:tc>
      </w:tr>
      <w:tr>
        <w:trPr>
          <w:cantSplit/>
        </w:trPr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Sonda de turbidez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Enjuagar y retirar suciedad de la ventana óptica sin rayarla; comprobar que el cable está íntegro.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Sumergir el adaptador electrónico o raspar la ventana.</w:t>
            </w:r>
          </w:p>
        </w:tc>
      </w:tr>
      <w:tr>
        <w:trPr>
          <w:cantSplit/>
        </w:trPr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Sonda TDS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Enjuagar el extremo y evitar residuos entre sus electrodos; verificar el rango del modelo.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Usarla en agua a 55 °C o más si es SEN0244; mojar el módulo.</w:t>
            </w:r>
          </w:p>
        </w:tc>
      </w:tr>
      <w:tr>
        <w:trPr>
          <w:cantSplit/>
        </w:trPr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Sonda de temperatura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Enjuagar solo el extremo sellado; revisar el punto donde entra el cable a la cubierta.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Suponer que un DS18B20 sin encapsulado es sumergible; tirar del cable.</w:t>
            </w:r>
          </w:p>
        </w:tc>
      </w:tr>
      <w:tr>
        <w:trPr>
          <w:cantSplit/>
        </w:trPr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Caja, ESP32, PCB, LCD y LEDs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Apagar, secar exterior y guardar protegidos de salpicaduras y golpes.</w:t>
            </w:r>
          </w:p>
        </w:tc>
        <w:tc>
          <w:tcPr>
            <w:tcW w:type="dxa" w:w="34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Sumergir, lavar bajo chorro, energizar mojados o modificar conexiones.</w:t>
            </w:r>
          </w:p>
        </w:tc>
      </w:tr>
    </w:tbl>
    <w:p>
      <w:pPr>
        <w:spacing w:after="0"/>
      </w:pPr>
    </w:p>
    <w:p>
      <w:r>
        <w:t xml:space="preserve">Las indicaciones específicas de pH y TDS corresponden a las referencias DFRobot SEN0161 y SEN0244 mencionadas en el proyecto; confirma el modelo real de cada sonda antes de aplicar un procedimiento. </w:t>
      </w:r>
      <w:hyperlink r:id="rId10">
        <w:r>
          <w:rPr>
            <w:color w:val="007074"/>
          </w:rPr>
          <w:t>DFRobot pH</w:t>
        </w:r>
      </w:hyperlink>
      <w:r>
        <w:t xml:space="preserve"> · </w:t>
      </w:r>
      <w:hyperlink r:id="rId11">
        <w:r>
          <w:rPr>
            <w:color w:val="007074"/>
          </w:rPr>
          <w:t>DFRobot turbidez</w:t>
        </w:r>
      </w:hyperlink>
      <w:r>
        <w:t xml:space="preserve"> · </w:t>
      </w:r>
      <w:hyperlink r:id="rId12">
        <w:r>
          <w:rPr>
            <w:color w:val="007074"/>
          </w:rPr>
          <w:t>DFRobot TDS</w:t>
        </w:r>
      </w:hyperlink>
      <w:r>
        <w:t xml:space="preserve"> · </w:t>
      </w:r>
      <w:hyperlink r:id="rId13">
        <w:r>
          <w:rPr>
            <w:color w:val="007074"/>
          </w:rPr>
          <w:t>Analog Devices DS18B20</w:t>
        </w:r>
      </w:hyperlink>
      <w:r>
        <w:t>.</w:t>
      </w:r>
    </w:p>
    <w:p>
      <w:pPr>
        <w:pStyle w:val="Heading2"/>
      </w:pPr>
      <w:r>
        <w:t>Si ves una señal de alarma</w:t>
      </w:r>
    </w:p>
    <w:p>
      <w:pPr>
        <w:pStyle w:val="ListBullet"/>
        <w:spacing w:after="40"/>
      </w:pPr>
      <w:r>
        <w:rPr>
          <w:b/>
        </w:rPr>
        <w:t>Olor raro, película aceitosa, agua verde o sospecha de combustible:</w:t>
      </w:r>
      <w:r>
        <w:t xml:space="preserve"> deja de usar esa fuente; hervir o filtrar con tela no elimina todos esos peligros. Busca agua de otra procedencia y consulta a la autoridad local. </w:t>
      </w:r>
      <w:hyperlink r:id="rId14">
        <w:r>
          <w:rPr>
            <w:color w:val="007074"/>
          </w:rPr>
          <w:t>CDC</w:t>
        </w:r>
      </w:hyperlink>
      <w:r>
        <w:t>.</w:t>
      </w:r>
    </w:p>
    <w:p>
      <w:pPr>
        <w:pStyle w:val="ListBullet"/>
        <w:spacing w:after="40"/>
      </w:pPr>
      <w:r>
        <w:rPr>
          <w:b/>
        </w:rPr>
        <w:t>Lectura no confiable:</w:t>
      </w:r>
      <w:r>
        <w:t xml:space="preserve"> pide revisión técnica de calibración y repite. No rellenes una fecha de calibración por aproximación.</w:t>
      </w:r>
    </w:p>
    <w:p>
      <w:pPr>
        <w:pStyle w:val="ListBullet"/>
        <w:spacing w:after="40"/>
      </w:pPr>
      <w:r>
        <w:rPr>
          <w:b/>
        </w:rPr>
        <w:t>Sin Bluetooth o sin datos:</w:t>
      </w:r>
      <w:r>
        <w:t xml:space="preserve"> acerca el teléfono, revisa permisos y energía, reconecta. Si el problema continúa, muestra este manual al responsable técnico.</w:t>
      </w:r>
    </w:p>
    <w:p>
      <w:pPr>
        <w:pStyle w:val="ListBullet"/>
        <w:spacing w:after="40"/>
      </w:pPr>
      <w:r>
        <w:rPr>
          <w:b/>
        </w:rPr>
        <w:t>Temperatura ausente:</w:t>
      </w:r>
      <w:r>
        <w:t xml:space="preserve"> el código </w:t>
      </w:r>
      <w:r>
        <w:rPr>
          <w:rFonts w:ascii="Consolas" w:hAnsi="Consolas"/>
          <w:sz w:val="17"/>
        </w:rPr>
        <w:t>-127</w:t>
      </w:r>
      <w:r>
        <w:t xml:space="preserve"> indica que el DS18B20 no respondió. No es la temperatura del agua.</w:t>
      </w:r>
    </w:p>
    <w:p>
      <w:pPr>
        <w:pStyle w:val="ListBullet"/>
        <w:spacing w:after="40"/>
      </w:pPr>
      <w:r>
        <w:rPr>
          <w:b/>
        </w:rPr>
        <w:t>LCD apagado o LEDs contradictorios:</w:t>
      </w:r>
      <w:r>
        <w:t xml:space="preserve"> usa solo la app para registrar el resultado y reporta la unidad; algunas versiones de la PCB original tienen fallas de conexión documentadas.</w:t>
      </w:r>
    </w:p>
    <w:p>
      <w:r>
        <w:rPr>
          <w:b/>
        </w:rPr>
        <w:t>Después de medir:</w:t>
      </w:r>
      <w:r>
        <w:t xml:space="preserve"> enjuaga las partes sumergibles, apaga el equipo, guarda el pH según su fabricante y tapa las muestras tratadas. Conserva el resultado en </w:t>
      </w:r>
      <w:r>
        <w:rPr>
          <w:b/>
        </w:rPr>
        <w:t>Mis mediciones</w:t>
      </w:r>
      <w:r>
        <w:t>. El equipo no reemplaza un análisis de laboratorio ni una recomendación sanitaria local.</w:t>
      </w:r>
    </w:p>
    <w:p>
      <w:r>
        <w:rPr>
          <w:b/>
        </w:rPr>
        <w:t>Descarga de la app:</w:t>
      </w:r>
      <w:r>
        <w:t xml:space="preserve"> </w:t>
      </w:r>
      <w:hyperlink r:id="rId15">
        <w:r>
          <w:rPr>
            <w:color w:val="007074"/>
          </w:rPr>
          <w:t>CampusMind · Re-Fluye 0.3.0</w:t>
        </w:r>
      </w:hyperlink>
      <w:r>
        <w:t xml:space="preserve">. El QR de la cara 1 lleva a esta misma publicación; comprueba el dominio </w:t>
      </w:r>
      <w:r>
        <w:rPr>
          <w:rFonts w:ascii="Consolas" w:hAnsi="Consolas"/>
          <w:sz w:val="17"/>
        </w:rPr>
        <w:t>github.com</w:t>
      </w:r>
      <w:r>
        <w:t xml:space="preserve"> antes de descargar.</w:t>
      </w:r>
    </w:p>
    <w:p>
      <w:pPr>
        <w:pStyle w:val="Heading2"/>
      </w:pPr>
      <w:r>
        <w:t>Datos de esta unidad  completar antes de entregarla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8"/>
        <w:gridCol w:w="5188"/>
      </w:tblGrid>
      <w:tr>
        <w:trPr>
          <w:cantSplit/>
          <w:tblHeader/>
        </w:trPr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4"/>
              </w:rPr>
              <w:t>Equipo / serie</w:t>
            </w:r>
          </w:p>
        </w:tc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4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Alimentación e interruptor</w:t>
            </w:r>
          </w:p>
        </w:tc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Modelo de sondas</w:t>
            </w:r>
          </w:p>
        </w:tc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Fecha y responsable de calibración</w:t>
            </w:r>
          </w:p>
        </w:tc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Vigente hasta</w:t>
            </w:r>
          </w:p>
        </w:tc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Contacto de soporte</w:t>
            </w:r>
          </w:p>
        </w:tc>
        <w:tc>
          <w:tcPr>
            <w:tcW w:type="dxa" w:w="51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______________________________</w:t>
            </w:r>
          </w:p>
        </w:tc>
      </w:tr>
    </w:tbl>
    <w:p>
      <w:pPr>
        <w:spacing w:after="0"/>
      </w:pPr>
    </w:p>
    <w:p>
      <w:r>
        <w:rPr>
          <w:b/>
        </w:rPr>
        <w:t>Versión de app:</w:t>
      </w:r>
      <w:r>
        <w:t xml:space="preserve"> 0.3.0 · </w:t>
      </w:r>
      <w:r>
        <w:rPr>
          <w:b/>
        </w:rPr>
        <w:t>Documento:</w:t>
      </w:r>
      <w:r>
        <w:t xml:space="preserve"> guía de prototipo 0.2 · </w:t>
      </w:r>
      <w:r>
        <w:rPr>
          <w:b/>
        </w:rPr>
        <w:t>Origen:</w:t>
      </w:r>
      <w:r>
        <w:t xml:space="preserve"> CCD / UNAB, proyecto Re-Fluye. Para el procedimiento completo de la app: </w:t>
      </w:r>
      <w:r>
        <w:rPr>
          <w:rFonts w:ascii="Consolas" w:hAnsi="Consolas"/>
          <w:sz w:val="17"/>
        </w:rPr>
        <w:t>refluye/manuales/01-guia-app.md</w:t>
      </w:r>
      <w:r>
        <w:t xml:space="preserve">. Para mantenimiento y montaje: </w:t>
      </w:r>
      <w:r>
        <w:rPr>
          <w:rFonts w:ascii="Consolas" w:hAnsi="Consolas"/>
          <w:sz w:val="17"/>
        </w:rPr>
        <w:t>refluye/manuales/03-manual-tecnico.md</w:t>
      </w:r>
      <w:r>
        <w:t>.</w:t>
      </w:r>
    </w:p>
    <w:sectPr w:rsidR="00FC693F" w:rsidRPr="0006063C" w:rsidSect="00034616">
      <w:footerReference w:type="default" r:id="rId9"/>
      <w:pgSz w:w="11906" w:h="16838"/>
      <w:pgMar w:top="709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26A"/>
      </w:rPr>
      <w:t>RE-FLUYE  ·  30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9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866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24866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iki.dfrobot.com/sen0161/docs/19898" TargetMode="External"/><Relationship Id="rId11" Type="http://schemas.openxmlformats.org/officeDocument/2006/relationships/hyperlink" Target="https://wiki.dfrobot.com/sen0189" TargetMode="External"/><Relationship Id="rId12" Type="http://schemas.openxmlformats.org/officeDocument/2006/relationships/hyperlink" Target="https://wiki.dfrobot.com/sen0244" TargetMode="External"/><Relationship Id="rId13" Type="http://schemas.openxmlformats.org/officeDocument/2006/relationships/hyperlink" Target="https://www.analog.com/en/products/ds18b20.html" TargetMode="External"/><Relationship Id="rId14" Type="http://schemas.openxmlformats.org/officeDocument/2006/relationships/hyperlink" Target="https://www.cdc.gov/water-emergency/about/index.html" TargetMode="External"/><Relationship Id="rId15" Type="http://schemas.openxmlformats.org/officeDocument/2006/relationships/hyperlink" Target="https://github.com/tomasmanuelgp/CampusMind/releases/tag/refluye-v0.3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