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584739" cy="947738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739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ESTRATEGIA - </w:t>
      </w:r>
      <w:r w:rsidDel="00000000" w:rsidR="00000000" w:rsidRPr="00000000">
        <w:rPr>
          <w:sz w:val="40"/>
          <w:szCs w:val="40"/>
          <w:rtl w:val="0"/>
        </w:rPr>
        <w:t xml:space="preserve">GRUPO_1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Curso: K 3622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de grupo: 30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7143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Alumno</w:t>
            </w:r>
          </w:p>
        </w:tc>
        <w:tc>
          <w:tcPr>
            <w:shd w:fill="a7143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Legajo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Tomas Martinez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1758603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Federico Cassina Carbia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2026715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Luciano Nicolás Arrieta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1729573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Martina Abril Dominguez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2035716</w:t>
            </w:r>
          </w:p>
        </w:tc>
      </w:tr>
    </w:tbl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z9xgdt2q7xs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c9ctej2qn2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7fa8tgn23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 tipificados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0kayuledex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Características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oudfndr78h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Periodos / tipos periodos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eeky40dayzla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sz w:val="24"/>
          <w:szCs w:val="24"/>
        </w:rPr>
      </w:pPr>
      <w:bookmarkStart w:colFirst="0" w:colLast="0" w:name="_z9xgdt2q7xsa" w:id="1"/>
      <w:bookmarkEnd w:id="1"/>
      <w:r w:rsidDel="00000000" w:rsidR="00000000" w:rsidRPr="00000000">
        <w:rPr>
          <w:rtl w:val="0"/>
        </w:rPr>
        <w:t xml:space="preserve">Direcciones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En cuanto a las direcciones, decidimos realizar una tabla aparte para las mismas debido a que nos parece información importante. También, separamos los barrios, localidades y provincias con el objetivo de tener una única denominación para cada uno de estos y no tener cosas como: “Caballito” y “caballito”, que parecen se tomarían como barrios distintos aunque hacen referencia al mismo. 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167313" cy="19141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91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ind w:left="0" w:firstLine="0"/>
        <w:rPr/>
      </w:pPr>
      <w:bookmarkStart w:colFirst="0" w:colLast="0" w:name="_3c9ctej2qn2y" w:id="2"/>
      <w:bookmarkEnd w:id="2"/>
      <w:r w:rsidDel="00000000" w:rsidR="00000000" w:rsidRPr="00000000">
        <w:rPr>
          <w:rtl w:val="0"/>
        </w:rPr>
        <w:t xml:space="preserve">Pagos</w:t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Los pagos aunque ambas representan el mismo concepto son de dos operaciones distintas que además no tienen muchos atributos en común, por lo que elegimos mantenerlo como dos entidades separadas y no unirlos en una sola tabla.</w:t>
      </w:r>
    </w:p>
    <w:p w:rsidR="00000000" w:rsidDel="00000000" w:rsidP="00000000" w:rsidRDefault="00000000" w:rsidRPr="00000000" w14:paraId="0000003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948446" cy="267461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446" cy="267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left="0" w:firstLine="0"/>
        <w:rPr/>
      </w:pPr>
      <w:bookmarkStart w:colFirst="0" w:colLast="0" w:name="_q7fa8tgn23yp" w:id="3"/>
      <w:bookmarkEnd w:id="3"/>
      <w:r w:rsidDel="00000000" w:rsidR="00000000" w:rsidRPr="00000000">
        <w:rPr>
          <w:rtl w:val="0"/>
        </w:rPr>
        <w:t xml:space="preserve">Datos tipificados</w:t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Los datos que en el enunciado se mencionan como tipificados, decidimos </w:t>
      </w:r>
      <w:r w:rsidDel="00000000" w:rsidR="00000000" w:rsidRPr="00000000">
        <w:rPr>
          <w:rtl w:val="0"/>
        </w:rPr>
        <w:t xml:space="preserve">modelarlo</w:t>
      </w:r>
      <w:r w:rsidDel="00000000" w:rsidR="00000000" w:rsidRPr="00000000">
        <w:rPr>
          <w:rtl w:val="0"/>
        </w:rPr>
        <w:t xml:space="preserve"> cada uno como una entidad para poder </w:t>
      </w:r>
      <w:r w:rsidDel="00000000" w:rsidR="00000000" w:rsidRPr="00000000">
        <w:rPr>
          <w:rtl w:val="0"/>
        </w:rPr>
        <w:t xml:space="preserve">persistirlos</w:t>
      </w:r>
      <w:r w:rsidDel="00000000" w:rsidR="00000000" w:rsidRPr="00000000">
        <w:rPr>
          <w:rtl w:val="0"/>
        </w:rPr>
        <w:t xml:space="preserve"> en el sistema. Por ejemplo: los tipos de inmuebles, las direcciones, estados, monedas, periodos, entre otros.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1985963" cy="6206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62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136478" cy="5702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478" cy="57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3617637" cy="12656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637" cy="126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left="0" w:firstLine="0"/>
        <w:rPr/>
      </w:pPr>
      <w:bookmarkStart w:colFirst="0" w:colLast="0" w:name="_90kayuledexo" w:id="4"/>
      <w:bookmarkEnd w:id="4"/>
      <w:r w:rsidDel="00000000" w:rsidR="00000000" w:rsidRPr="00000000">
        <w:rPr>
          <w:rtl w:val="0"/>
        </w:rPr>
        <w:t xml:space="preserve">Características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Para modelar las características de los inmuebles, decidimos realizar una tabla aparte, ya que el enunciado pedía que estén previamente dadas de alta y tipificadas. Es por esto, que consideramos entonces que un inmueble puede tener muchas características y que una misma característica puede pertenecer a muchos inmuebles. Por esto último tuvimos que agregar una tabla intermedia para romper la relación de muchos a muchos, en la cual se asocia un inmueble con una característica. 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628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ind w:left="0" w:firstLine="0"/>
        <w:rPr/>
      </w:pPr>
      <w:bookmarkStart w:colFirst="0" w:colLast="0" w:name="_woudfndr78hv" w:id="5"/>
      <w:bookmarkEnd w:id="5"/>
      <w:r w:rsidDel="00000000" w:rsidR="00000000" w:rsidRPr="00000000">
        <w:rPr>
          <w:rtl w:val="0"/>
        </w:rPr>
        <w:t xml:space="preserve">Periodos / tipos periodos</w:t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Los periodos decidimos modelarlos como una entidad aparte y no embeberla en la de “</w:t>
      </w:r>
      <w:r w:rsidDel="00000000" w:rsidR="00000000" w:rsidRPr="00000000">
        <w:rPr>
          <w:rtl w:val="0"/>
        </w:rPr>
        <w:t xml:space="preserve">pagosAlquileres</w:t>
      </w:r>
      <w:r w:rsidDel="00000000" w:rsidR="00000000" w:rsidRPr="00000000">
        <w:rPr>
          <w:rtl w:val="0"/>
        </w:rPr>
        <w:t xml:space="preserve">” para que no haya dependencias entre atributos no claves y cumplir la tercera forma normal. Los tipo de periodos están tipificados y guardaría valores tales como “Mensual”, “Semanal”, “Anual”, etc.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892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459125" cy="2667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1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