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7DC" w:rsidRPr="007957DC" w:rsidRDefault="007957DC" w:rsidP="007957DC">
      <w:pPr>
        <w:pStyle w:val="NormalWeb"/>
        <w:shd w:val="clear" w:color="auto" w:fill="FFFFFF"/>
        <w:spacing w:after="225"/>
        <w:jc w:val="center"/>
        <w:rPr>
          <w:rFonts w:ascii="Source Serif Pro" w:hAnsi="Source Serif Pro"/>
          <w:b/>
          <w:color w:val="1C1C1C"/>
          <w:sz w:val="28"/>
          <w:szCs w:val="28"/>
        </w:rPr>
      </w:pPr>
      <w:r w:rsidRPr="007957DC">
        <w:rPr>
          <w:rFonts w:ascii="Source Serif Pro" w:hAnsi="Source Serif Pro"/>
          <w:b/>
          <w:color w:val="1C1C1C"/>
          <w:sz w:val="28"/>
          <w:szCs w:val="28"/>
        </w:rPr>
        <w:t>El ex gerente general de YPF se llevó más de $70 millones al retirarse de la petrolera. ¿Cómo se compara esta indemnización con lo que paga el mercado?</w:t>
      </w:r>
    </w:p>
    <w:p w:rsidR="007957DC" w:rsidRPr="007957DC" w:rsidRDefault="007957DC" w:rsidP="007957DC">
      <w:pPr>
        <w:pStyle w:val="NormalWeb"/>
        <w:shd w:val="clear" w:color="auto" w:fill="FFFFFF"/>
        <w:spacing w:after="225"/>
        <w:jc w:val="right"/>
        <w:rPr>
          <w:rFonts w:ascii="Source Serif Pro" w:hAnsi="Source Serif Pro"/>
          <w:color w:val="1C1C1C"/>
          <w:sz w:val="27"/>
          <w:szCs w:val="27"/>
        </w:rPr>
      </w:pPr>
      <w:r w:rsidRPr="007957DC">
        <w:rPr>
          <w:rFonts w:ascii="Source Serif Pro" w:hAnsi="Source Serif Pro"/>
          <w:color w:val="1C1C1C"/>
          <w:sz w:val="27"/>
          <w:szCs w:val="27"/>
        </w:rPr>
        <w:t xml:space="preserve">Por Paula Krizanovic 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225" w:afterAutospacing="0"/>
        <w:jc w:val="right"/>
        <w:rPr>
          <w:rFonts w:ascii="Source Serif Pro" w:hAnsi="Source Serif Pro"/>
          <w:color w:val="1C1C1C"/>
          <w:sz w:val="27"/>
          <w:szCs w:val="27"/>
        </w:rPr>
      </w:pPr>
      <w:r w:rsidRPr="007957DC">
        <w:rPr>
          <w:rFonts w:ascii="Source Serif Pro" w:hAnsi="Source Serif Pro"/>
          <w:color w:val="1C1C1C"/>
          <w:sz w:val="27"/>
          <w:szCs w:val="27"/>
        </w:rPr>
        <w:t xml:space="preserve">27.05.2016 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N</w:t>
      </w:r>
      <w:r>
        <w:rPr>
          <w:rFonts w:ascii="Source Serif Pro" w:hAnsi="Source Serif Pro"/>
          <w:color w:val="1C1C1C"/>
          <w:sz w:val="27"/>
          <w:szCs w:val="27"/>
        </w:rPr>
        <w:t>unca una indemnización por despido había ocupado tanto espacio en los medios de comunicación argentinos.</w:t>
      </w:r>
    </w:p>
    <w:p w:rsidR="0076167E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Y no era para menos: el hecho de que la petrolera YPF haya abonado a su ex gerente general,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Miguel Galuccio</w:t>
      </w:r>
      <w:r>
        <w:rPr>
          <w:rFonts w:ascii="Source Serif Pro" w:hAnsi="Source Serif Pro"/>
          <w:color w:val="1C1C1C"/>
          <w:sz w:val="27"/>
          <w:szCs w:val="27"/>
        </w:rPr>
        <w:t>,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más de $72 millones</w:t>
      </w:r>
      <w:r>
        <w:rPr>
          <w:rFonts w:ascii="Source Serif Pro" w:hAnsi="Source Serif Pro"/>
          <w:color w:val="1C1C1C"/>
          <w:sz w:val="27"/>
          <w:szCs w:val="27"/>
        </w:rPr>
        <w:t> en concepto de salarios, bono y compensaciones por su reciente salida de la compañía, tenía todos los ingredientes para generar polémica.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br/>
      </w:r>
      <w:r>
        <w:rPr>
          <w:rFonts w:ascii="Source Serif Pro" w:hAnsi="Source Serif Pro"/>
          <w:color w:val="1C1C1C"/>
          <w:sz w:val="27"/>
          <w:szCs w:val="27"/>
        </w:rPr>
        <w:br/>
        <w:t>El número trascendió a los medios de comunicación luego de que constara en el Acta de la Asamblea General de Accionistas que la firma celebró el pasado 29 de abril, donde se oficializó la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partida del "Mago"</w:t>
      </w:r>
      <w:r>
        <w:rPr>
          <w:rFonts w:ascii="Source Serif Pro" w:hAnsi="Source Serif Pro"/>
          <w:color w:val="1C1C1C"/>
          <w:sz w:val="27"/>
          <w:szCs w:val="27"/>
        </w:rPr>
        <w:t> para dejar el lugar de presidente ejecutivo al ex JP Morgan y Telefónica,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Miguel Gutiérrez.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Fue inevitable que, desde el ámbito político, llegaran cuestionamientos a esa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compensación</w:t>
      </w:r>
      <w:r>
        <w:rPr>
          <w:rFonts w:ascii="Source Serif Pro" w:hAnsi="Source Serif Pro"/>
          <w:color w:val="1C1C1C"/>
          <w:sz w:val="27"/>
          <w:szCs w:val="27"/>
        </w:rPr>
        <w:t>, que muchos consideraron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pago elevado</w:t>
      </w:r>
      <w:r>
        <w:rPr>
          <w:rFonts w:ascii="Source Serif Pro" w:hAnsi="Source Serif Pro"/>
          <w:color w:val="1C1C1C"/>
          <w:sz w:val="27"/>
          <w:szCs w:val="27"/>
        </w:rPr>
        <w:t> en medio de un proceso 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reducción </w:t>
      </w:r>
      <w:r>
        <w:rPr>
          <w:rFonts w:ascii="Source Serif Pro" w:hAnsi="Source Serif Pro"/>
          <w:color w:val="1C1C1C"/>
          <w:sz w:val="27"/>
          <w:szCs w:val="27"/>
        </w:rPr>
        <w:t>drástico en el Estado, por el cual muchos empleados públicos perdieron sus puestos de trabajo.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Además, había tomado estado público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cuestionamiento </w:t>
      </w:r>
      <w:r>
        <w:rPr>
          <w:rFonts w:ascii="Source Serif Pro" w:hAnsi="Source Serif Pro"/>
          <w:color w:val="1C1C1C"/>
          <w:sz w:val="27"/>
          <w:szCs w:val="27"/>
        </w:rPr>
        <w:t>por parte de una facción del Gobierno hacia los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resultados </w:t>
      </w:r>
      <w:r>
        <w:rPr>
          <w:rFonts w:ascii="Source Serif Pro" w:hAnsi="Source Serif Pro"/>
          <w:color w:val="1C1C1C"/>
          <w:sz w:val="27"/>
          <w:szCs w:val="27"/>
        </w:rPr>
        <w:t>de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gestión Galuccio.</w:t>
      </w:r>
      <w:r>
        <w:rPr>
          <w:rFonts w:ascii="Source Serif Pro" w:hAnsi="Source Serif Pro"/>
          <w:color w:val="1C1C1C"/>
          <w:sz w:val="27"/>
          <w:szCs w:val="27"/>
        </w:rPr>
        <w:br/>
      </w:r>
      <w:r>
        <w:rPr>
          <w:rFonts w:ascii="Source Serif Pro" w:hAnsi="Source Serif Pro"/>
          <w:color w:val="1C1C1C"/>
          <w:sz w:val="27"/>
          <w:szCs w:val="27"/>
        </w:rPr>
        <w:br/>
        <w:t>Por lo pronto, la noticia trajo al tapete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concepto de justicia en las fórmulas de compensación </w:t>
      </w:r>
      <w:r>
        <w:rPr>
          <w:rFonts w:ascii="Source Serif Pro" w:hAnsi="Source Serif Pro"/>
          <w:color w:val="1C1C1C"/>
          <w:sz w:val="27"/>
          <w:szCs w:val="27"/>
        </w:rPr>
        <w:t>a los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ejecutivos</w:t>
      </w:r>
      <w:r>
        <w:rPr>
          <w:rFonts w:ascii="Source Serif Pro" w:hAnsi="Source Serif Pro"/>
          <w:color w:val="1C1C1C"/>
          <w:sz w:val="27"/>
          <w:szCs w:val="27"/>
        </w:rPr>
        <w:t>, algo que suele generar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debates</w:t>
      </w:r>
      <w:r>
        <w:rPr>
          <w:rFonts w:ascii="Source Serif Pro" w:hAnsi="Source Serif Pro"/>
          <w:color w:val="1C1C1C"/>
          <w:sz w:val="27"/>
          <w:szCs w:val="27"/>
        </w:rPr>
        <w:t>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acalorados </w:t>
      </w:r>
      <w:r>
        <w:rPr>
          <w:rFonts w:ascii="Source Serif Pro" w:hAnsi="Source Serif Pro"/>
          <w:color w:val="1C1C1C"/>
          <w:sz w:val="27"/>
          <w:szCs w:val="27"/>
        </w:rPr>
        <w:t>en todos los países, pero mucho más en aquellos donde hay predominancia del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capital estatal </w:t>
      </w:r>
      <w:r>
        <w:rPr>
          <w:rFonts w:ascii="Source Serif Pro" w:hAnsi="Source Serif Pro"/>
          <w:color w:val="1C1C1C"/>
          <w:sz w:val="27"/>
          <w:szCs w:val="27"/>
        </w:rPr>
        <w:t>en los servicios públicos.</w:t>
      </w:r>
    </w:p>
    <w:p w:rsidR="0076167E" w:rsidRDefault="0076167E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"A la gente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le cayó mal </w:t>
      </w:r>
      <w:r>
        <w:rPr>
          <w:rFonts w:ascii="Source Serif Pro" w:hAnsi="Source Serif Pro"/>
          <w:color w:val="1C1C1C"/>
          <w:sz w:val="27"/>
          <w:szCs w:val="27"/>
        </w:rPr>
        <w:t>pero hay un contrato que cumplir.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YPF no es una empresa del Estado</w:t>
      </w:r>
      <w:r>
        <w:rPr>
          <w:rFonts w:ascii="Source Serif Pro" w:hAnsi="Source Serif Pro"/>
          <w:color w:val="1C1C1C"/>
          <w:sz w:val="27"/>
          <w:szCs w:val="27"/>
        </w:rPr>
        <w:t>, sino una donde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Estado </w:t>
      </w:r>
      <w:r>
        <w:rPr>
          <w:rFonts w:ascii="Source Serif Pro" w:hAnsi="Source Serif Pro"/>
          <w:color w:val="1C1C1C"/>
          <w:sz w:val="27"/>
          <w:szCs w:val="27"/>
        </w:rPr>
        <w:t>es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accionista</w:t>
      </w:r>
      <w:r>
        <w:rPr>
          <w:rFonts w:ascii="Source Serif Pro" w:hAnsi="Source Serif Pro"/>
          <w:color w:val="1C1C1C"/>
          <w:sz w:val="27"/>
          <w:szCs w:val="27"/>
        </w:rPr>
        <w:t>. Galuccio es un gerente general como el de cualquier otra compañía de ese calibre, y cuando se va, se va; independientemente de cómo le vaya en ese momento al país", dijo al respecto Edgar Medinaceli, headhunter y socio de la consultora especializada en búsquedas ejecutivas Russell Reynolds.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Pero, puntualmente, en los entornos empresarios es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propio concepto</w:t>
      </w:r>
      <w:r>
        <w:rPr>
          <w:rFonts w:ascii="Source Serif Pro" w:hAnsi="Source Serif Pro"/>
          <w:color w:val="1C1C1C"/>
          <w:sz w:val="27"/>
          <w:szCs w:val="27"/>
        </w:rPr>
        <w:t xml:space="preserve"> de una </w:t>
      </w:r>
      <w:r>
        <w:rPr>
          <w:rFonts w:ascii="Source Serif Pro" w:hAnsi="Source Serif Pro"/>
          <w:color w:val="1C1C1C"/>
          <w:sz w:val="27"/>
          <w:szCs w:val="27"/>
        </w:rPr>
        <w:t>cláusula</w:t>
      </w:r>
      <w:r>
        <w:rPr>
          <w:rFonts w:ascii="Source Serif Pro" w:hAnsi="Source Serif Pro"/>
          <w:color w:val="1C1C1C"/>
          <w:sz w:val="27"/>
          <w:szCs w:val="27"/>
        </w:rPr>
        <w:t xml:space="preserve"> 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"paracaídas dorado"</w:t>
      </w:r>
      <w:r>
        <w:rPr>
          <w:rFonts w:ascii="Source Serif Pro" w:hAnsi="Source Serif Pro"/>
          <w:color w:val="1C1C1C"/>
          <w:sz w:val="27"/>
          <w:szCs w:val="27"/>
        </w:rPr>
        <w:t> (golden parachute) para contratar a estos altos ejecutivos, lo que está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siendo cuestionado</w:t>
      </w:r>
      <w:r>
        <w:rPr>
          <w:rFonts w:ascii="Source Serif Pro" w:hAnsi="Source Serif Pro"/>
          <w:color w:val="1C1C1C"/>
          <w:sz w:val="27"/>
          <w:szCs w:val="27"/>
        </w:rPr>
        <w:t> en todo el mundo.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lastRenderedPageBreak/>
        <w:t>Polémica aparte,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monto </w:t>
      </w:r>
      <w:r>
        <w:rPr>
          <w:rFonts w:ascii="Source Serif Pro" w:hAnsi="Source Serif Pro"/>
          <w:color w:val="1C1C1C"/>
          <w:sz w:val="27"/>
          <w:szCs w:val="27"/>
        </w:rPr>
        <w:t>que recibió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Galuccio </w:t>
      </w:r>
      <w:r>
        <w:rPr>
          <w:rFonts w:ascii="Source Serif Pro" w:hAnsi="Source Serif Pro"/>
          <w:color w:val="1C1C1C"/>
          <w:sz w:val="27"/>
          <w:szCs w:val="27"/>
        </w:rPr>
        <w:t>habría sido definido en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momento </w:t>
      </w:r>
      <w:r>
        <w:rPr>
          <w:rFonts w:ascii="Source Serif Pro" w:hAnsi="Source Serif Pro"/>
          <w:color w:val="1C1C1C"/>
          <w:sz w:val="27"/>
          <w:szCs w:val="27"/>
        </w:rPr>
        <w:t>de su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contratación</w:t>
      </w:r>
      <w:r>
        <w:rPr>
          <w:rFonts w:ascii="Source Serif Pro" w:hAnsi="Source Serif Pro"/>
          <w:color w:val="1C1C1C"/>
          <w:sz w:val="27"/>
          <w:szCs w:val="27"/>
        </w:rPr>
        <w:t>, cuando se hizo cargo de la compañía más emblemática de la industria nacional tras su reestatización.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"En mi experiencia con este tipo de contratos, lo que suele determinar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cifra </w:t>
      </w:r>
      <w:r>
        <w:rPr>
          <w:rFonts w:ascii="Source Serif Pro" w:hAnsi="Source Serif Pro"/>
          <w:color w:val="1C1C1C"/>
          <w:sz w:val="27"/>
          <w:szCs w:val="27"/>
        </w:rPr>
        <w:t>es, por un lado,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salario anual </w:t>
      </w:r>
      <w:r>
        <w:rPr>
          <w:rFonts w:ascii="Source Serif Pro" w:hAnsi="Source Serif Pro"/>
          <w:color w:val="1C1C1C"/>
          <w:sz w:val="27"/>
          <w:szCs w:val="27"/>
        </w:rPr>
        <w:t>que cobrará el directivo -son uno o dos años de compensaciones, incluyendo los bonos- y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dinero</w:t>
      </w:r>
      <w:r>
        <w:rPr>
          <w:rFonts w:ascii="Source Serif Pro" w:hAnsi="Source Serif Pro"/>
          <w:color w:val="1C1C1C"/>
          <w:sz w:val="27"/>
          <w:szCs w:val="27"/>
        </w:rPr>
        <w:t> que de alguna forma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arriesga</w:t>
      </w:r>
      <w:r>
        <w:rPr>
          <w:rFonts w:ascii="Source Serif Pro" w:hAnsi="Source Serif Pro"/>
          <w:color w:val="1C1C1C"/>
          <w:sz w:val="27"/>
          <w:szCs w:val="27"/>
        </w:rPr>
        <w:t> al abandonar la compañía en la que trabaja", aclaró Medinaceli.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Pablo Van Thienen, director académico del Instituto CEDEF de Derecho y Finanzas, indicó que probablemente la cifra abonada al ex gerente general incluyera también algún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acuerdo de no competencia.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"Si este es el caso, la suma pagada no sólo responde a lo pactado en el contrato de empleo, sino a criterios de valuación del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costo de oportunidad</w:t>
      </w:r>
      <w:r>
        <w:rPr>
          <w:rFonts w:ascii="Source Serif Pro" w:hAnsi="Source Serif Pro"/>
          <w:color w:val="1C1C1C"/>
          <w:sz w:val="27"/>
          <w:szCs w:val="27"/>
        </w:rPr>
        <w:t> de un CEO por quedar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desempleado </w:t>
      </w:r>
      <w:r>
        <w:rPr>
          <w:rFonts w:ascii="Source Serif Pro" w:hAnsi="Source Serif Pro"/>
          <w:color w:val="1C1C1C"/>
          <w:sz w:val="27"/>
          <w:szCs w:val="27"/>
        </w:rPr>
        <w:t>o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con pase libre </w:t>
      </w:r>
      <w:r>
        <w:rPr>
          <w:rFonts w:ascii="Source Serif Pro" w:hAnsi="Source Serif Pro"/>
          <w:color w:val="1C1C1C"/>
          <w:sz w:val="27"/>
          <w:szCs w:val="27"/>
        </w:rPr>
        <w:t>para jugar en otro club", detalló el docente.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Apuntó además que la fórmula para determinar las indemnizaciones de la salida de altos ejecutivos con fuerte nivel de exposición en empresas de primera línea, puede incluir también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valuación de la capacidad</w:t>
      </w:r>
      <w:r>
        <w:rPr>
          <w:rFonts w:ascii="Source Serif Pro" w:hAnsi="Source Serif Pro"/>
          <w:color w:val="1C1C1C"/>
          <w:sz w:val="27"/>
          <w:szCs w:val="27"/>
        </w:rPr>
        <w:t>,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habilidad</w:t>
      </w:r>
      <w:r>
        <w:rPr>
          <w:rFonts w:ascii="Source Serif Pro" w:hAnsi="Source Serif Pro"/>
          <w:color w:val="1C1C1C"/>
          <w:sz w:val="27"/>
          <w:szCs w:val="27"/>
        </w:rPr>
        <w:t>,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formación </w:t>
      </w:r>
      <w:r>
        <w:rPr>
          <w:rFonts w:ascii="Source Serif Pro" w:hAnsi="Source Serif Pro"/>
          <w:color w:val="1C1C1C"/>
          <w:sz w:val="27"/>
          <w:szCs w:val="27"/>
        </w:rPr>
        <w:t>y antecedentes profesionales del CEO, y por otro lado, los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salarios que se pagan a ejecutivos del mismo rango </w:t>
      </w:r>
      <w:r>
        <w:rPr>
          <w:rFonts w:ascii="Source Serif Pro" w:hAnsi="Source Serif Pro"/>
          <w:color w:val="1C1C1C"/>
          <w:sz w:val="27"/>
          <w:szCs w:val="27"/>
        </w:rPr>
        <w:t>en mercados comparados. 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Según las fuentes consultadas, es común que en este tipo de indemnización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no se tomen en cuenta</w:t>
      </w:r>
      <w:r>
        <w:rPr>
          <w:rFonts w:ascii="Source Serif Pro" w:hAnsi="Source Serif Pro"/>
          <w:color w:val="1C1C1C"/>
          <w:sz w:val="27"/>
          <w:szCs w:val="27"/>
        </w:rPr>
        <w:t> los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resultados</w:t>
      </w:r>
      <w:r>
        <w:rPr>
          <w:rFonts w:ascii="Source Serif Pro" w:hAnsi="Source Serif Pro"/>
          <w:color w:val="1C1C1C"/>
          <w:sz w:val="27"/>
          <w:szCs w:val="27"/>
        </w:rPr>
        <w:t xml:space="preserve"> de la gestión, sino que el número fijado se </w:t>
      </w:r>
      <w:bookmarkStart w:id="0" w:name="_GoBack"/>
      <w:bookmarkEnd w:id="0"/>
      <w:r>
        <w:rPr>
          <w:rFonts w:ascii="Source Serif Pro" w:hAnsi="Source Serif Pro"/>
          <w:color w:val="1C1C1C"/>
          <w:sz w:val="27"/>
          <w:szCs w:val="27"/>
        </w:rPr>
        <w:t>mantenga así el paso del directivo haya sido todo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éxito </w:t>
      </w:r>
      <w:r>
        <w:rPr>
          <w:rFonts w:ascii="Source Serif Pro" w:hAnsi="Source Serif Pro"/>
          <w:color w:val="1C1C1C"/>
          <w:sz w:val="27"/>
          <w:szCs w:val="27"/>
        </w:rPr>
        <w:t>o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fracaso</w:t>
      </w:r>
      <w:r>
        <w:rPr>
          <w:rFonts w:ascii="Source Serif Pro" w:hAnsi="Source Serif Pro"/>
          <w:color w:val="1C1C1C"/>
          <w:sz w:val="27"/>
          <w:szCs w:val="27"/>
        </w:rPr>
        <w:t>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"No tiene que ver con eso. Es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seguro </w:t>
      </w:r>
      <w:r>
        <w:rPr>
          <w:rFonts w:ascii="Source Serif Pro" w:hAnsi="Source Serif Pro"/>
          <w:color w:val="1C1C1C"/>
          <w:sz w:val="27"/>
          <w:szCs w:val="27"/>
        </w:rPr>
        <w:t>que tenés por subirte a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tren </w:t>
      </w:r>
      <w:r>
        <w:rPr>
          <w:rFonts w:ascii="Source Serif Pro" w:hAnsi="Source Serif Pro"/>
          <w:color w:val="1C1C1C"/>
          <w:sz w:val="27"/>
          <w:szCs w:val="27"/>
        </w:rPr>
        <w:t>que no sabés en dónde va a terminar", afirmó Medinaceli.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Vale la pena recordar que, desde su estatización, YPF elevó el endeudamiento desde unos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u$s2.000 millones</w:t>
      </w:r>
      <w:r>
        <w:rPr>
          <w:rFonts w:ascii="Source Serif Pro" w:hAnsi="Source Serif Pro"/>
          <w:color w:val="1C1C1C"/>
          <w:sz w:val="27"/>
          <w:szCs w:val="27"/>
        </w:rPr>
        <w:t> hasta los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u$s7.000 millones.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"La compensación de Galuccio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no está fuera de la media</w:t>
      </w:r>
      <w:r>
        <w:rPr>
          <w:rFonts w:ascii="Source Serif Pro" w:hAnsi="Source Serif Pro"/>
          <w:color w:val="1C1C1C"/>
          <w:sz w:val="27"/>
          <w:szCs w:val="27"/>
        </w:rPr>
        <w:t> de lo que paga una empresa petrolera de la escala de YPF en el mundo. No es un número increíblemente alto como suena, pero sí está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por arriba del promedio</w:t>
      </w:r>
      <w:r>
        <w:rPr>
          <w:rFonts w:ascii="Source Serif Pro" w:hAnsi="Source Serif Pro"/>
          <w:color w:val="1C1C1C"/>
          <w:sz w:val="27"/>
          <w:szCs w:val="27"/>
        </w:rPr>
        <w:t> de lo que se paga en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Argentina</w:t>
      </w:r>
      <w:r>
        <w:rPr>
          <w:rFonts w:ascii="Source Serif Pro" w:hAnsi="Source Serif Pro"/>
          <w:color w:val="1C1C1C"/>
          <w:sz w:val="27"/>
          <w:szCs w:val="27"/>
        </w:rPr>
        <w:t>, donde no hay una compañía comparable con YPF, por su tamaño pero también por su complejidad", afirmó Medinaceli.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Es precisamente por esto último que los expertos consultados coinciden en que no es posible relacionar el monto percibido por Galuccio con otros casos locales. Más aún, aseguraron que son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pocas las empresas en el país</w:t>
      </w:r>
      <w:r>
        <w:rPr>
          <w:rFonts w:ascii="Source Serif Pro" w:hAnsi="Source Serif Pro"/>
          <w:color w:val="1C1C1C"/>
          <w:sz w:val="27"/>
          <w:szCs w:val="27"/>
        </w:rPr>
        <w:t> en el que se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firma </w:t>
      </w:r>
      <w:r>
        <w:rPr>
          <w:rFonts w:ascii="Source Serif Pro" w:hAnsi="Source Serif Pro"/>
          <w:color w:val="1C1C1C"/>
          <w:sz w:val="27"/>
          <w:szCs w:val="27"/>
        </w:rPr>
        <w:t>este tipo 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acuerdos </w:t>
      </w:r>
      <w:r>
        <w:rPr>
          <w:rFonts w:ascii="Source Serif Pro" w:hAnsi="Source Serif Pro"/>
          <w:color w:val="1C1C1C"/>
          <w:sz w:val="27"/>
          <w:szCs w:val="27"/>
        </w:rPr>
        <w:t>para contratar a los talentos.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Nuestro mercado no tiene muchos Galuccios</w:t>
      </w:r>
      <w:r>
        <w:rPr>
          <w:rFonts w:ascii="Source Serif Pro" w:hAnsi="Source Serif Pro"/>
          <w:color w:val="1C1C1C"/>
          <w:sz w:val="27"/>
          <w:szCs w:val="27"/>
        </w:rPr>
        <w:t>, y carecemos de otras petroleras del tamaño de YPF. Comparar en este caso es como mirarnos el ombligo.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No hay punto de referencia</w:t>
      </w:r>
      <w:r>
        <w:rPr>
          <w:rFonts w:ascii="Source Serif Pro" w:hAnsi="Source Serif Pro"/>
          <w:color w:val="1C1C1C"/>
          <w:sz w:val="27"/>
          <w:szCs w:val="27"/>
        </w:rPr>
        <w:t>", opinó al respecto Van Thienen.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Se impone entonces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comparación regional. </w:t>
      </w:r>
      <w:r>
        <w:rPr>
          <w:rFonts w:ascii="Source Serif Pro" w:hAnsi="Source Serif Pro"/>
          <w:color w:val="1C1C1C"/>
          <w:sz w:val="27"/>
          <w:szCs w:val="27"/>
        </w:rPr>
        <w:t>Para Cristina Bomchil, directora ejecutiva de la consultora Valuar Argentina, $72 millones "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es un monto alto para nuestra región</w:t>
      </w:r>
      <w:r>
        <w:rPr>
          <w:rFonts w:ascii="Source Serif Pro" w:hAnsi="Source Serif Pro"/>
          <w:color w:val="1C1C1C"/>
          <w:sz w:val="27"/>
          <w:szCs w:val="27"/>
        </w:rPr>
        <w:t>, aunque en Estados Unidos se han otorgado sumas muy importantes y mayores a esta para ejecutivos despedidos, inclusive cuando la gestión ha sido mala. Europa, salvo contadas excepciones, es más sobria al respecto".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ource Serif Pro" w:hAnsi="Source Serif Pro"/>
          <w:color w:val="000080"/>
          <w:sz w:val="27"/>
          <w:szCs w:val="27"/>
        </w:rPr>
      </w:pP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Textoennegrita"/>
          <w:rFonts w:ascii="Source Serif Pro" w:hAnsi="Source Serif Pro"/>
          <w:color w:val="000080"/>
          <w:sz w:val="27"/>
          <w:szCs w:val="27"/>
        </w:rPr>
      </w:pPr>
      <w:r>
        <w:rPr>
          <w:rStyle w:val="Textoennegrita"/>
          <w:rFonts w:ascii="Source Serif Pro" w:hAnsi="Source Serif Pro"/>
          <w:color w:val="000080"/>
          <w:sz w:val="27"/>
          <w:szCs w:val="27"/>
        </w:rPr>
        <w:lastRenderedPageBreak/>
        <w:t>Cláusula polémica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b/>
          <w:bCs/>
          <w:color w:val="000080"/>
          <w:sz w:val="27"/>
          <w:szCs w:val="27"/>
        </w:rPr>
        <w:br/>
      </w:r>
      <w:r>
        <w:rPr>
          <w:rFonts w:ascii="Source Serif Pro" w:hAnsi="Source Serif Pro"/>
          <w:color w:val="1C1C1C"/>
          <w:sz w:val="27"/>
          <w:szCs w:val="27"/>
        </w:rPr>
        <w:t>Inicialmente, la cláusula de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"paracaídas dorado" </w:t>
      </w:r>
      <w:r>
        <w:rPr>
          <w:rFonts w:ascii="Source Serif Pro" w:hAnsi="Source Serif Pro"/>
          <w:color w:val="1C1C1C"/>
          <w:sz w:val="27"/>
          <w:szCs w:val="27"/>
        </w:rPr>
        <w:t>fue un recurso muy utilizado para atraer grandes talentos 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liderar situaciones complejas</w:t>
      </w:r>
      <w:r>
        <w:rPr>
          <w:rFonts w:ascii="Source Serif Pro" w:hAnsi="Source Serif Pro"/>
          <w:color w:val="1C1C1C"/>
          <w:sz w:val="27"/>
          <w:szCs w:val="27"/>
        </w:rPr>
        <w:t> o empresas con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alto nivel de riesgo</w:t>
      </w:r>
      <w:r>
        <w:rPr>
          <w:rFonts w:ascii="Source Serif Pro" w:hAnsi="Source Serif Pro"/>
          <w:color w:val="1C1C1C"/>
          <w:sz w:val="27"/>
          <w:szCs w:val="27"/>
        </w:rPr>
        <w:t>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"Es un modo 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atraer candidatos difíciles de mover </w:t>
      </w:r>
      <w:r>
        <w:rPr>
          <w:rFonts w:ascii="Source Serif Pro" w:hAnsi="Source Serif Pro"/>
          <w:color w:val="1C1C1C"/>
          <w:sz w:val="27"/>
          <w:szCs w:val="27"/>
        </w:rPr>
        <w:t>porque ocupan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posiciones prestigiosas</w:t>
      </w:r>
      <w:r>
        <w:rPr>
          <w:rFonts w:ascii="Source Serif Pro" w:hAnsi="Source Serif Pro"/>
          <w:color w:val="1C1C1C"/>
          <w:sz w:val="27"/>
          <w:szCs w:val="27"/>
        </w:rPr>
        <w:t> y con un derecho de piso ya pagado. Se les asegura que si su relación laboral se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interrumpe </w:t>
      </w:r>
      <w:r>
        <w:rPr>
          <w:rFonts w:ascii="Source Serif Pro" w:hAnsi="Source Serif Pro"/>
          <w:color w:val="1C1C1C"/>
          <w:sz w:val="27"/>
          <w:szCs w:val="27"/>
        </w:rPr>
        <w:t>por un hecho no previsto, son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recompensados</w:t>
      </w:r>
      <w:r>
        <w:rPr>
          <w:rFonts w:ascii="Source Serif Pro" w:hAnsi="Source Serif Pro"/>
          <w:color w:val="1C1C1C"/>
          <w:sz w:val="27"/>
          <w:szCs w:val="27"/>
        </w:rPr>
        <w:t>", dijo Bomchil. 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De acuerdo a la directora de Valuar, se pactan porque el ejecutivo lo solicita o cuando la posición nueva entraña riesgos, como por ejemplo,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cambio </w:t>
      </w:r>
      <w:r>
        <w:rPr>
          <w:rFonts w:ascii="Source Serif Pro" w:hAnsi="Source Serif Pro"/>
          <w:color w:val="1C1C1C"/>
          <w:sz w:val="27"/>
          <w:szCs w:val="27"/>
        </w:rPr>
        <w:t>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Gobierno </w:t>
      </w:r>
      <w:r>
        <w:rPr>
          <w:rFonts w:ascii="Source Serif Pro" w:hAnsi="Source Serif Pro"/>
          <w:color w:val="1C1C1C"/>
          <w:sz w:val="27"/>
          <w:szCs w:val="27"/>
        </w:rPr>
        <w:t>y en las políticas de Estado.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En casi todos los casos, implican sumas astronómicas. El docente del Instituto CEDEF recordó el ejemplo de la compañía de entretenimiento,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Disney</w:t>
      </w:r>
      <w:r>
        <w:rPr>
          <w:rFonts w:ascii="Source Serif Pro" w:hAnsi="Source Serif Pro"/>
          <w:color w:val="1C1C1C"/>
          <w:sz w:val="27"/>
          <w:szCs w:val="27"/>
        </w:rPr>
        <w:t>. Una década atrás le había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pagado </w:t>
      </w:r>
      <w:r>
        <w:rPr>
          <w:rFonts w:ascii="Source Serif Pro" w:hAnsi="Source Serif Pro"/>
          <w:color w:val="1C1C1C"/>
          <w:sz w:val="27"/>
          <w:szCs w:val="27"/>
        </w:rPr>
        <w:t>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Michael Eisner</w:t>
      </w:r>
      <w:r>
        <w:rPr>
          <w:rFonts w:ascii="Source Serif Pro" w:hAnsi="Source Serif Pro"/>
          <w:color w:val="1C1C1C"/>
          <w:sz w:val="27"/>
          <w:szCs w:val="27"/>
        </w:rPr>
        <w:t> la suma 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u$s170 millones </w:t>
      </w:r>
      <w:r>
        <w:rPr>
          <w:rFonts w:ascii="Source Serif Pro" w:hAnsi="Source Serif Pro"/>
          <w:color w:val="1C1C1C"/>
          <w:sz w:val="27"/>
          <w:szCs w:val="27"/>
        </w:rPr>
        <w:t>como resultado de un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"paracaídas de oro".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Este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caso llegó a los tribunales</w:t>
      </w:r>
      <w:r>
        <w:rPr>
          <w:rFonts w:ascii="Source Serif Pro" w:hAnsi="Source Serif Pro"/>
          <w:color w:val="1C1C1C"/>
          <w:sz w:val="27"/>
          <w:szCs w:val="27"/>
        </w:rPr>
        <w:t> por la escandalosa suma abonada por Disney a su ex CEO, quien además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duró </w:t>
      </w:r>
      <w:r>
        <w:rPr>
          <w:rFonts w:ascii="Source Serif Pro" w:hAnsi="Source Serif Pro"/>
          <w:color w:val="1C1C1C"/>
          <w:sz w:val="27"/>
          <w:szCs w:val="27"/>
        </w:rPr>
        <w:t>en el cargo sólo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6 meses</w:t>
      </w:r>
      <w:r>
        <w:rPr>
          <w:rFonts w:ascii="Source Serif Pro" w:hAnsi="Source Serif Pro"/>
          <w:color w:val="1C1C1C"/>
          <w:sz w:val="27"/>
          <w:szCs w:val="27"/>
        </w:rPr>
        <w:t>. "Nunca antes un CEO de una empresa que cotiza en bolsa había recibido semejante compensación", recordó Van Thienen.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La Cámara de Apelaciones de Delaware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dejó firme </w:t>
      </w:r>
      <w:r>
        <w:rPr>
          <w:rFonts w:ascii="Source Serif Pro" w:hAnsi="Source Serif Pro"/>
          <w:color w:val="1C1C1C"/>
          <w:sz w:val="27"/>
          <w:szCs w:val="27"/>
        </w:rPr>
        <w:t>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pago</w:t>
      </w:r>
      <w:r>
        <w:rPr>
          <w:rFonts w:ascii="Source Serif Pro" w:hAnsi="Source Serif Pro"/>
          <w:color w:val="1C1C1C"/>
          <w:sz w:val="27"/>
          <w:szCs w:val="27"/>
        </w:rPr>
        <w:t>.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tribunal entendió que era "razonable"</w:t>
      </w:r>
      <w:r>
        <w:rPr>
          <w:rFonts w:ascii="Source Serif Pro" w:hAnsi="Source Serif Pro"/>
          <w:color w:val="1C1C1C"/>
          <w:sz w:val="27"/>
          <w:szCs w:val="27"/>
        </w:rPr>
        <w:t> considerando los antecedentes del ejecutivo y el tamaño e importancia de la empresa.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Otros casos resonantes más recientes son el 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Marissa Mayer en Yahoo</w:t>
      </w:r>
      <w:r>
        <w:rPr>
          <w:rFonts w:ascii="Source Serif Pro" w:hAnsi="Source Serif Pro"/>
          <w:color w:val="1C1C1C"/>
          <w:sz w:val="27"/>
          <w:szCs w:val="27"/>
        </w:rPr>
        <w:t>. Pese a la cada vez más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baja cotización </w:t>
      </w:r>
      <w:r>
        <w:rPr>
          <w:rFonts w:ascii="Source Serif Pro" w:hAnsi="Source Serif Pro"/>
          <w:color w:val="1C1C1C"/>
          <w:sz w:val="27"/>
          <w:szCs w:val="27"/>
        </w:rPr>
        <w:t>de las acciones de la firma tecnológica, tras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cuatro años </w:t>
      </w:r>
      <w:r>
        <w:rPr>
          <w:rFonts w:ascii="Source Serif Pro" w:hAnsi="Source Serif Pro"/>
          <w:color w:val="1C1C1C"/>
          <w:sz w:val="27"/>
          <w:szCs w:val="27"/>
        </w:rPr>
        <w:t>en la compañía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CEO </w:t>
      </w:r>
      <w:r>
        <w:rPr>
          <w:rFonts w:ascii="Source Serif Pro" w:hAnsi="Source Serif Pro"/>
          <w:color w:val="1C1C1C"/>
          <w:sz w:val="27"/>
          <w:szCs w:val="27"/>
        </w:rPr>
        <w:t>recibiría unos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u$s55 millones</w:t>
      </w:r>
      <w:r>
        <w:rPr>
          <w:rFonts w:ascii="Source Serif Pro" w:hAnsi="Source Serif Pro"/>
          <w:color w:val="1C1C1C"/>
          <w:sz w:val="27"/>
          <w:szCs w:val="27"/>
        </w:rPr>
        <w:t> entre salario y acciones.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De acuerdo a la última presentación de la tecnológica ante la SEC norteamericana, Mayer recibiría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u$s3 millones en efectivo y "stock options" </w:t>
      </w:r>
      <w:r>
        <w:rPr>
          <w:rFonts w:ascii="Source Serif Pro" w:hAnsi="Source Serif Pro"/>
          <w:color w:val="1C1C1C"/>
          <w:sz w:val="27"/>
          <w:szCs w:val="27"/>
        </w:rPr>
        <w:t>por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u$s51</w:t>
      </w:r>
      <w:proofErr w:type="gramStart"/>
      <w:r>
        <w:rPr>
          <w:rStyle w:val="Textoennegrita"/>
          <w:rFonts w:ascii="Source Serif Pro" w:hAnsi="Source Serif Pro"/>
          <w:color w:val="1C1C1C"/>
          <w:sz w:val="27"/>
          <w:szCs w:val="27"/>
        </w:rPr>
        <w:t>,8</w:t>
      </w:r>
      <w:proofErr w:type="gramEnd"/>
      <w:r>
        <w:rPr>
          <w:rStyle w:val="Textoennegrita"/>
          <w:rFonts w:ascii="Source Serif Pro" w:hAnsi="Source Serif Pro"/>
          <w:color w:val="1C1C1C"/>
          <w:sz w:val="27"/>
          <w:szCs w:val="27"/>
        </w:rPr>
        <w:t xml:space="preserve"> millones </w:t>
      </w:r>
      <w:r>
        <w:rPr>
          <w:rFonts w:ascii="Source Serif Pro" w:hAnsi="Source Serif Pro"/>
          <w:color w:val="1C1C1C"/>
          <w:sz w:val="27"/>
          <w:szCs w:val="27"/>
        </w:rPr>
        <w:t>si la compañía cambia de manos o es despedida. 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Se trata de casos que trascienden porque, además de ser empresas que cotizan en bolsa y que deben informar el destino de su dinero, son altamente valoradas por el público en general.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Pero no son las cifras las que han puesto en el ojo de la tormenta a los famosos "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paracaídas de oro</w:t>
      </w:r>
      <w:r>
        <w:rPr>
          <w:rFonts w:ascii="Source Serif Pro" w:hAnsi="Source Serif Pro"/>
          <w:color w:val="1C1C1C"/>
          <w:sz w:val="27"/>
          <w:szCs w:val="27"/>
        </w:rPr>
        <w:t>", las cláusulas que garantizan una indemnización a los CEO de grandes compañías en el caso de que se les pida renunciar a su puesto antes de un determinado período.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"Es algo que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en el mundo está siendo muy cuestionado</w:t>
      </w:r>
      <w:r>
        <w:rPr>
          <w:rFonts w:ascii="Source Serif Pro" w:hAnsi="Source Serif Pro"/>
          <w:color w:val="1C1C1C"/>
          <w:sz w:val="27"/>
          <w:szCs w:val="27"/>
        </w:rPr>
        <w:t>. Genera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rispideces</w:t>
      </w:r>
      <w:r>
        <w:rPr>
          <w:rFonts w:ascii="Source Serif Pro" w:hAnsi="Source Serif Pro"/>
          <w:color w:val="1C1C1C"/>
          <w:sz w:val="27"/>
          <w:szCs w:val="27"/>
        </w:rPr>
        <w:t> entre otros grupos de '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stakeholders</w:t>
      </w:r>
      <w:r>
        <w:rPr>
          <w:rFonts w:ascii="Source Serif Pro" w:hAnsi="Source Serif Pro"/>
          <w:color w:val="1C1C1C"/>
          <w:sz w:val="27"/>
          <w:szCs w:val="27"/>
        </w:rPr>
        <w:t>' como otros empleados de la compañía, y entre accionistas -sobre todo los minoritarios- cuando uno ve esos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números </w:t>
      </w:r>
      <w:r>
        <w:rPr>
          <w:rFonts w:ascii="Source Serif Pro" w:hAnsi="Source Serif Pro"/>
          <w:color w:val="1C1C1C"/>
          <w:sz w:val="27"/>
          <w:szCs w:val="27"/>
        </w:rPr>
        <w:t>y parecen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extraordinariamente elevados</w:t>
      </w:r>
      <w:r>
        <w:rPr>
          <w:rFonts w:ascii="Source Serif Pro" w:hAnsi="Source Serif Pro"/>
          <w:color w:val="1C1C1C"/>
          <w:sz w:val="27"/>
          <w:szCs w:val="27"/>
        </w:rPr>
        <w:t>", dijó Medinaceli.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lastRenderedPageBreak/>
        <w:t>El socio de Russell Reynolds indicó que estas cláusulas están "peor vistas que en el pasado" porque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sugieren "poca confianza en el proyecto"</w:t>
      </w:r>
      <w:r>
        <w:rPr>
          <w:rFonts w:ascii="Source Serif Pro" w:hAnsi="Source Serif Pro"/>
          <w:color w:val="1C1C1C"/>
          <w:sz w:val="27"/>
          <w:szCs w:val="27"/>
        </w:rPr>
        <w:t>, aunque aclaró que no es así en el caso de Galuccio.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"Puede pensarse también como un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incentivo perverso</w:t>
      </w:r>
      <w:r>
        <w:rPr>
          <w:rFonts w:ascii="Source Serif Pro" w:hAnsi="Source Serif Pro"/>
          <w:color w:val="1C1C1C"/>
          <w:sz w:val="27"/>
          <w:szCs w:val="27"/>
        </w:rPr>
        <w:t>, porque si a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empresa </w:t>
      </w:r>
      <w:r>
        <w:rPr>
          <w:rFonts w:ascii="Source Serif Pro" w:hAnsi="Source Serif Pro"/>
          <w:color w:val="1C1C1C"/>
          <w:sz w:val="27"/>
          <w:szCs w:val="27"/>
        </w:rPr>
        <w:t>le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va mal </w:t>
      </w:r>
      <w:r>
        <w:rPr>
          <w:rFonts w:ascii="Source Serif Pro" w:hAnsi="Source Serif Pro"/>
          <w:color w:val="1C1C1C"/>
          <w:sz w:val="27"/>
          <w:szCs w:val="27"/>
        </w:rPr>
        <w:t>y el directivo se lleva plata igual, puede estar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tentación </w:t>
      </w:r>
      <w:r>
        <w:rPr>
          <w:rFonts w:ascii="Source Serif Pro" w:hAnsi="Source Serif Pro"/>
          <w:color w:val="1C1C1C"/>
          <w:sz w:val="27"/>
          <w:szCs w:val="27"/>
        </w:rPr>
        <w:t>de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tirar </w:t>
      </w:r>
      <w:r>
        <w:rPr>
          <w:rFonts w:ascii="Source Serif Pro" w:hAnsi="Source Serif Pro"/>
          <w:color w:val="1C1C1C"/>
          <w:sz w:val="27"/>
          <w:szCs w:val="27"/>
        </w:rPr>
        <w:t>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toalla</w:t>
      </w:r>
      <w:r>
        <w:rPr>
          <w:rFonts w:ascii="Source Serif Pro" w:hAnsi="Source Serif Pro"/>
          <w:color w:val="1C1C1C"/>
          <w:sz w:val="27"/>
          <w:szCs w:val="27"/>
        </w:rPr>
        <w:t>", apuntó.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Los "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golden parachute</w:t>
      </w:r>
      <w:r>
        <w:rPr>
          <w:rFonts w:ascii="Source Serif Pro" w:hAnsi="Source Serif Pro"/>
          <w:color w:val="1C1C1C"/>
          <w:sz w:val="27"/>
          <w:szCs w:val="27"/>
        </w:rPr>
        <w:t>" también entran en vigencia si la firma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cambia de dueño </w:t>
      </w:r>
      <w:r>
        <w:rPr>
          <w:rFonts w:ascii="Source Serif Pro" w:hAnsi="Source Serif Pro"/>
          <w:color w:val="1C1C1C"/>
          <w:sz w:val="27"/>
          <w:szCs w:val="27"/>
        </w:rPr>
        <w:t>o si ocurre alguna situación inesperada que altera el objetivo para el cual el ejecutivo fue contratado. "Luego pueden surgir discusiones por su interpretación y empieza una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negociación</w:t>
      </w:r>
      <w:r>
        <w:rPr>
          <w:rFonts w:ascii="Source Serif Pro" w:hAnsi="Source Serif Pro"/>
          <w:color w:val="1C1C1C"/>
          <w:sz w:val="27"/>
          <w:szCs w:val="27"/>
        </w:rPr>
        <w:t>", aclaró Bomchil.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La crisis de este tipo de pagos cobró mayor fuerza en la crisis económica internacional del 2008, por paquetes de compensación que pusieron los incentivos en el lugar equivocado. 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Así que ahora, relató el director académico de CEDEF, en un intento por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poner algún límite "moral" </w:t>
      </w:r>
      <w:r>
        <w:rPr>
          <w:rFonts w:ascii="Source Serif Pro" w:hAnsi="Source Serif Pro"/>
          <w:color w:val="1C1C1C"/>
          <w:sz w:val="27"/>
          <w:szCs w:val="27"/>
        </w:rPr>
        <w:t>al pago de sueldos excesivo, la Securities &amp; Exchange Commission (SEC) de los Estados Unidos acaba de sancionar una norma -que entrará en vigencia el próximo año-, obligando a todas las empresas cotizantes no sólo 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publicar el sueldo y el paquete remuneratorio</w:t>
      </w:r>
      <w:r>
        <w:rPr>
          <w:rFonts w:ascii="Source Serif Pro" w:hAnsi="Source Serif Pro"/>
          <w:color w:val="1C1C1C"/>
          <w:sz w:val="27"/>
          <w:szCs w:val="27"/>
        </w:rPr>
        <w:t> del CEO y los altos ejecutivos, sino también una relación entre ese número y el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salario promedio de los empleados </w:t>
      </w:r>
      <w:r>
        <w:rPr>
          <w:rFonts w:ascii="Source Serif Pro" w:hAnsi="Source Serif Pro"/>
          <w:color w:val="1C1C1C"/>
          <w:sz w:val="27"/>
          <w:szCs w:val="27"/>
        </w:rPr>
        <w:t>de la empresa.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En ese mercado, un CEO gana entre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200 </w:t>
      </w:r>
      <w:r>
        <w:rPr>
          <w:rFonts w:ascii="Source Serif Pro" w:hAnsi="Source Serif Pro"/>
          <w:color w:val="1C1C1C"/>
          <w:sz w:val="27"/>
          <w:szCs w:val="27"/>
        </w:rPr>
        <w:t>y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300 veces </w:t>
      </w:r>
      <w:r>
        <w:rPr>
          <w:rFonts w:ascii="Source Serif Pro" w:hAnsi="Source Serif Pro"/>
          <w:color w:val="1C1C1C"/>
          <w:sz w:val="27"/>
          <w:szCs w:val="27"/>
        </w:rPr>
        <w:t>lo que perciben los trabajadores.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En la Argentina la ley deja a la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deriva </w:t>
      </w:r>
      <w:r>
        <w:rPr>
          <w:rFonts w:ascii="Source Serif Pro" w:hAnsi="Source Serif Pro"/>
          <w:color w:val="1C1C1C"/>
          <w:sz w:val="27"/>
          <w:szCs w:val="27"/>
        </w:rPr>
        <w:t>el criterio de razonabilidad que rige estos casos.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"Nuestro sistema jurídico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impone un límite de honorarios</w:t>
      </w:r>
      <w:r>
        <w:rPr>
          <w:rFonts w:ascii="Source Serif Pro" w:hAnsi="Source Serif Pro"/>
          <w:color w:val="1C1C1C"/>
          <w:sz w:val="27"/>
          <w:szCs w:val="27"/>
        </w:rPr>
        <w:t> para todo el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 directorio</w:t>
      </w:r>
      <w:r>
        <w:rPr>
          <w:rFonts w:ascii="Source Serif Pro" w:hAnsi="Source Serif Pro"/>
          <w:color w:val="1C1C1C"/>
          <w:sz w:val="27"/>
          <w:szCs w:val="27"/>
        </w:rPr>
        <w:t> y por todo concepto -incluido sueldos y otras retribuciones- igual al 25% de las ganancias. O sea, el directorio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no podría llevarse</w:t>
      </w:r>
      <w:r>
        <w:rPr>
          <w:rFonts w:ascii="Source Serif Pro" w:hAnsi="Source Serif Pro"/>
          <w:color w:val="1C1C1C"/>
          <w:sz w:val="27"/>
          <w:szCs w:val="27"/>
        </w:rPr>
        <w:t> como compensación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más que eso"</w:t>
      </w:r>
      <w:r>
        <w:rPr>
          <w:rFonts w:ascii="Source Serif Pro" w:hAnsi="Source Serif Pro"/>
          <w:color w:val="1C1C1C"/>
          <w:sz w:val="27"/>
          <w:szCs w:val="27"/>
        </w:rPr>
        <w:t>, dijo Van Thienen.</w:t>
      </w:r>
    </w:p>
    <w:p w:rsidR="007957DC" w:rsidRDefault="007957DC" w:rsidP="007957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ource Serif Pro" w:hAnsi="Source Serif Pro"/>
          <w:color w:val="1C1C1C"/>
          <w:sz w:val="27"/>
          <w:szCs w:val="27"/>
        </w:rPr>
      </w:pPr>
      <w:r>
        <w:rPr>
          <w:rFonts w:ascii="Source Serif Pro" w:hAnsi="Source Serif Pro"/>
          <w:color w:val="1C1C1C"/>
          <w:sz w:val="27"/>
          <w:szCs w:val="27"/>
        </w:rPr>
        <w:t>"Ahora bien, si la sociedad decide no pagar dividendos aquel límite se reduce al 5 por ciento. </w:t>
      </w:r>
      <w:r>
        <w:rPr>
          <w:rStyle w:val="Textoennegrita"/>
          <w:rFonts w:ascii="Source Serif Pro" w:hAnsi="Source Serif Pro"/>
          <w:color w:val="1C1C1C"/>
          <w:sz w:val="27"/>
          <w:szCs w:val="27"/>
        </w:rPr>
        <w:t>Nuestros directores corren con el riesgo</w:t>
      </w:r>
      <w:r>
        <w:rPr>
          <w:rFonts w:ascii="Source Serif Pro" w:hAnsi="Source Serif Pro"/>
          <w:color w:val="1C1C1C"/>
          <w:sz w:val="27"/>
          <w:szCs w:val="27"/>
        </w:rPr>
        <w:t> del negocio", concluyó.</w:t>
      </w:r>
    </w:p>
    <w:p w:rsidR="00031DA2" w:rsidRDefault="007957DC">
      <w:r w:rsidRPr="007957DC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¿Cuánto es demasiado para un CEO?: con el caso Galuccio se reabre debate de contratos con &amp;quot;paracaí­das dorado&amp;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6B11D" id="Rectángulo 1" o:spid="_x0000_s1026" alt="¿Cuánto es demasiado para un CEO?: con el caso Galuccio se reabre debate de contratos con &amp;quot;paracaí­das dorado&amp;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TAMyBkDAABG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031D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64B7F"/>
    <w:multiLevelType w:val="multilevel"/>
    <w:tmpl w:val="070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4DB"/>
    <w:multiLevelType w:val="multilevel"/>
    <w:tmpl w:val="EE1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700EC"/>
    <w:multiLevelType w:val="multilevel"/>
    <w:tmpl w:val="1E8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DC"/>
    <w:rsid w:val="00031DA2"/>
    <w:rsid w:val="0076167E"/>
    <w:rsid w:val="0079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C259A6-7E85-4B47-99C7-C205D693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957D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5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95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43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60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1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91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23" w:color="D4D6D7"/>
            <w:right w:val="none" w:sz="0" w:space="0" w:color="auto"/>
          </w:divBdr>
          <w:divsChild>
            <w:div w:id="1263150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73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23" w:color="D4D6D7"/>
            <w:right w:val="none" w:sz="0" w:space="0" w:color="auto"/>
          </w:divBdr>
          <w:divsChild>
            <w:div w:id="2001882456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101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18" w:space="0" w:color="20C0AB"/>
                    <w:right w:val="none" w:sz="0" w:space="0" w:color="auto"/>
                  </w:divBdr>
                </w:div>
                <w:div w:id="18951234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6628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968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860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6" w:space="23" w:color="D4D6D7"/>
                <w:right w:val="none" w:sz="0" w:space="0" w:color="auto"/>
              </w:divBdr>
              <w:divsChild>
                <w:div w:id="53296233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18" w:space="0" w:color="20C0AB"/>
                    <w:right w:val="none" w:sz="0" w:space="0" w:color="auto"/>
                  </w:divBdr>
                </w:div>
                <w:div w:id="13032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618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447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45407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347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18" w:space="0" w:color="20C0AB"/>
                    <w:right w:val="none" w:sz="0" w:space="0" w:color="auto"/>
                  </w:divBdr>
                </w:div>
                <w:div w:id="10322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06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6" w:space="23" w:color="D4D6D7"/>
                        <w:right w:val="none" w:sz="0" w:space="0" w:color="auto"/>
                      </w:divBdr>
                      <w:divsChild>
                        <w:div w:id="18405635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89714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36141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6" w:space="23" w:color="D4D6D7"/>
                        <w:right w:val="none" w:sz="0" w:space="0" w:color="auto"/>
                      </w:divBdr>
                      <w:divsChild>
                        <w:div w:id="63964986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772137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92556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6" w:space="23" w:color="D4D6D7"/>
                        <w:right w:val="none" w:sz="0" w:space="0" w:color="auto"/>
                      </w:divBdr>
                      <w:divsChild>
                        <w:div w:id="43201427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932116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6886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single" w:sz="6" w:space="23" w:color="D4D6D7"/>
                        <w:right w:val="none" w:sz="0" w:space="0" w:color="auto"/>
                      </w:divBdr>
                      <w:divsChild>
                        <w:div w:id="156109069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24017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191257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945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18" w:space="0" w:color="20C0AB"/>
                    <w:right w:val="none" w:sz="0" w:space="0" w:color="auto"/>
                  </w:divBdr>
                </w:div>
                <w:div w:id="13688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2627">
                  <w:marLeft w:val="15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18" w:space="0" w:color="20C0AB"/>
                    <w:right w:val="none" w:sz="0" w:space="0" w:color="auto"/>
                  </w:divBdr>
                </w:div>
                <w:div w:id="542058419">
                  <w:marLeft w:val="150"/>
                  <w:marRight w:val="15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6" w:space="23" w:color="D4D6D7"/>
                    <w:right w:val="none" w:sz="0" w:space="0" w:color="auto"/>
                  </w:divBdr>
                  <w:divsChild>
                    <w:div w:id="160707515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7450">
                  <w:marLeft w:val="150"/>
                  <w:marRight w:val="15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6" w:space="23" w:color="D4D6D7"/>
                    <w:right w:val="none" w:sz="0" w:space="0" w:color="auto"/>
                  </w:divBdr>
                  <w:divsChild>
                    <w:div w:id="3798689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6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113">
              <w:marLeft w:val="15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single" w:sz="18" w:space="0" w:color="20C0AB"/>
                <w:right w:val="none" w:sz="0" w:space="0" w:color="auto"/>
              </w:divBdr>
            </w:div>
            <w:div w:id="1697343839">
              <w:marLeft w:val="150"/>
              <w:marRight w:val="15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6" w:space="0" w:color="D4D6D7"/>
                <w:right w:val="none" w:sz="0" w:space="0" w:color="auto"/>
              </w:divBdr>
              <w:divsChild>
                <w:div w:id="21274574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80489">
              <w:marLeft w:val="150"/>
              <w:marRight w:val="15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7671">
                  <w:marLeft w:val="-15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18" w:space="0" w:color="20C0AB"/>
                    <w:right w:val="none" w:sz="0" w:space="0" w:color="auto"/>
                  </w:divBdr>
                </w:div>
                <w:div w:id="160341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6615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153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84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5728659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9927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60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368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046417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1597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69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693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019901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62106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26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7141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901757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335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92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667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763408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5165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290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0643768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7583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9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76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413405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3396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28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2018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746489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568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9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846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221645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37146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32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8191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583999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81988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7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214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448091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49841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6684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206804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87555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85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05471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207775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85804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9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084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735543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92101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67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5911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589547">
                                  <w:marLeft w:val="0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945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2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1410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2574123">
              <w:marLeft w:val="150"/>
              <w:marRight w:val="15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6" w:space="0" w:color="D4D6D7"/>
                <w:right w:val="none" w:sz="0" w:space="0" w:color="auto"/>
              </w:divBdr>
              <w:divsChild>
                <w:div w:id="4672871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9687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83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8" w:space="0" w:color="20C0AB"/>
                <w:right w:val="none" w:sz="0" w:space="0" w:color="auto"/>
              </w:divBdr>
            </w:div>
            <w:div w:id="1671063289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4D6D7"/>
                <w:right w:val="none" w:sz="0" w:space="0" w:color="auto"/>
              </w:divBdr>
            </w:div>
          </w:divsChild>
        </w:div>
      </w:divsChild>
    </w:div>
    <w:div w:id="18531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1488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AySA</Company>
  <LinksUpToDate>false</LinksUpToDate>
  <CharactersWithSpaces>9653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DELLE DONNE</dc:creator>
  <cp:keywords/>
  <dc:description/>
  <cp:lastModifiedBy>Adriana DELLE DONNE</cp:lastModifiedBy>
  <cp:revision>2</cp:revision>
  <dcterms:created xsi:type="dcterms:W3CDTF">2019-11-13T12:30:00Z</dcterms:created>
  <dcterms:modified xsi:type="dcterms:W3CDTF">2019-11-13T17:51:00Z</dcterms:modified>
</cp:coreProperties>
</file>