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64748B"/>
          <w:sz w:val="19"/>
        </w:rPr>
        <w:t>LIFECYCLE INTELLIGENCE ENGINE  |  NOTA TÉCNICA DE MODELAÇÃO</w:t>
      </w:r>
    </w:p>
    <w:p>
      <w:pPr>
        <w:spacing w:before="40" w:after="160"/>
      </w:pPr>
      <w:r>
        <w:rPr>
          <w:rFonts w:ascii="Calibri" w:hAnsi="Calibri"/>
          <w:b/>
          <w:color w:val="0F4C81"/>
          <w:sz w:val="36"/>
        </w:rPr>
        <w:t>Sincronização Matemática da Curva de Qualidade com o Ponto B (Apodrecimento / Fim de Vida)</w:t>
      </w:r>
    </w:p>
    <w:p>
      <w:pPr>
        <w:spacing w:before="0" w:after="320"/>
      </w:pPr>
      <w:r>
        <w:rPr>
          <w:rFonts w:ascii="Calibri" w:hAnsi="Calibri"/>
          <w:i/>
          <w:color w:val="64748B"/>
          <w:sz w:val="20"/>
        </w:rPr>
        <w:t>Data: Outubro 2026   |   Versão do Modelo: LC_model_v0_2_0   |   Módulo: Curva de Degradação &amp; Shelf-Life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F4C81"/>
          <w:sz w:val="28"/>
        </w:rPr>
        <w:t>1. Diagnóstico do Problema Observado</w:t>
      </w:r>
    </w:p>
    <w:p>
      <w:r>
        <w:t>Nas simulações visuais da UI, observou-se uma assincronia entre o marcador visual do Ponto B (Losango Vermelho — Apodrecimento / Incomestibilidade Biológica) e o declínio da linha contínua azul (Índice Global de Qualidade Comercial, em %).</w:t>
      </w:r>
    </w:p>
    <w:p>
      <w:r>
        <w:t>Especificamente, quando o fungo atingia o limiar crítico de condenação biológica (ex.: no Dia 7 com Mold = 50%), o gráfico plotava o marcador de Apodrecimento no Dia 7, mas a curva de qualidade permanecia em cerca de ~34%, descendo gradualmente até aos 0% apenas no Dia 11.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E11D48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4C81"/>
                <w:sz w:val="21"/>
              </w:rPr>
              <w:t>📌 INCONGRUÊNCIA FÍSICO-BIOLÓGICA</w:t>
              <w:br/>
            </w:r>
            <w:r>
              <w:rPr>
                <w:rFonts w:ascii="Calibri" w:hAnsi="Calibri"/>
                <w:color w:val="1E293B"/>
                <w:sz w:val="20"/>
              </w:rPr>
              <w:t>Incongruência Perceptiva: Se o fruto atingiu o Ponto B (está apodrecido e impróprio para consumo), a sua qualidade comercial e organolética remanescente deve ser nula (0.0%). Uma peça com bolor invasivo não possui 34% de qualidade residual aproveitável.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F4C81"/>
          <w:sz w:val="28"/>
        </w:rPr>
        <w:t>2. Formulação Matemática Atual (Antes da Correção)</w:t>
      </w:r>
    </w:p>
    <w:p>
      <w:r>
        <w:t>No ficheiro LC_model_v0_2_0.py, o cálculo da qualidade em cada instante t era definido através da ponderação dos parâmetros físico-químicos e de um fator de penalização de bolor aditivo: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4C8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F4C81"/>
                <w:sz w:val="20"/>
              </w:rPr>
              <w:t>Fórmulas Atuais (Desacopladas)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Qualidade_bruta(t) = w_firmeza * (Firmeza(t)/Firmeza_0) + w_brix * (Brix(t)/Brix_0) + w_acidez * (Acidez(t)/Acidez_0)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Penalização_Bolor(t) = 1.0 - (mold_max_penalty * Mold(t))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onde mold_max_penalty = 0.65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Qualidade_final(t) = Qualidade_bruta(t) * Penalização_Bolor(t) * cap_decay(t)</w:t>
            </w:r>
          </w:p>
        </w:tc>
      </w:tr>
    </w:tbl>
    <w:p/>
    <w:p>
      <w:r>
        <w:t>Causa raiz da discrepância matemática:</w:t>
        <w:br/>
        <w:t>• No momento do Ponto B, Mold(t) = 0.50 (50%).</w:t>
        <w:br/>
        <w:t>• A penalização aplicada era apenas: 1.0 - (0.65 * 0.50) = 1.0 - 0.325 = 0.675 (67.5%).</w:t>
        <w:br/>
        <w:t>• Como a polpa e o açúcar ainda mantinham ~50% de atributos, Qualidade(t) = 50% * 0.675 = 33.7%.</w:t>
        <w:br/>
        <w:t>• O Ponto B era calculado isoladamente pela condição Mold(t) &gt;= 0.50, enquanto a curva continuava viva.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4C81"/>
          <w:sz w:val="28"/>
        </w:rPr>
        <w:t>3. Nova Formulação Matemática Unificada (Proposta)</w:t>
      </w:r>
    </w:p>
    <w:p>
      <w:r>
        <w:t>Para assegurar sincronismo total e rigor fisiológico, a qualidade global passa a ser o produto da qualidade organolética pelo Fator de Sanidade Biológica e pelo Fator de Senescência Fisiológica.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8" w:space="0" w:color="0F4C8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F4C81"/>
                <w:sz w:val="20"/>
              </w:rPr>
              <w:t>Fórmulas Propostas (Sincronização Perfeita)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1. Fator de Sanidade Biológica (Bolor / Apodrecimento):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 xml:space="preserve">   F_sanidade(t) = max(0.0,  1.0 - (Mold(t) / 0.50))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2. Fator de Senescência Fisiológica (Cap de Shelf-Life Física):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 xml:space="preserve">   F_senescencia(t) = clip( remaining_shelf_life_fisica(t) / max(1.0, 0.10 * SL_referencia),  0.0,  1.0 )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3. Índice Global de Qualidade (%):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 xml:space="preserve">   Qualidade(t) = Qualidade_organoletica(t) * F_sanidade(t) * F_senescencia(t) * 100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>4. Definição Unificada do Ponto B (Intercepto Fim de Vida):</w:t>
              <w:br/>
            </w:r>
            <w:r>
              <w:rPr>
                <w:rFonts w:ascii="Consolas" w:hAnsi="Consolas"/>
                <w:b/>
                <w:color w:val="1E293B"/>
                <w:sz w:val="20"/>
              </w:rPr>
              <w:t xml:space="preserve">   Ponto_B = min { t &gt;= 0 : Qualidade(t) &lt;= 0.01% }</w:t>
            </w:r>
          </w:p>
        </w:tc>
      </w:tr>
    </w:tbl>
    <w:p/>
    <w:p>
      <w:r>
        <w:t>Comportamento e Propriedades da Nova Formulação:</w:t>
        <w:br/>
        <w:t>1. Enquanto Mold(t) = 0.0%, F_sanidade = 1.0 (qualidade segue a evolução normal de maturação/açúcares).</w:t>
        <w:br/>
        <w:t>2. Quando Mold(t) progride de 0% a 50%, F_sanidade desce suavemente de 1.0 a 0.0.</w:t>
        <w:br/>
        <w:t>3. No instante exato em que Mold(t) atinge 50%, F_sanidade = 0.0, forçando Qualidade(t) = 0.0%.</w:t>
        <w:br/>
        <w:t>4. O marcador Ponto B passa a ser exatamente o ponto onde a linha azul toca o eixo horizontal (0%).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4C81"/>
          <w:sz w:val="28"/>
        </w:rPr>
        <w:t>4. Quadro Comparativo: Antes vs.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Aspeto / Métrica</w:t>
            </w:r>
          </w:p>
        </w:tc>
        <w:tc>
          <w:tcPr>
            <w:tcW w:type="dxa" w:w="3312"/>
            <w:shd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Modelo Atual (Desacoplado)</w:t>
            </w:r>
          </w:p>
        </w:tc>
        <w:tc>
          <w:tcPr>
            <w:tcW w:type="dxa" w:w="3456"/>
            <w:shd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Modelo Proposto (Sincronizado)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4C81"/>
                <w:sz w:val="19"/>
              </w:rPr>
              <w:t>Penalização de Bolor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64748B"/>
                <w:sz w:val="19"/>
              </w:rPr>
              <w:t>Linear atenuada: 1 - 0.65 * mold</w:t>
              <w:br/>
              <w:t>(nunca anula a qualidade)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Função de extinção: max(0, 1 - mold / 0.50)</w:t>
              <w:br/>
              <w:t>(anula qualidade aos 50% de bolor)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4C81"/>
                <w:sz w:val="19"/>
              </w:rPr>
              <w:t>Valor da Linha Azul no Ponto B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64748B"/>
                <w:sz w:val="19"/>
              </w:rPr>
              <w:t>Permanece entre 30% e 40%</w:t>
              <w:br/>
              <w:t>(cria confusão visual)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Atinge rigorosamente 0.0%</w:t>
              <w:br/>
              <w:t>(convergência total)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4C81"/>
                <w:sz w:val="19"/>
              </w:rPr>
              <w:t>Definição do Ponto 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64748B"/>
                <w:sz w:val="19"/>
              </w:rPr>
              <w:t>Independente da linha de qualidade</w:t>
              <w:br/>
              <w:t>(condição externa mold &gt;= 0.5)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Sincronizada: dia em que Qualidade(t) == 0%</w:t>
              <w:br/>
              <w:t>(integridade matemática)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4C81"/>
                <w:sz w:val="19"/>
              </w:rPr>
              <w:t>Interpretação Comercial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64748B"/>
                <w:sz w:val="19"/>
              </w:rPr>
              <w:t>Fruto com bolor crítico ainda mostra 'qualidade'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Fruto com bolor crítico tem 0% de valor comercial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0F4C81"/>
          <w:sz w:val="28"/>
        </w:rPr>
        <w:t>5. Impacto na Simulação e Próximos Passos</w:t>
      </w:r>
    </w:p>
    <w:p>
      <w:r>
        <w:t>Com esta alteração matemática:</w:t>
        <w:br/>
        <w:t>1. Os dois motores de cálculo (Simulação Luís Paulo e Simulação Sofia Machado) mantêm as suas taxas diferenciais de degradação físico-química, mas respeitam o mesmo princípio biológico de terminação.</w:t>
        <w:br/>
        <w:t>2. A curva na UI Streamlit desce suave e realisticamente até ao ponto exato onde se encontra o marcador vermelho (Ponto B), eliminando caudas residuais irreais.</w:t>
        <w:br/>
        <w:t>3. Os 65 cenários Excel e a UI passam a apresentar consistência a 100%.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F4C81"/>
                <w:sz w:val="21"/>
              </w:rPr>
              <w:t>📌 APLICAÇÃO EM CÓDIGO</w:t>
              <w:br/>
            </w:r>
            <w:r>
              <w:rPr>
                <w:rFonts w:ascii="Calibri" w:hAnsi="Calibri"/>
                <w:color w:val="1E293B"/>
                <w:sz w:val="20"/>
              </w:rPr>
              <w:t>Para aplicar estas fórmulas no motor de cálculo, basta atualizar as linhas de agregação final das funções 'run_simulation_prof_luis_paulo' e 'run_simulation_sofia_machado' no ficheiro LC_model_v0_2_0.py.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