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OTORGAMIENTO DE FACULTADES A TITULARES DE LOS SERVICIOS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ADMINISTRATIVOS DE CADA UNO DE LOS PODERES, JURISDICCIONES Y ENTIDADES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DEL ESTADO PROVINCIAL, A ADECUAR MEDIANTE RESOLUCIÓN FUNDADA, LAS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IMPUTACIONES PRESUPUESTARIAS DE GASTOS.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1"/>
          <w:szCs w:val="21"/>
        </w:rPr>
      </w:pPr>
      <w:r>
        <w:rPr>
          <w:rFonts w:ascii="TimesNewRomanPS-BoldMT" w:hAnsi="TimesNewRomanPS-BoldMT" w:cs="TimesNewRomanPS-BoldMT"/>
          <w:b/>
          <w:bCs/>
          <w:sz w:val="21"/>
          <w:szCs w:val="21"/>
        </w:rPr>
        <w:t>GENERALIDADES: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FECHA DE EMISIÓN: 26.04.11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PUBLICACIÓN: 27.05.11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CANTIDAD DE ARTÍCULOS: 03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CANTIDAD DE ANEXOS: -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Córdoba, 26 de abril de 2011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-BoldMT" w:hAnsi="TimesNewRomanPS-BoldMT" w:cs="TimesNewRomanPS-BoldMT"/>
          <w:b/>
          <w:bCs/>
          <w:sz w:val="21"/>
          <w:szCs w:val="21"/>
        </w:rPr>
        <w:t>VISTO</w:t>
      </w:r>
      <w:r>
        <w:rPr>
          <w:rFonts w:ascii="TimesNewRomanPSMT" w:hAnsi="TimesNewRomanPSMT" w:cs="TimesNewRomanPSMT"/>
          <w:sz w:val="21"/>
          <w:szCs w:val="21"/>
        </w:rPr>
        <w:t>: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El Expediente N° 0424-043711/2011 y las disposiciones contenidas en la Ley N° 9086 y su Decreto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Reglamentario N° 150/04.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1"/>
          <w:szCs w:val="21"/>
        </w:rPr>
      </w:pPr>
      <w:r>
        <w:rPr>
          <w:rFonts w:ascii="TimesNewRomanPS-BoldMT" w:hAnsi="TimesNewRomanPS-BoldMT" w:cs="TimesNewRomanPS-BoldMT"/>
          <w:b/>
          <w:bCs/>
          <w:sz w:val="21"/>
          <w:szCs w:val="21"/>
        </w:rPr>
        <w:t>Y CONSIDERANDO: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Que los objetivos enunciados en el artículo 4° de la Ley N° 9086 imponen una constante revisión de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los procedimientos vigentes, en especial los aspectos vinculados con la economicidad, eficiencia y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eficacia en la obtención y aplicación de los recursos.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proofErr w:type="gramStart"/>
      <w:r>
        <w:rPr>
          <w:rFonts w:ascii="TimesNewRomanPSMT" w:hAnsi="TimesNewRomanPSMT" w:cs="TimesNewRomanPSMT"/>
          <w:sz w:val="21"/>
          <w:szCs w:val="21"/>
        </w:rPr>
        <w:t>Que</w:t>
      </w:r>
      <w:proofErr w:type="gramEnd"/>
      <w:r>
        <w:rPr>
          <w:rFonts w:ascii="TimesNewRomanPSMT" w:hAnsi="TimesNewRomanPSMT" w:cs="TimesNewRomanPSMT"/>
          <w:sz w:val="21"/>
          <w:szCs w:val="21"/>
        </w:rPr>
        <w:t xml:space="preserve"> en este marco, el proceso de aprobación de la ejecución de las erogaciones aprobadas por el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presupuesto anual, requiere el dictado de diversos instrumentos legales —Decretos, Resoluciones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Ministeriales, etc.- por los que se autorizan los gastos y se establece su imputación presupuestaria.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Que, naturalmente, el mencionado proceso no está exento de errores materiales, especialmente</w:t>
      </w:r>
    </w:p>
    <w:p w:rsidR="0077176F" w:rsidRDefault="0077176F" w:rsidP="0077176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referidos a los programas y o partidas presupuestarias en los que se ordena sean contabilizados los</w:t>
      </w:r>
    </w:p>
    <w:p w:rsidR="006F246F" w:rsidRDefault="0077176F" w:rsidP="0077176F">
      <w:r>
        <w:rPr>
          <w:rFonts w:ascii="TimesNewRomanPSMT" w:hAnsi="TimesNewRomanPSMT" w:cs="TimesNewRomanPSMT"/>
          <w:sz w:val="21"/>
          <w:szCs w:val="21"/>
        </w:rPr>
        <w:t>gastos.</w:t>
      </w:r>
      <w:bookmarkStart w:id="0" w:name="_GoBack"/>
      <w:bookmarkEnd w:id="0"/>
    </w:p>
    <w:sectPr w:rsidR="006F24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6F"/>
    <w:rsid w:val="006F246F"/>
    <w:rsid w:val="0077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7B0B3-15F9-4F7D-B77C-8272E42F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Alberto Piazzano</dc:creator>
  <cp:keywords/>
  <dc:description/>
  <cp:lastModifiedBy>Tomas Alberto Piazzano</cp:lastModifiedBy>
  <cp:revision>1</cp:revision>
  <dcterms:created xsi:type="dcterms:W3CDTF">2020-01-31T14:22:00Z</dcterms:created>
  <dcterms:modified xsi:type="dcterms:W3CDTF">2020-01-31T14:22:00Z</dcterms:modified>
</cp:coreProperties>
</file>