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/>
      </w:pPr>
    </w:p>
    <w:p>
      <w:pPr>
        <w:pStyle w:val="Title"/>
        <w:jc w:val="center"/>
      </w:pPr>
      <w:r>
        <w:t xml:space="preserve">SysData</w:t>
      </w:r>
    </w:p>
    <w:p>
      <w:pPr>
        <w:spacing w:before="120"/>
        <w:jc w:val="center"/>
      </w:pPr>
      <w:r>
        <w:rPr>
          <w:b/>
          <w:bCs/>
          <w:color w:val="0E2E52"/>
          <w:sz w:val="30"/>
          <w:szCs w:val="30"/>
        </w:rPr>
        <w:t xml:space="preserve">Motor de mejora continua de growth</w:t>
      </w:r>
    </w:p>
    <w:p>
      <w:pPr>
        <w:spacing w:before="40"/>
        <w:jc w:val="center"/>
      </w:pPr>
      <w:r>
        <w:rPr>
          <w:color w:val="5B6B7F"/>
          <w:sz w:val="26"/>
          <w:szCs w:val="26"/>
        </w:rPr>
        <w:t xml:space="preserve">Documentación de producto y arquitectura</w:t>
      </w:r>
    </w:p>
    <w:p>
      <w:pPr>
        <w:spacing w:before="500"/>
      </w:pPr>
    </w:p>
    <w:p>
      <w:pPr>
        <w:jc w:val="center"/>
      </w:pPr>
      <w:r>
        <w:rPr>
          <w:b/>
          <w:bCs/>
          <w:color w:val="0E2E52"/>
        </w:rPr>
        <w:t xml:space="preserve">armatuplan · Medicus</w:t>
      </w:r>
    </w:p>
    <w:p>
      <w:pPr>
        <w:spacing w:before="40"/>
        <w:jc w:val="center"/>
      </w:pPr>
      <w:r>
        <w:rPr>
          <w:color w:val="5B6B7F"/>
        </w:rPr>
        <w:t xml:space="preserve">Audiencia: Product Owner y Líder Técnica</w:t>
      </w:r>
    </w:p>
    <w:p>
      <w:pPr>
        <w:spacing w:before="40"/>
        <w:jc w:val="center"/>
      </w:pPr>
      <w:r>
        <w:rPr>
          <w:color w:val="5B6B7F"/>
        </w:rPr>
        <w:t xml:space="preserve">Versión 1.2 · 19 de junio de 2026</w:t>
      </w:r>
    </w:p>
    <w:p>
      <w:r>
        <w:br w:type="page"/>
      </w:r>
    </w:p>
    <w:p>
      <w:pPr>
        <w:pStyle w:val="Heading1"/>
        <w:spacing w:after="120" w:before="280"/>
      </w:pPr>
      <w:r>
        <w:t xml:space="preserve">Contenido</w:t>
      </w:r>
    </w:p>
    <w:p>
      <w:pPr>
        <w:spacing w:after="40"/>
      </w:pPr>
      <w:r>
        <w:t xml:space="preserve">1. Resumen ejecutivo</w:t>
      </w:r>
    </w:p>
    <w:p>
      <w:pPr>
        <w:spacing w:after="40"/>
      </w:pPr>
      <w:r>
        <w:t xml:space="preserve">2. El problema: por qué existe SysData</w:t>
      </w:r>
    </w:p>
    <w:p>
      <w:pPr>
        <w:spacing w:after="40"/>
      </w:pPr>
      <w:r>
        <w:t xml:space="preserve">3. Qué es SysData (y qué no es)</w:t>
      </w:r>
    </w:p>
    <w:p>
      <w:pPr>
        <w:spacing w:after="40"/>
      </w:pPr>
      <w:r>
        <w:t xml:space="preserve">4. El objetivo</w:t>
      </w:r>
    </w:p>
    <w:p>
      <w:pPr>
        <w:spacing w:after="40"/>
      </w:pPr>
      <w:r>
        <w:t xml:space="preserve">5. Cómo se usa: el loop</w:t>
      </w:r>
    </w:p>
    <w:p>
      <w:pPr>
        <w:spacing w:after="40"/>
      </w:pPr>
      <w:r>
        <w:t xml:space="preserve">6. Las fuentes de datos (y cómo entra Binary)</w:t>
      </w:r>
    </w:p>
    <w:p>
      <w:pPr>
        <w:spacing w:after="40"/>
      </w:pPr>
      <w:r>
        <w:t xml:space="preserve">7. Cómo decide: la lógica</w:t>
      </w:r>
    </w:p>
    <w:p>
      <w:pPr>
        <w:spacing w:after="40"/>
      </w:pPr>
      <w:r>
        <w:t xml:space="preserve">8. Decisiones de producto y su porqué</w:t>
      </w:r>
    </w:p>
    <w:p>
      <w:pPr>
        <w:spacing w:after="40"/>
      </w:pPr>
      <w:r>
        <w:t xml:space="preserve">9. Arquitectura del motor: las 4 capas</w:t>
      </w:r>
    </w:p>
    <w:p>
      <w:pPr>
        <w:spacing w:after="40"/>
      </w:pPr>
      <w:r>
        <w:t xml:space="preserve">10. Rigor de medición de experimentos</w:t>
      </w:r>
    </w:p>
    <w:p>
      <w:pPr>
        <w:spacing w:after="40"/>
      </w:pPr>
      <w:r>
        <w:t xml:space="preserve">11. Stack técnico</w:t>
      </w:r>
    </w:p>
    <w:p>
      <w:pPr>
        <w:spacing w:after="40"/>
      </w:pPr>
      <w:r>
        <w:t xml:space="preserve">12. La dependencia clave: el cruce visita → cápita</w:t>
      </w:r>
    </w:p>
    <w:p>
      <w:pPr>
        <w:spacing w:after="40"/>
      </w:pPr>
      <w:r>
        <w:t xml:space="preserve">13. Estado actual y roadmap</w:t>
      </w:r>
    </w:p>
    <w:p>
      <w:pPr>
        <w:spacing w:after="40"/>
      </w:pPr>
      <w:r>
        <w:t xml:space="preserve">14. Principios, seguridad y restricciones</w:t>
      </w:r>
    </w:p>
    <w:p>
      <w:pPr>
        <w:spacing w:after="40"/>
      </w:pPr>
      <w:r>
        <w:t xml:space="preserve">15. Glosario</w:t>
      </w:r>
    </w:p>
    <w:p>
      <w:r>
        <w:br w:type="page"/>
      </w:r>
    </w:p>
    <w:p>
      <w:pPr>
        <w:pStyle w:val="Heading1"/>
        <w:spacing w:after="120" w:before="280"/>
      </w:pPr>
      <w:r>
        <w:t xml:space="preserve">1. Resumen ejecutivo</w:t>
      </w:r>
    </w:p>
    <w:p>
      <w:pPr>
        <w:spacing w:after="120"/>
        <w:jc w:val="both"/>
      </w:pPr>
      <w:r>
        <w:t xml:space="preserve">SysData es una herramienta interna de growth: la capa de decisión que se para arriba de los datos que Medicus ya tiene —comportamiento (Mixpanel), comercial (HubSpot), inversión y costos (PELG) y la base de socios (Binary)— y los cruza para responder una sola pregunta: qué conviene mejorar, dónde, cuándo, y cuánta plata hay en juego.</w:t>
      </w:r>
    </w:p>
    <w:p>
      <w:pPr>
        <w:spacing w:after="120"/>
        <w:jc w:val="both"/>
      </w:pPr>
      <w:r>
        <w:t xml:space="preserve">No reemplaza a Mixpanel, HubSpot, Binary ni Metabase. Los une y los traduce en decisiones priorizadas por impacto en el negocio (cápitas y margen), separando siempre lo que es dato medido de lo que es supuesto. Cada experimento que el equipo cierra alimenta al motor y lo vuelve más certero: es un sistema de mejora continua, no un dashboard estático.</w:t>
      </w:r>
    </w:p>
    <w:p>
      <w:pPr>
        <w:pBdr>
          <w:left w:val="single" w:color="1689C4" w:sz="18" w:space="12"/>
        </w:pBdr>
        <w:spacing w:after="160" w:before="80"/>
        <w:ind w:left="360"/>
      </w:pPr>
      <w:r>
        <w:rPr>
          <w:i/>
          <w:iCs/>
          <w:color w:val="0E2E52"/>
        </w:rPr>
        <w:t xml:space="preserve">En una línea: convertir datos dispersos en decisiones de growth priorizadas por plata, con la evidencia y la honestidad a la vista.</w:t>
      </w:r>
    </w:p>
    <w:p>
      <w:pPr>
        <w:pStyle w:val="Heading1"/>
        <w:spacing w:after="120" w:before="280"/>
      </w:pPr>
      <w:r>
        <w:t xml:space="preserve">2. El problema: por qué existe SysData</w:t>
      </w:r>
    </w:p>
    <w:p>
      <w:pPr>
        <w:spacing w:after="120"/>
        <w:jc w:val="both"/>
      </w:pPr>
      <w:r>
        <w:t xml:space="preserve">Hoy los datos que importan para crecer viven en sistemas que no se hablan entre sí: el comportamiento del usuario en Mixpanel, el pipeline comercial en HubSpot, la inversión y los costos por canal en el PELG, y la base de socios —asociados, medicards, planes, vigencias y bajas— en Binary. Cada uno, mirado por separado, cuenta solo una parte de la historia.</w:t>
      </w:r>
    </w:p>
    <w:p>
      <w:pPr>
        <w:spacing w:after="120"/>
        <w:jc w:val="both"/>
      </w:pPr>
      <w:r>
        <w:rPr>
          <w:b/>
          <w:bCs/>
        </w:rPr>
        <w:t xml:space="preserve">La consecuencia: </w:t>
      </w:r>
      <w:r>
        <w:t xml:space="preserve">se prioriza por opinión y por urgencia del momento, no por impacto. Se discute “qué fuga arreglar” mirando porcentajes, sin saber cuál mueve la aguja del negocio. Y cuando algo se prueba, muchas veces no se puede afirmar si funcionó de verdad o fue ruido.</w:t>
      </w:r>
    </w:p>
    <w:p>
      <w:pPr>
        <w:spacing w:after="120"/>
        <w:jc w:val="both"/>
      </w:pPr>
      <w:r>
        <w:rPr>
          <w:b/>
          <w:bCs/>
        </w:rPr>
        <w:t xml:space="preserve">Lo que faltaba: </w:t>
      </w:r>
      <w:r>
        <w:t xml:space="preserve">una capa que junte las fuentes y diga, con un número de plata atrás, qué mover para subir la conversión y las cápitas — y que sea honesta sobre qué tan sólido es ese número.</w:t>
      </w:r>
    </w:p>
    <w:p>
      <w:pPr>
        <w:pStyle w:val="Heading1"/>
        <w:spacing w:after="120" w:before="280"/>
      </w:pPr>
      <w:r>
        <w:t xml:space="preserve">3. Qué es SysData (y qué no es)</w:t>
      </w:r>
    </w:p>
    <w:p>
      <w:pPr>
        <w:pStyle w:val="Heading2"/>
        <w:spacing w:after="80" w:before="180"/>
      </w:pPr>
      <w:r>
        <w:t xml:space="preserve">Qué 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La capa de decisión</w:t>
      </w:r>
      <w:r>
        <w:t xml:space="preserve"> del stack de growth: “¿qué hacemos al respecto?”, arriba de los datos.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Un traductor</w:t>
      </w:r>
      <w:r>
        <w:t xml:space="preserve"> de comportamiento + comercial + economía + base de socios a oportunidades priorizadas por margen.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Un motor que aprende</w:t>
      </w:r>
      <w:r>
        <w:t xml:space="preserve">: cada experimento ajusta sus parámetros y mejora la próxima recomendación.</w:t>
      </w:r>
    </w:p>
    <w:p>
      <w:pPr>
        <w:pStyle w:val="Heading2"/>
        <w:spacing w:after="80" w:before="180"/>
      </w:pPr>
      <w:r>
        <w:t xml:space="preserve">Qué NO 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No es un CRM</w:t>
      </w:r>
      <w:r>
        <w:t xml:space="preserve"> ni reemplaza a HubSpot.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No es la base de datos</w:t>
      </w:r>
      <w:r>
        <w:t xml:space="preserve">: no reemplaza a Binary ni a Metabase; es la capa que los interpreta.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No escribe en los sistemas productivos</w:t>
      </w:r>
      <w:r>
        <w:t xml:space="preserve">: es estrictamente solo lectura sobre Mixpanel, HubSpot y Binary.</w:t>
      </w:r>
    </w:p>
    <w:p>
      <w:pPr>
        <w:pStyle w:val="Heading1"/>
        <w:spacing w:after="120" w:before="280"/>
      </w:pPr>
      <w:r>
        <w:t xml:space="preserve">4. El objetivo</w:t>
      </w:r>
    </w:p>
    <w:p>
      <w:pPr>
        <w:spacing w:after="120"/>
        <w:jc w:val="both"/>
      </w:pPr>
      <w:r>
        <w:t xml:space="preserve">Que el equipo abra SysData y en minutos sepa: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Qué está bien y qué está mal</w:t>
      </w:r>
      <w:r>
        <w:t xml:space="preserve"> — la salud por área del negocio, de un vistazo.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Qué conviene mejorar primero</w:t>
      </w:r>
      <w:r>
        <w:t xml:space="preserve"> — priorizado por plata en juego, no por el % de fuga más grande ni por intuición.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Por qué lo dice</w:t>
      </w:r>
      <w:r>
        <w:t xml:space="preserve"> — la evidencia de cada fuente, y qué parte del número es dato medido vs supuesto.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Qué estamos probando y si funcionó</w:t>
      </w:r>
      <w:r>
        <w:t xml:space="preserve"> — experimentos medidos con rigor estadístico.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Qué aprendimos</w:t>
      </w:r>
      <w:r>
        <w:t xml:space="preserve"> — que queda como memoria del equipo y hace al motor más preciso con el tiempo.</w:t>
      </w:r>
    </w:p>
    <w:p>
      <w:pPr>
        <w:pStyle w:val="Heading1"/>
        <w:spacing w:after="120" w:before="280"/>
      </w:pPr>
      <w:r>
        <w:t xml:space="preserve">5. Cómo se usa: el loop</w:t>
      </w:r>
    </w:p>
    <w:p>
      <w:pPr>
        <w:spacing w:after="120"/>
        <w:jc w:val="both"/>
      </w:pPr>
      <w:r>
        <w:t xml:space="preserve">La navegación de SysData es un ciclo de mejora continua: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Resumen</w:t>
      </w:r>
      <w:r>
        <w:t xml:space="preserve"> — cómo viene Medicus: qué está bien, qué está mal, y las señales que el motor detecta solo.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Oportunidades</w:t>
      </w:r>
      <w:r>
        <w:t xml:space="preserve"> — qué mejorar, priorizado por plata, con la lógica y la evidencia detrás de cada una.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Experimentos</w:t>
      </w:r>
      <w:r>
        <w:t xml:space="preserve"> — qué estamos probando, medido automáticamente (antes vs después) con significancia y guardrails.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Aprendizajes (Playbook)</w:t>
      </w:r>
      <w:r>
        <w:t xml:space="preserve"> — qué validamos o refutamos; la memoria que el motor usa como prior.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Segmentos</w:t>
      </w:r>
      <w:r>
        <w:t xml:space="preserve"> — discovery: entender al usuario cruzando lo cuanti y lo cuali.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Explorador</w:t>
      </w:r>
      <w:r>
        <w:t xml:space="preserve"> — el detalle: funnels, CRM, economía y el estado del cruce de datos.</w:t>
      </w:r>
    </w:p>
    <w:p>
      <w:pPr>
        <w:pStyle w:val="Heading1"/>
        <w:spacing w:after="120" w:before="280"/>
      </w:pPr>
      <w:r>
        <w:t xml:space="preserve">6. Las fuentes de datos (y cómo entra Binary)</w:t>
      </w:r>
    </w:p>
    <w:p>
      <w:pPr>
        <w:spacing w:after="120"/>
        <w:jc w:val="both"/>
      </w:pPr>
      <w:r>
        <w:t xml:space="preserve">SysData no genera datos: orquesta cuatro fuentes que ya existen en Medicus, todas en solo lectura. Binary —nuestra base de socios— es la pieza que vuelve “reales” a los unit economics y la que ayuda a cerrar el cruce de punta a punta.</w:t>
      </w:r>
    </w:p>
    <w:tbl>
      <w:tblPr>
        <w:tblW w:type="dxa" w:w="9300"/>
        <w:tblBorders>
          <w:top w:val="single" w:color="BFC9D4" w:sz="4"/>
          <w:left w:val="single" w:color="BFC9D4" w:sz="4"/>
          <w:bottom w:val="single" w:color="BFC9D4" w:sz="4"/>
          <w:right w:val="single" w:color="BFC9D4" w:sz="4"/>
          <w:insideH w:val="single" w:color="BFC9D4" w:sz="4"/>
          <w:insideV w:val="single" w:color="BFC9D4" w:sz="4"/>
        </w:tblBorders>
        <w:tblLayout w:type="fixed"/>
      </w:tblPr>
      <w:tblGrid>
        <w:gridCol w:w="1488"/>
        <w:gridCol w:w="3906"/>
        <w:gridCol w:w="3906"/>
      </w:tblGrid>
      <w:tr>
        <w:trPr>
          <w:cantSplit/>
          <w:tblHeader/>
        </w:trPr>
        <w:tc>
          <w:tcPr>
            <w:tcW w:type="dxa" w:w="1488"/>
            <w:shd w:fill="0E2E52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Fuente</w:t>
            </w:r>
          </w:p>
        </w:tc>
        <w:tc>
          <w:tcPr>
            <w:tcW w:type="dxa" w:w="3906"/>
            <w:shd w:fill="0E2E52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Qué aporta</w:t>
            </w:r>
          </w:p>
        </w:tc>
        <w:tc>
          <w:tcPr>
            <w:tcW w:type="dxa" w:w="3906"/>
            <w:shd w:fill="0E2E52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Cómo lo usa SysData</w:t>
            </w:r>
          </w:p>
        </w:tc>
      </w:tr>
      <w:tr>
        <w:trPr>
          <w:cantSplit/>
        </w:trPr>
        <w:tc>
          <w:tcPr>
            <w:tcW w:type="dxa" w:w="1488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Mixpanel</w:t>
            </w:r>
          </w:p>
        </w:tc>
        <w:tc>
          <w:tcPr>
            <w:tcW w:type="dxa" w:w="3906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Comportamiento: funnels, eventos, pasos del cotizador y del alta.</w:t>
            </w:r>
          </w:p>
        </w:tc>
        <w:tc>
          <w:tcPr>
            <w:tcW w:type="dxa" w:w="3906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Mide dónde se cae la gente y dimensiona la fuga (volumen recuperable).</w:t>
            </w:r>
          </w:p>
        </w:tc>
      </w:tr>
      <w:tr>
        <w:trPr>
          <w:cantSplit/>
        </w:trPr>
        <w:tc>
          <w:tcPr>
            <w:tcW w:type="dxa" w:w="1488"/>
            <w:shd w:fill="F2F5F8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HubSpot</w:t>
            </w:r>
          </w:p>
        </w:tc>
        <w:tc>
          <w:tcPr>
            <w:tcW w:type="dxa" w:w="3906"/>
            <w:shd w:fill="F2F5F8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Comercial: deals, etapas, win rate, contactos y voz del cliente (NPS).</w:t>
            </w:r>
          </w:p>
        </w:tc>
        <w:tc>
          <w:tcPr>
            <w:tcW w:type="dxa" w:w="3906"/>
            <w:shd w:fill="F2F5F8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Mide el lado comercial (win rate, stock atascado) y la reputación (verbatims).</w:t>
            </w:r>
          </w:p>
        </w:tc>
      </w:tr>
      <w:tr>
        <w:trPr>
          <w:cantSplit/>
        </w:trPr>
        <w:tc>
          <w:tcPr>
            <w:tcW w:type="dxa" w:w="1488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PELG</w:t>
            </w:r>
          </w:p>
        </w:tc>
        <w:tc>
          <w:tcPr>
            <w:tcW w:type="dxa" w:w="3906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Inversión y costos: gasto por canal, CAC, leads.</w:t>
            </w:r>
          </w:p>
        </w:tc>
        <w:tc>
          <w:tcPr>
            <w:tcW w:type="dxa" w:w="3906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Aporta el CAC y la inversión para evaluar la rentabilidad de cada canal.</w:t>
            </w:r>
          </w:p>
        </w:tc>
      </w:tr>
      <w:tr>
        <w:trPr>
          <w:cantSplit/>
        </w:trPr>
        <w:tc>
          <w:tcPr>
            <w:tcW w:type="dxa" w:w="1488"/>
            <w:shd w:fill="F2F5F8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Binary</w:t>
            </w:r>
          </w:p>
        </w:tc>
        <w:tc>
          <w:tcPr>
            <w:tcW w:type="dxa" w:w="3906"/>
            <w:shd w:fill="F2F5F8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La base de socios (fuente de verdad): asociados, medicards, planes, coberturas, vigencias y bajas.</w:t>
            </w:r>
          </w:p>
        </w:tc>
        <w:tc>
          <w:tcPr>
            <w:tcW w:type="dxa" w:w="3906"/>
            <w:shd w:fill="F2F5F8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Aporta los unit economics REALES —LTV, permanencia/churn y ARPU por plan— y la cápita confirmada para cerrar el cruce visita→cápita.</w:t>
            </w:r>
          </w:p>
        </w:tc>
      </w:tr>
    </w:tbl>
    <w:p>
      <w:pPr>
        <w:spacing w:after="80"/>
      </w:pPr>
    </w:p>
    <w:p>
      <w:pPr>
        <w:pStyle w:val="Heading2"/>
        <w:spacing w:after="80" w:before="180"/>
      </w:pPr>
      <w:r>
        <w:t xml:space="preserve">Cómo usaríamos Binary dentro de SysData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Unit economics reales (el cambio más importante)</w:t>
      </w:r>
      <w:r>
        <w:t xml:space="preserve">: hoy el LTV se arma con supuestos (permanencia 24 meses, margen 18%). Con Binary, la permanencia/churn y el ARPU por plan salen de datos reales de socios → el LTV deja de ser supuesto y pasa a medido. Como TODO el ranking de oportunidades se mide en plata (y la plata depende del LTV), esto recalibra el motor entero.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Cerrar el cruce visita → cápita</w:t>
      </w:r>
      <w:r>
        <w:t xml:space="preserve">: Binary tiene el socio real con su identificador de alta. Es el candidato natural para unir, en el data warehouse, el comportamiento (Mixpanel) y el comercial (HubSpot) con la cápita confirmada (Binary) — la “Opción B” del cruce. Cuando esté, la conversión a socio pasa de supuesta a medida.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Segmentación real</w:t>
      </w:r>
      <w:r>
        <w:t xml:space="preserve">: cortar por plan, tipo de medicard, cobertura y antigüedad reales (no solo por los campos de HubSpot), para ver qué segmentos retienen y rinden más.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Retención / churn</w:t>
      </w:r>
      <w:r>
        <w:t xml:space="preserve">: medir bajas reales por cohorte → alimenta el LTV y habilita a futuro un área de retención dentro del loop.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Solo lectura</w:t>
      </w:r>
      <w:r>
        <w:t xml:space="preserve">: igual que el resto de las fuentes, SysData lee de Binary; nunca escribe.</w:t>
      </w:r>
    </w:p>
    <w:p>
      <w:pPr>
        <w:pStyle w:val="Heading1"/>
        <w:spacing w:after="120" w:before="280"/>
      </w:pPr>
      <w:r>
        <w:t xml:space="preserve">7. Cómo decide: la lógica</w:t>
      </w:r>
    </w:p>
    <w:p>
      <w:pPr>
        <w:spacing w:after="120"/>
        <w:jc w:val="both"/>
      </w:pPr>
      <w:r>
        <w:t xml:space="preserve">Toda la priorización se ancla en una cadena simple, “la ecuación de la cápita”:</w:t>
      </w:r>
    </w:p>
    <w:p>
      <w:pPr>
        <w:pBdr>
          <w:left w:val="single" w:color="1689C4" w:sz="18" w:space="12"/>
        </w:pBdr>
        <w:spacing w:after="160" w:before="80"/>
        <w:ind w:left="360"/>
      </w:pPr>
      <w:r>
        <w:rPr>
          <w:i/>
          <w:iCs/>
          <w:color w:val="0E2E52"/>
        </w:rPr>
        <w:t xml:space="preserve">visitas → conversión por paso → datos → (% que se vuelve socio) → cápitas → margen ($)   ·   (y por el lado comercial: deals → win rate → cápitas)</w:t>
      </w:r>
    </w:p>
    <w:p>
      <w:pPr>
        <w:spacing w:after="120"/>
        <w:jc w:val="both"/>
      </w:pPr>
      <w:r>
        <w:t xml:space="preserve">Cada recomendación es, en el fondo, una frase: “acá hay un eslabón de esta cadena dejando plata sobre la mesa, y esto es cuánto”. Esto permite comparar peras con peras: una mejora chica en un paso de mucho volumen puede valer más que una grande en uno de poco.</w:t>
      </w:r>
    </w:p>
    <w:p>
      <w:pPr>
        <w:pStyle w:val="Heading2"/>
        <w:spacing w:after="80" w:before="180"/>
      </w:pPr>
      <w:r>
        <w:t xml:space="preserve">El score (cómo se ordenan las oportunidades)</w:t>
      </w:r>
    </w:p>
    <w:p>
      <w:pPr>
        <w:pBdr>
          <w:left w:val="single" w:color="1689C4" w:sz="18" w:space="12"/>
        </w:pBdr>
        <w:spacing w:after="160" w:before="80"/>
        <w:ind w:left="360"/>
      </w:pPr>
      <w:r>
        <w:rPr>
          <w:i/>
          <w:iCs/>
          <w:color w:val="0E2E52"/>
        </w:rPr>
        <w:t xml:space="preserve">score = margen en juego × confianza × urgencia ÷ esfuerzo   (lo acumulado se prorratea a mensual)</w:t>
      </w:r>
    </w:p>
    <w:p>
      <w:pPr>
        <w:spacing w:after="120"/>
        <w:jc w:val="both"/>
      </w:pPr>
      <w:r>
        <w:t xml:space="preserve">Ejemplo real con los datos del cotizador: de ~41.500 visitas, ~36.300 se caen antes de avanzar. Si una mejora recupera ~25% de esa fuga (supuesto), son ~9.000 datos extra por mes; a una tasa dato→cápita de 6% (supuesto) y un LTV de contribución de ~$388.800, eso son del orden de $200M por mes en juego. Ese número —no el porcentaje de caída— es lo que pone a esa oportunidad arriba del ranking.</w:t>
      </w:r>
    </w:p>
    <w:p>
      <w:pPr>
        <w:spacing w:after="120"/>
        <w:jc w:val="both"/>
      </w:pPr>
      <w:r>
        <w:rPr>
          <w:b/>
          <w:bCs/>
        </w:rPr>
        <w:t xml:space="preserve">De dónde sale el LTV (importante): </w:t>
      </w:r>
      <w:r>
        <w:t xml:space="preserve">hoy el LTV y la permanencia son supuestos. Al integrar Binary pasan a ser datos reales (permanencia/churn y ARPU por plan), y todo el ranking se recalibra solo. Es decir: Binary no es un “nice to have”, es lo que vuelve confiables los números de plata que ya usa el motor.</w:t>
      </w:r>
    </w:p>
    <w:p>
      <w:pPr>
        <w:pStyle w:val="Heading1"/>
        <w:spacing w:after="120" w:before="280"/>
      </w:pPr>
      <w:r>
        <w:t xml:space="preserve">8. Decisiones de producto y su porqué</w:t>
      </w:r>
    </w:p>
    <w:p>
      <w:pPr>
        <w:spacing w:after="120"/>
        <w:jc w:val="both"/>
      </w:pPr>
      <w:r>
        <w:t xml:space="preserve">SysData está lleno de decisiones deliberadas. Las principales, con su fundamento:</w:t>
      </w:r>
    </w:p>
    <w:tbl>
      <w:tblPr>
        <w:tblW w:type="dxa" w:w="9300"/>
        <w:tblBorders>
          <w:top w:val="single" w:color="BFC9D4" w:sz="4"/>
          <w:left w:val="single" w:color="BFC9D4" w:sz="4"/>
          <w:bottom w:val="single" w:color="BFC9D4" w:sz="4"/>
          <w:right w:val="single" w:color="BFC9D4" w:sz="4"/>
          <w:insideH w:val="single" w:color="BFC9D4" w:sz="4"/>
          <w:insideV w:val="single" w:color="BFC9D4" w:sz="4"/>
        </w:tblBorders>
        <w:tblLayout w:type="fixed"/>
      </w:tblPr>
      <w:tblGrid>
        <w:gridCol w:w="3069"/>
        <w:gridCol w:w="6231"/>
      </w:tblGrid>
      <w:tr>
        <w:trPr>
          <w:cantSplit/>
          <w:tblHeader/>
        </w:trPr>
        <w:tc>
          <w:tcPr>
            <w:tcW w:type="dxa" w:w="3069"/>
            <w:shd w:fill="0E2E52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Decisión</w:t>
            </w:r>
          </w:p>
        </w:tc>
        <w:tc>
          <w:tcPr>
            <w:tcW w:type="dxa" w:w="6231"/>
            <w:shd w:fill="0E2E52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Por qué</w:t>
            </w:r>
          </w:p>
        </w:tc>
      </w:tr>
      <w:tr>
        <w:trPr>
          <w:cantSplit/>
        </w:trPr>
        <w:tc>
          <w:tcPr>
            <w:tcW w:type="dxa" w:w="3069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Priorizar por plata, no por % de fuga</w:t>
            </w:r>
          </w:p>
        </w:tc>
        <w:tc>
          <w:tcPr>
            <w:tcW w:type="dxa" w:w="6231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La fuga más grande no siempre es la más valiosa: una caída enorme sobre tráfico que no convierte vale poco. Ordenar por margen evita gastar esfuerzo donde no mueve el negocio.</w:t>
            </w:r>
          </w:p>
        </w:tc>
      </w:tr>
      <w:tr>
        <w:trPr>
          <w:cantSplit/>
        </w:trPr>
        <w:tc>
          <w:tcPr>
            <w:tcW w:type="dxa" w:w="3069"/>
            <w:shd w:fill="F2F5F8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Honestidad: medido vs supuesto</w:t>
            </w:r>
          </w:p>
        </w:tc>
        <w:tc>
          <w:tcPr>
            <w:tcW w:type="dxa" w:w="6231"/>
            <w:shd w:fill="F2F5F8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Si el motor disfraza supuestos de datos, el equipo deja de confiar la primera vez que falla. Cada número muestra su origen y marca explícitamente lo que es estimación.</w:t>
            </w:r>
          </w:p>
        </w:tc>
      </w:tr>
      <w:tr>
        <w:trPr>
          <w:cantSplit/>
        </w:trPr>
        <w:tc>
          <w:tcPr>
            <w:tcW w:type="dxa" w:w="3069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Ser la capa de decisión, no otro dashboard</w:t>
            </w:r>
          </w:p>
        </w:tc>
        <w:tc>
          <w:tcPr>
            <w:tcW w:type="dxa" w:w="6231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Ya hay dashboards (Mixpanel, Metabase). Lo que faltaba no era “ver datos”, sino “decidir qué hacer con ellos”, cruzando las fuentes.</w:t>
            </w:r>
          </w:p>
        </w:tc>
      </w:tr>
      <w:tr>
        <w:trPr>
          <w:cantSplit/>
        </w:trPr>
        <w:tc>
          <w:tcPr>
            <w:tcW w:type="dxa" w:w="3069"/>
            <w:shd w:fill="F2F5F8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Solo lectura sobre los sistemas productivos</w:t>
            </w:r>
          </w:p>
        </w:tc>
        <w:tc>
          <w:tcPr>
            <w:tcW w:type="dxa" w:w="6231"/>
            <w:shd w:fill="F2F5F8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Mixpanel, HubSpot y Binary son productivos. El riesgo de escribir (romper eventos, deals, registros de socios) es inaceptable. SysData nunca escribe ahí.</w:t>
            </w:r>
          </w:p>
        </w:tc>
      </w:tr>
      <w:tr>
        <w:trPr>
          <w:cantSplit/>
        </w:trPr>
        <w:tc>
          <w:tcPr>
            <w:tcW w:type="dxa" w:w="3069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Motor determinista + aprendizaje, no IA caja negra</w:t>
            </w:r>
          </w:p>
        </w:tc>
        <w:tc>
          <w:tcPr>
            <w:tcW w:type="dxa" w:w="6231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 nuestra escala, el rigor estadístico y las reglas transparentes le ganan a un modelo opaco. La IA se reserva para redactar y agrupar, nunca para inventar números.</w:t>
            </w:r>
          </w:p>
        </w:tc>
      </w:tr>
      <w:tr>
        <w:trPr>
          <w:cantSplit/>
        </w:trPr>
        <w:tc>
          <w:tcPr>
            <w:tcW w:type="dxa" w:w="3069"/>
            <w:shd w:fill="F2F5F8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Estado compartido (Supabase), no Excel personal</w:t>
            </w:r>
          </w:p>
        </w:tc>
        <w:tc>
          <w:tcPr>
            <w:tcW w:type="dxa" w:w="6231"/>
            <w:shd w:fill="F2F5F8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Para que sea una herramienta de equipo, los experimentos, estados y aprendizajes tienen que ser de todos y persistentes, no de un navegador.</w:t>
            </w:r>
          </w:p>
        </w:tc>
      </w:tr>
      <w:tr>
        <w:trPr>
          <w:cantSplit/>
        </w:trPr>
        <w:tc>
          <w:tcPr>
            <w:tcW w:type="dxa" w:w="3069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Experimentos con significancia + guardrails</w:t>
            </w:r>
          </w:p>
        </w:tc>
        <w:tc>
          <w:tcPr>
            <w:tcW w:type="dxa" w:w="6231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Un “subió 5%” sin significancia es ruido. Y una mejora que rompe un paso de más abajo no es victoria. El motor exige las dos cosas antes de cantar un resultado.</w:t>
            </w:r>
          </w:p>
        </w:tc>
      </w:tr>
      <w:tr>
        <w:trPr>
          <w:cantSplit/>
        </w:trPr>
        <w:tc>
          <w:tcPr>
            <w:tcW w:type="dxa" w:w="3069"/>
            <w:shd w:fill="F2F5F8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Score como rango (P10–P90), no número puntual</w:t>
            </w:r>
          </w:p>
        </w:tc>
        <w:tc>
          <w:tcPr>
            <w:tcW w:type="dxa" w:w="6231"/>
            <w:shd w:fill="F2F5F8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Como varios inputs son supuestos, mostrar una cifra exacta es falsa precisión. El rango comunica la incertidumbre y de qué supuesto depende.</w:t>
            </w:r>
          </w:p>
        </w:tc>
      </w:tr>
    </w:tbl>
    <w:p>
      <w:pPr>
        <w:spacing w:after="80"/>
      </w:pPr>
    </w:p>
    <w:p>
      <w:pPr>
        <w:pStyle w:val="Heading1"/>
        <w:spacing w:after="120" w:before="280"/>
      </w:pPr>
      <w:r>
        <w:t xml:space="preserve">9. Arquitectura del motor: las 4 capas</w:t>
      </w:r>
    </w:p>
    <w:p>
      <w:pPr>
        <w:spacing w:after="120"/>
        <w:jc w:val="both"/>
      </w:pPr>
      <w:r>
        <w:t xml:space="preserve">El “cerebro” de SysData está organizado en cuatro capas encadenadas: la memoria habilita la detección; la detección y la economía alimentan la decisión; y los resultados de los experimentos vuelven como aprendizaje que afina todo.</w:t>
      </w:r>
    </w:p>
    <w:tbl>
      <w:tblPr>
        <w:tblW w:type="dxa" w:w="9300"/>
        <w:tblBorders>
          <w:top w:val="single" w:color="BFC9D4" w:sz="4"/>
          <w:left w:val="single" w:color="BFC9D4" w:sz="4"/>
          <w:bottom w:val="single" w:color="BFC9D4" w:sz="4"/>
          <w:right w:val="single" w:color="BFC9D4" w:sz="4"/>
          <w:insideH w:val="single" w:color="BFC9D4" w:sz="4"/>
          <w:insideV w:val="single" w:color="BFC9D4" w:sz="4"/>
        </w:tblBorders>
        <w:tblLayout w:type="fixed"/>
      </w:tblPr>
      <w:tblGrid>
        <w:gridCol w:w="1674"/>
        <w:gridCol w:w="3813"/>
        <w:gridCol w:w="3813"/>
      </w:tblGrid>
      <w:tr>
        <w:trPr>
          <w:cantSplit/>
          <w:tblHeader/>
        </w:trPr>
        <w:tc>
          <w:tcPr>
            <w:tcW w:type="dxa" w:w="1674"/>
            <w:shd w:fill="0E2E52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Capa</w:t>
            </w:r>
          </w:p>
        </w:tc>
        <w:tc>
          <w:tcPr>
            <w:tcW w:type="dxa" w:w="3813"/>
            <w:shd w:fill="0E2E52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Qué hace</w:t>
            </w:r>
          </w:p>
        </w:tc>
        <w:tc>
          <w:tcPr>
            <w:tcW w:type="dxa" w:w="3813"/>
            <w:shd w:fill="0E2E52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Por qué importa</w:t>
            </w:r>
          </w:p>
        </w:tc>
      </w:tr>
      <w:tr>
        <w:trPr>
          <w:cantSplit/>
        </w:trPr>
        <w:tc>
          <w:tcPr>
            <w:tcW w:type="dxa" w:w="1674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1 · Memoria</w:t>
            </w:r>
          </w:p>
        </w:tc>
        <w:tc>
          <w:tcPr>
            <w:tcW w:type="dxa" w:w="3813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Un proceso diario (cron) barre los datos y guarda la foto del día.</w:t>
            </w:r>
          </w:p>
        </w:tc>
        <w:tc>
          <w:tcPr>
            <w:tcW w:type="dxa" w:w="3813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Sin serie histórica propia no hay detección, ni forecast, ni aprendizaje. La historia consultable es nuestra o no existe.</w:t>
            </w:r>
          </w:p>
        </w:tc>
      </w:tr>
      <w:tr>
        <w:trPr>
          <w:cantSplit/>
        </w:trPr>
        <w:tc>
          <w:tcPr>
            <w:tcW w:type="dxa" w:w="1674"/>
            <w:shd w:fill="F2F5F8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2 · Detección</w:t>
            </w:r>
          </w:p>
        </w:tc>
        <w:tc>
          <w:tcPr>
            <w:tcW w:type="dxa" w:w="3813"/>
            <w:shd w:fill="F2F5F8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Distingue un quiebre real del ruido y proyecta si llegamos a la meta.</w:t>
            </w:r>
          </w:p>
        </w:tc>
        <w:tc>
          <w:tcPr>
            <w:tcW w:type="dxa" w:w="3813"/>
            <w:shd w:fill="F2F5F8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Responde el “dónde y cuándo” solo: avisa cuando algo se rompió, antes de notarlo a mano.</w:t>
            </w:r>
          </w:p>
        </w:tc>
      </w:tr>
      <w:tr>
        <w:trPr>
          <w:cantSplit/>
        </w:trPr>
        <w:tc>
          <w:tcPr>
            <w:tcW w:type="dxa" w:w="1674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3 · Decisión</w:t>
            </w:r>
          </w:p>
        </w:tc>
        <w:tc>
          <w:tcPr>
            <w:tcW w:type="dxa" w:w="3813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Puntúa cada oportunidad por plata y la muestra como un rango (conservador → optimista).</w:t>
            </w:r>
          </w:p>
        </w:tc>
        <w:tc>
          <w:tcPr>
            <w:tcW w:type="dxa" w:w="3813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Convierte la incertidumbre en una apuesta cuantificada, en vez de un número falso-exacto.</w:t>
            </w:r>
          </w:p>
        </w:tc>
      </w:tr>
      <w:tr>
        <w:trPr>
          <w:cantSplit/>
        </w:trPr>
        <w:tc>
          <w:tcPr>
            <w:tcW w:type="dxa" w:w="1674"/>
            <w:shd w:fill="F2F5F8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4 · Aprendizaje</w:t>
            </w:r>
          </w:p>
        </w:tc>
        <w:tc>
          <w:tcPr>
            <w:tcW w:type="dxa" w:w="3813"/>
            <w:shd w:fill="F2F5F8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Los resultados de los experimentos se vuelven parámetros que afinan el motor.</w:t>
            </w:r>
          </w:p>
        </w:tc>
        <w:tc>
          <w:tcPr>
            <w:tcW w:type="dxa" w:w="3813"/>
            <w:shd w:fill="F2F5F8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Es lo que lo hace “cada vez más inteligente”: aprende la realidad de nuestro producto, no supuestos genéricos.</w:t>
            </w:r>
          </w:p>
        </w:tc>
      </w:tr>
    </w:tbl>
    <w:p>
      <w:pPr>
        <w:spacing w:after="80"/>
      </w:pPr>
    </w:p>
    <w:p>
      <w:pPr>
        <w:pStyle w:val="Heading1"/>
        <w:spacing w:after="120" w:before="280"/>
      </w:pPr>
      <w:r>
        <w:t xml:space="preserve">10. Rigor de medición de experimentos</w:t>
      </w:r>
    </w:p>
    <w:p>
      <w:pPr>
        <w:spacing w:after="120"/>
        <w:jc w:val="both"/>
      </w:pPr>
      <w:r>
        <w:t xml:space="preserve">Cuando se cierra un experimento, el motor lo mide de forma triangulada y honesta: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Significancia estadística</w:t>
      </w:r>
      <w:r>
        <w:t xml:space="preserve"> — test de dos proporciones (antes vs después). Si el movimiento no supera el ruido (p &lt; 0,05), no se declara resultado: es “inconcluso”.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Guardrails</w:t>
      </w:r>
      <w:r>
        <w:t xml:space="preserve"> — chequea que la mejora no haya roto un paso de más abajo (comportamiento), ni el win rate (comercial), ni el margen (económico).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Ripple</w:t>
      </w:r>
      <w:r>
        <w:t xml:space="preserve"> — verifica si el efecto se propagó aguas abajo o se quedó en un paso intermedio (un lift que no llega a socio cerrado es hueco).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Confounds declarados</w:t>
      </w:r>
      <w:r>
        <w:t xml:space="preserve"> — el motor dice qué no controla (es antes/después, no A/B; campañas, estacionalidad), para leer el resultado con la cautela justa.</w:t>
      </w:r>
    </w:p>
    <w:p>
      <w:pPr>
        <w:pStyle w:val="Heading1"/>
        <w:spacing w:after="120" w:before="280"/>
      </w:pPr>
      <w:r>
        <w:t xml:space="preserve">11. Stack técnico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Frontend / app</w:t>
      </w:r>
      <w:r>
        <w:t xml:space="preserve">: Next.js 16 (App Router) + React 19 + TypeScript + CSS Modules.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Datos del equipo</w:t>
      </w:r>
      <w:r>
        <w:t xml:space="preserve">: Supabase (login + estado compartido: experimentos, estados, aprendizajes, snapshots, priors), con Row Level Security.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Hosting</w:t>
      </w:r>
      <w:r>
        <w:t xml:space="preserve">: Vercel. El barrido diario corre como Vercel Cron.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Fuentes (solo lectura)</w:t>
      </w:r>
      <w:r>
        <w:t xml:space="preserve">: Mixpanel (Query/Engage API) para comportamiento; HubSpot (CRM v3) para comercial y NPS; PELG para inversión/CAC; y Binary (base de socios) para unit economics reales —LTV, churn, ARPU por plan— y la cápita confirmada.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IA (acotada)</w:t>
      </w:r>
      <w:r>
        <w:t xml:space="preserve">: Gemini, reservada para tareas de lenguaje (redactar, agrupar), nunca para producir números.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Seguridad</w:t>
      </w:r>
      <w:r>
        <w:t xml:space="preserve">: los tokens van server-side (nunca expuestos al cliente); las rutas /api están detrás de login (dominio @medicus.com.ar).</w:t>
      </w:r>
    </w:p>
    <w:p>
      <w:pPr>
        <w:pStyle w:val="Heading1"/>
        <w:spacing w:after="120" w:before="280"/>
      </w:pPr>
      <w:r>
        <w:t xml:space="preserve">12. La dependencia clave: el cruce visita → cápita</w:t>
      </w:r>
    </w:p>
    <w:p>
      <w:pPr>
        <w:spacing w:after="120"/>
        <w:jc w:val="both"/>
      </w:pPr>
      <w:r>
        <w:t xml:space="preserve">Para medir de punta a punta “qué visita termina siendo socio” falta un dato de plomería: estampar el mismo identificador (prospecto_id) en el momento del alta de socio.</w:t>
      </w:r>
    </w:p>
    <w:p>
      <w:pPr>
        <w:spacing w:after="120"/>
        <w:jc w:val="both"/>
      </w:pPr>
      <w:r>
        <w:rPr>
          <w:b/>
          <w:bCs/>
        </w:rPr>
        <w:t xml:space="preserve">La evidencia (medida en solo lectura): </w:t>
      </w:r>
      <w:r>
        <w:t xml:space="preserve">en Mixpanel, los perfiles de lead (que traen hubspot_id, edad, etc.) y los de socio (que traen la vigencia) son hoy conjuntos disjuntos — no comparten ningún id en común. Las llaves para unirlos existen, pero no quedan estampadas en el registro del resultado.</w:t>
      </w:r>
    </w:p>
    <w:p>
      <w:pPr>
        <w:spacing w:after="120"/>
        <w:jc w:val="both"/>
      </w:pPr>
      <w:r>
        <w:rPr>
          <w:b/>
          <w:bCs/>
        </w:rPr>
        <w:t xml:space="preserve">Qué significa para el negocio: </w:t>
      </w:r>
      <w:r>
        <w:t xml:space="preserve">mientras esto no se cierre, la conversión visita→cápita es modelada (supuesta, hoy 6%), no medida. Por eso el motor lo declara como supuesto y no publica una tasa que sería engañosa.</w:t>
      </w:r>
    </w:p>
    <w:p>
      <w:pPr>
        <w:spacing w:after="120"/>
        <w:jc w:val="both"/>
      </w:pPr>
      <w:r>
        <w:rPr>
          <w:b/>
          <w:bCs/>
        </w:rPr>
        <w:t xml:space="preserve">De quién depende: </w:t>
      </w:r>
      <w:r>
        <w:t xml:space="preserve">NO es trabajo de SysData. Es instrumentación upstream (Data / Dev). Hay tres caminos complementarios: (A) estampar el prospecto_id en el alta de socio; (B) cruzar en el data warehouse, uniendo el comportamiento con la base de socios de Binary (que tiene la cápita confirmada); (C) en HubSpot, asociar el deal ganado al contacto de origen.</w:t>
      </w:r>
    </w:p>
    <w:p>
      <w:pPr>
        <w:spacing w:after="120"/>
        <w:jc w:val="both"/>
      </w:pPr>
      <w:r>
        <w:rPr>
          <w:b/>
          <w:bCs/>
        </w:rPr>
        <w:t xml:space="preserve">El payoff de cerrarlo: </w:t>
      </w:r>
      <w:r>
        <w:t xml:space="preserve">tasa lead→cápita real por canal y segmento, ripple a cápita medido en cada experimento, y priorización por margen real en vez de estimado. SysData ya detecta solo cuándo queda resuelto.</w:t>
      </w:r>
    </w:p>
    <w:p>
      <w:pPr>
        <w:pStyle w:val="Heading1"/>
        <w:spacing w:after="120" w:before="280"/>
      </w:pPr>
      <w:r>
        <w:t xml:space="preserve">13. Estado actual y roadmap</w:t>
      </w:r>
    </w:p>
    <w:p>
      <w:pPr>
        <w:pStyle w:val="Heading2"/>
        <w:spacing w:after="80" w:before="180"/>
      </w:pPr>
      <w:r>
        <w:t xml:space="preserve">Funcionando hoy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El loop completo (Resumen, Oportunidades priorizadas, Experimentos medidos, Aprendizajes) con datos en vivo de Mixpanel + HubSpot.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Las 4 capas del motor: memoria diaria, detección de quiebres + pace vs meta, score con rango (Monte Carlo) y priors que se afinan con cada experimento.</w:t>
      </w:r>
    </w:p>
    <w:p>
      <w:pPr>
        <w:pStyle w:val="Heading2"/>
        <w:spacing w:after="80" w:before="180"/>
      </w:pPr>
      <w:r>
        <w:t xml:space="preserve">Pendiente de activación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Integrar Binary (base de socios) para unit economics reales —LTV, churn, ARPU por plan— y como fuente de la cápita confirmada para cerrar el cruce.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Encender el proceso diario en producción (variables de entorno en Vercel + correr la migración en Supabase).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Cerrar el cruce prospecto_id (trabajo upstream de Data / Dev).</w:t>
      </w:r>
    </w:p>
    <w:p>
      <w:pPr>
        <w:pStyle w:val="Heading2"/>
        <w:spacing w:after="80" w:before="180"/>
      </w:pPr>
      <w:r>
        <w:t xml:space="preserve">Próximos incrementos (ideas)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Brief automático del “Lunes de growth” (resumen redactado y enviado solo).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“Value of Information”: ponerle precio en pesos a cerrar cada supuesto (ej. cuánto vale cerrar el cruce).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Tarjeta de impacto multi-moneda (plata, tiempo, confianza, reputación) y optimizador de sprint.</w:t>
      </w:r>
    </w:p>
    <w:p>
      <w:pPr>
        <w:pStyle w:val="Heading1"/>
        <w:spacing w:after="120" w:before="280"/>
      </w:pPr>
      <w:r>
        <w:t xml:space="preserve">14. Principios, seguridad y restricciones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Solo lectura</w:t>
      </w:r>
      <w:r>
        <w:t xml:space="preserve"> sobre sistemas productivos (Mixpanel, HubSpot, Binary). Nunca crear, editar ni borrar nada.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Honestidad</w:t>
      </w:r>
      <w:r>
        <w:t xml:space="preserve">: medido vs supuesto siempre explícito; cada número muestra su fuente.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Herramienta de equipo</w:t>
      </w:r>
      <w:r>
        <w:t xml:space="preserve">: estado compartido y persistente, no un archivo personal.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Seguridad</w:t>
      </w:r>
      <w:r>
        <w:t xml:space="preserve">: tokens server-side, acceso por login de dominio Medicus, secretos fuera del repositorio.</w:t>
      </w:r>
    </w:p>
    <w:p>
      <w:pPr>
        <w:pStyle w:val="Heading1"/>
        <w:spacing w:after="120" w:before="280"/>
      </w:pPr>
      <w:r>
        <w:t xml:space="preserve">15. Glosario</w:t>
      </w:r>
    </w:p>
    <w:tbl>
      <w:tblPr>
        <w:tblW w:type="dxa" w:w="9300"/>
        <w:tblBorders>
          <w:top w:val="single" w:color="BFC9D4" w:sz="4"/>
          <w:left w:val="single" w:color="BFC9D4" w:sz="4"/>
          <w:bottom w:val="single" w:color="BFC9D4" w:sz="4"/>
          <w:right w:val="single" w:color="BFC9D4" w:sz="4"/>
          <w:insideH w:val="single" w:color="BFC9D4" w:sz="4"/>
          <w:insideV w:val="single" w:color="BFC9D4" w:sz="4"/>
        </w:tblBorders>
        <w:tblLayout w:type="fixed"/>
      </w:tblPr>
      <w:tblGrid>
        <w:gridCol w:w="2046"/>
        <w:gridCol w:w="7254"/>
      </w:tblGrid>
      <w:tr>
        <w:trPr>
          <w:cantSplit/>
          <w:tblHeader/>
        </w:trPr>
        <w:tc>
          <w:tcPr>
            <w:tcW w:type="dxa" w:w="2046"/>
            <w:shd w:fill="0E2E52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Término</w:t>
            </w:r>
          </w:p>
        </w:tc>
        <w:tc>
          <w:tcPr>
            <w:tcW w:type="dxa" w:w="7254"/>
            <w:shd w:fill="0E2E52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Qué significa</w:t>
            </w:r>
          </w:p>
        </w:tc>
      </w:tr>
      <w:tr>
        <w:trPr>
          <w:cantSplit/>
        </w:trPr>
        <w:tc>
          <w:tcPr>
            <w:tcW w:type="dxa" w:w="2046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Binary</w:t>
            </w:r>
          </w:p>
        </w:tc>
        <w:tc>
          <w:tcPr>
            <w:tcW w:type="dxa" w:w="7254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La base de datos de socios de Medicus (asociados, medicards, planes, coberturas, vigencias y bajas). Fuente de verdad de los unit economics reales y de la cápita confirmada.</w:t>
            </w:r>
          </w:p>
        </w:tc>
      </w:tr>
      <w:tr>
        <w:trPr>
          <w:cantSplit/>
        </w:trPr>
        <w:tc>
          <w:tcPr>
            <w:tcW w:type="dxa" w:w="2046"/>
            <w:shd w:fill="F2F5F8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Cápita</w:t>
            </w:r>
          </w:p>
        </w:tc>
        <w:tc>
          <w:tcPr>
            <w:tcW w:type="dxa" w:w="7254"/>
            <w:shd w:fill="F2F5F8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Un socio activo. Es el resultado final del negocio que SysData busca aumentar.</w:t>
            </w:r>
          </w:p>
        </w:tc>
      </w:tr>
      <w:tr>
        <w:trPr>
          <w:cantSplit/>
        </w:trPr>
        <w:tc>
          <w:tcPr>
            <w:tcW w:type="dxa" w:w="2046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Dato</w:t>
            </w:r>
          </w:p>
        </w:tc>
        <w:tc>
          <w:tcPr>
            <w:tcW w:type="dxa" w:w="7254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Un lead que dejó sus datos en el cotizador (paso clave del funnel de adquisición).</w:t>
            </w:r>
          </w:p>
        </w:tc>
      </w:tr>
      <w:tr>
        <w:trPr>
          <w:cantSplit/>
        </w:trPr>
        <w:tc>
          <w:tcPr>
            <w:tcW w:type="dxa" w:w="2046"/>
            <w:shd w:fill="F2F5F8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Funnel / embudo</w:t>
            </w:r>
          </w:p>
        </w:tc>
        <w:tc>
          <w:tcPr>
            <w:tcW w:type="dxa" w:w="7254"/>
            <w:shd w:fill="F2F5F8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La secuencia de pasos que recorre un usuario (visita → datos → cotización → alta).</w:t>
            </w:r>
          </w:p>
        </w:tc>
      </w:tr>
      <w:tr>
        <w:trPr>
          <w:cantSplit/>
        </w:trPr>
        <w:tc>
          <w:tcPr>
            <w:tcW w:type="dxa" w:w="2046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Fuga (leak)</w:t>
            </w:r>
          </w:p>
        </w:tc>
        <w:tc>
          <w:tcPr>
            <w:tcW w:type="dxa" w:w="7254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El paso donde más gente se cae. SysData la mide en personas y en plata.</w:t>
            </w:r>
          </w:p>
        </w:tc>
      </w:tr>
      <w:tr>
        <w:trPr>
          <w:cantSplit/>
        </w:trPr>
        <w:tc>
          <w:tcPr>
            <w:tcW w:type="dxa" w:w="2046"/>
            <w:shd w:fill="F2F5F8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Win rate</w:t>
            </w:r>
          </w:p>
        </w:tc>
        <w:tc>
          <w:tcPr>
            <w:tcW w:type="dxa" w:w="7254"/>
            <w:shd w:fill="F2F5F8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Porcentaje de deals comerciales que se cierran (ganados / decididos), en HubSpot.</w:t>
            </w:r>
          </w:p>
        </w:tc>
      </w:tr>
      <w:tr>
        <w:trPr>
          <w:cantSplit/>
        </w:trPr>
        <w:tc>
          <w:tcPr>
            <w:tcW w:type="dxa" w:w="2046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LTV</w:t>
            </w:r>
          </w:p>
        </w:tc>
        <w:tc>
          <w:tcPr>
            <w:tcW w:type="dxa" w:w="7254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Valor de contribución de una cápita a lo largo de su permanencia (ARPU × meses × margen). Hoy estimado con supuestos; con Binary, medido con permanencia y ARPU reales.</w:t>
            </w:r>
          </w:p>
        </w:tc>
      </w:tr>
      <w:tr>
        <w:trPr>
          <w:cantSplit/>
        </w:trPr>
        <w:tc>
          <w:tcPr>
            <w:tcW w:type="dxa" w:w="2046"/>
            <w:shd w:fill="F2F5F8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CAC</w:t>
            </w:r>
          </w:p>
        </w:tc>
        <w:tc>
          <w:tcPr>
            <w:tcW w:type="dxa" w:w="7254"/>
            <w:shd w:fill="F2F5F8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Costo de adquirir una cápita (del PELG).</w:t>
            </w:r>
          </w:p>
        </w:tc>
      </w:tr>
      <w:tr>
        <w:trPr>
          <w:cantSplit/>
        </w:trPr>
        <w:tc>
          <w:tcPr>
            <w:tcW w:type="dxa" w:w="2046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ARPU</w:t>
            </w:r>
          </w:p>
        </w:tc>
        <w:tc>
          <w:tcPr>
            <w:tcW w:type="dxa" w:w="7254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Ingreso promedio mensual por socio (real, por plan, desde Binary).</w:t>
            </w:r>
          </w:p>
        </w:tc>
      </w:tr>
      <w:tr>
        <w:trPr>
          <w:cantSplit/>
        </w:trPr>
        <w:tc>
          <w:tcPr>
            <w:tcW w:type="dxa" w:w="2046"/>
            <w:shd w:fill="F2F5F8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prospecto_id</w:t>
            </w:r>
          </w:p>
        </w:tc>
        <w:tc>
          <w:tcPr>
            <w:tcW w:type="dxa" w:w="7254"/>
            <w:shd w:fill="F2F5F8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El identificador que permitiría unir el comportamiento (Mixpanel) con la cápita (HubSpot / Binary).</w:t>
            </w:r>
          </w:p>
        </w:tc>
      </w:tr>
      <w:tr>
        <w:trPr>
          <w:cantSplit/>
        </w:trPr>
        <w:tc>
          <w:tcPr>
            <w:tcW w:type="dxa" w:w="2046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Prior</w:t>
            </w:r>
          </w:p>
        </w:tc>
        <w:tc>
          <w:tcPr>
            <w:tcW w:type="dxa" w:w="7254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Lo aprendido de experimentos pasados; el motor lo usa para estimar mejor (ej. cuánto de una fuga se recupera de verdad).</w:t>
            </w:r>
          </w:p>
        </w:tc>
      </w:tr>
      <w:tr>
        <w:trPr>
          <w:cantSplit/>
        </w:trPr>
        <w:tc>
          <w:tcPr>
            <w:tcW w:type="dxa" w:w="2046"/>
            <w:shd w:fill="F2F5F8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Snapshot</w:t>
            </w:r>
          </w:p>
        </w:tc>
        <w:tc>
          <w:tcPr>
            <w:tcW w:type="dxa" w:w="7254"/>
            <w:shd w:fill="F2F5F8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La foto diaria de los datos que guarda la capa de Memoria.</w:t>
            </w:r>
          </w:p>
        </w:tc>
      </w:tr>
      <w:tr>
        <w:trPr>
          <w:cantSplit/>
        </w:trPr>
        <w:tc>
          <w:tcPr>
            <w:tcW w:type="dxa" w:w="2046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Guardrail</w:t>
            </w:r>
          </w:p>
        </w:tc>
        <w:tc>
          <w:tcPr>
            <w:tcW w:type="dxa" w:w="7254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Un chequeo de seguridad: que una mejora no rompa otra métrica.</w:t>
            </w:r>
          </w:p>
        </w:tc>
      </w:tr>
      <w:tr>
        <w:trPr>
          <w:cantSplit/>
        </w:trPr>
        <w:tc>
          <w:tcPr>
            <w:tcW w:type="dxa" w:w="2046"/>
            <w:shd w:fill="F2F5F8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Significancia</w:t>
            </w:r>
          </w:p>
        </w:tc>
        <w:tc>
          <w:tcPr>
            <w:tcW w:type="dxa" w:w="7254"/>
            <w:shd w:fill="F2F5F8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Que un resultado supere el ruido estadístico; sin ella, no es un resultado.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SysData — Documentación de producto y arquitectura</dc:title>
  <dc:creator>SysData</dc:creator>
  <cp:lastModifiedBy>Un-named</cp:lastModifiedBy>
  <cp:revision>1</cp:revision>
  <dcterms:created xsi:type="dcterms:W3CDTF">2026-06-19T19:23:00.046Z</dcterms:created>
  <dcterms:modified xsi:type="dcterms:W3CDTF">2026-06-19T19:23:00.060Z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