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pStyle w:val="Title"/>
        <w:jc w:val="center"/>
      </w:pPr>
      <w:r>
        <w:t xml:space="preserve">SysData</w:t>
      </w:r>
    </w:p>
    <w:p>
      <w:pPr>
        <w:spacing w:before="120"/>
        <w:jc w:val="center"/>
      </w:pPr>
      <w:r>
        <w:rPr>
          <w:b/>
          <w:bCs/>
          <w:color w:val="0E2E52"/>
          <w:sz w:val="30"/>
          <w:szCs w:val="30"/>
        </w:rPr>
        <w:t xml:space="preserve">Motor de mejora continua de growth</w:t>
      </w:r>
    </w:p>
    <w:p>
      <w:pPr>
        <w:spacing w:before="40"/>
        <w:jc w:val="center"/>
      </w:pPr>
      <w:r>
        <w:rPr>
          <w:color w:val="5B6B7F"/>
          <w:sz w:val="26"/>
          <w:szCs w:val="26"/>
        </w:rPr>
        <w:t xml:space="preserve">Documentación de producto y arquitectura</w:t>
      </w:r>
    </w:p>
    <w:p>
      <w:pPr>
        <w:spacing w:before="500"/>
      </w:pPr>
    </w:p>
    <w:p>
      <w:pPr>
        <w:jc w:val="center"/>
      </w:pPr>
      <w:r>
        <w:rPr>
          <w:b/>
          <w:bCs/>
          <w:color w:val="0E2E52"/>
        </w:rPr>
        <w:t xml:space="preserve">armatuplan · Medicus</w:t>
      </w:r>
    </w:p>
    <w:p>
      <w:pPr>
        <w:spacing w:before="40"/>
        <w:jc w:val="center"/>
      </w:pPr>
      <w:r>
        <w:rPr>
          <w:color w:val="5B6B7F"/>
        </w:rPr>
        <w:t xml:space="preserve">Audiencia: Product Owner y Líder Técnica</w:t>
      </w:r>
    </w:p>
    <w:p>
      <w:pPr>
        <w:spacing w:before="40"/>
        <w:jc w:val="center"/>
      </w:pPr>
      <w:r>
        <w:rPr>
          <w:color w:val="5B6B7F"/>
        </w:rPr>
        <w:t xml:space="preserve">Versión 1.1 · 19 de junio de 2026</w:t>
      </w:r>
    </w:p>
    <w:p>
      <w:r>
        <w:br w:type="page"/>
      </w:r>
    </w:p>
    <w:p>
      <w:pPr>
        <w:pStyle w:val="Heading1"/>
        <w:spacing w:after="120" w:before="280"/>
      </w:pPr>
      <w:r>
        <w:t xml:space="preserve">Contenido</w:t>
      </w:r>
    </w:p>
    <w:p>
      <w:pPr>
        <w:spacing w:after="40"/>
      </w:pPr>
      <w:r>
        <w:t xml:space="preserve">1. Resumen ejecutivo</w:t>
      </w:r>
    </w:p>
    <w:p>
      <w:pPr>
        <w:spacing w:after="40"/>
      </w:pPr>
      <w:r>
        <w:t xml:space="preserve">2. El problema: por qué existe SysData</w:t>
      </w:r>
    </w:p>
    <w:p>
      <w:pPr>
        <w:spacing w:after="40"/>
      </w:pPr>
      <w:r>
        <w:t xml:space="preserve">3. Qué es SysData (y qué no es)</w:t>
      </w:r>
    </w:p>
    <w:p>
      <w:pPr>
        <w:spacing w:after="40"/>
      </w:pPr>
      <w:r>
        <w:t xml:space="preserve">4. El objetivo</w:t>
      </w:r>
    </w:p>
    <w:p>
      <w:pPr>
        <w:spacing w:after="40"/>
      </w:pPr>
      <w:r>
        <w:t xml:space="preserve">5. Cómo se usa: el loop</w:t>
      </w:r>
    </w:p>
    <w:p>
      <w:pPr>
        <w:spacing w:after="40"/>
      </w:pPr>
      <w:r>
        <w:t xml:space="preserve">6. Cómo decide: la lógica</w:t>
      </w:r>
    </w:p>
    <w:p>
      <w:pPr>
        <w:spacing w:after="40"/>
      </w:pPr>
      <w:r>
        <w:t xml:space="preserve">7. Decisiones de producto y su porqué</w:t>
      </w:r>
    </w:p>
    <w:p>
      <w:pPr>
        <w:spacing w:after="40"/>
      </w:pPr>
      <w:r>
        <w:t xml:space="preserve">8. Arquitectura del motor: las 4 capas</w:t>
      </w:r>
    </w:p>
    <w:p>
      <w:pPr>
        <w:spacing w:after="40"/>
      </w:pPr>
      <w:r>
        <w:t xml:space="preserve">9. Rigor de medición de experimentos</w:t>
      </w:r>
    </w:p>
    <w:p>
      <w:pPr>
        <w:spacing w:after="40"/>
      </w:pPr>
      <w:r>
        <w:t xml:space="preserve">10. Stack técnico</w:t>
      </w:r>
    </w:p>
    <w:p>
      <w:pPr>
        <w:spacing w:after="40"/>
      </w:pPr>
      <w:r>
        <w:t xml:space="preserve">11. La dependencia clave: el cruce visita → cápita</w:t>
      </w:r>
    </w:p>
    <w:p>
      <w:pPr>
        <w:spacing w:after="40"/>
      </w:pPr>
      <w:r>
        <w:t xml:space="preserve">12. Estado actual y roadmap</w:t>
      </w:r>
    </w:p>
    <w:p>
      <w:pPr>
        <w:spacing w:after="40"/>
      </w:pPr>
      <w:r>
        <w:t xml:space="preserve">13. Principios, seguridad y restricciones</w:t>
      </w:r>
    </w:p>
    <w:p>
      <w:pPr>
        <w:spacing w:after="40"/>
      </w:pPr>
      <w:r>
        <w:t xml:space="preserve">14. Glosario</w:t>
      </w:r>
    </w:p>
    <w:p>
      <w:r>
        <w:br w:type="page"/>
      </w:r>
    </w:p>
    <w:p>
      <w:pPr>
        <w:pStyle w:val="Heading1"/>
        <w:spacing w:after="120" w:before="280"/>
      </w:pPr>
      <w:r>
        <w:t xml:space="preserve">1. Resumen ejecutivo</w:t>
      </w:r>
    </w:p>
    <w:p>
      <w:pPr>
        <w:spacing w:after="120"/>
        <w:jc w:val="both"/>
      </w:pPr>
      <w:r>
        <w:t xml:space="preserve">SysData es una herramienta interna de growth: la capa de decisión que se para arriba de los datos que Medicus ya tiene —comportamiento (Mixpanel), comercial (HubSpot) y unit economics (PELG)— y los cruza para responder una sola pregunta: qué conviene mejorar, dónde, cuándo, y cuánta plata hay en juego.</w:t>
      </w:r>
    </w:p>
    <w:p>
      <w:pPr>
        <w:spacing w:after="120"/>
        <w:jc w:val="both"/>
      </w:pPr>
      <w:r>
        <w:t xml:space="preserve">No reemplaza a Mixpanel, HubSpot ni Metabase. Los une y los traduce en decisiones priorizadas por impacto en el negocio (cápitas y margen), separando siempre lo que es dato medido de lo que es supuesto. Cada experimento que el equipo cierra alimenta al motor y lo vuelve más certero: es un sistema de mejora continua, no un dashboard estático.</w:t>
      </w:r>
    </w:p>
    <w:p>
      <w:pPr>
        <w:pBdr>
          <w:left w:val="single" w:color="1689C4" w:sz="18" w:space="12"/>
        </w:pBdr>
        <w:spacing w:after="160" w:before="80"/>
        <w:ind w:left="360"/>
      </w:pPr>
      <w:r>
        <w:rPr>
          <w:i/>
          <w:iCs/>
          <w:color w:val="0E2E52"/>
        </w:rPr>
        <w:t xml:space="preserve">En una línea: convertir datos dispersos en decisiones de growth priorizadas por plata, con la evidencia y la honestidad a la vista.</w:t>
      </w:r>
    </w:p>
    <w:p>
      <w:pPr>
        <w:pStyle w:val="Heading1"/>
        <w:spacing w:after="120" w:before="280"/>
      </w:pPr>
      <w:r>
        <w:t xml:space="preserve">2. El problema: por qué existe SysData</w:t>
      </w:r>
    </w:p>
    <w:p>
      <w:pPr>
        <w:spacing w:after="120"/>
        <w:jc w:val="both"/>
      </w:pPr>
      <w:r>
        <w:t xml:space="preserve">Hoy los datos que importan para crecer viven en tres sistemas que no se hablan entre sí: el comportamiento del usuario en Mixpanel, el pipeline comercial en HubSpot, y los unit economics (CAC, LTV, margen) en el PELG. Cada uno, mirado por separado, cuenta solo una parte de la historia.</w:t>
      </w:r>
    </w:p>
    <w:p>
      <w:pPr>
        <w:spacing w:after="120"/>
        <w:jc w:val="both"/>
      </w:pPr>
      <w:r>
        <w:rPr>
          <w:b/>
          <w:bCs/>
        </w:rPr>
        <w:t xml:space="preserve">La consecuencia: </w:t>
      </w:r>
      <w:r>
        <w:t xml:space="preserve">se prioriza por opinión y por urgencia del momento, no por impacto. Se discute “qué fuga arreglar” mirando porcentajes, sin saber cuál mueve la aguja del negocio. Y cuando algo se prueba, muchas veces no se puede afirmar si funcionó de verdad o fue ruido.</w:t>
      </w:r>
    </w:p>
    <w:p>
      <w:pPr>
        <w:spacing w:after="120"/>
        <w:jc w:val="both"/>
      </w:pPr>
      <w:r>
        <w:rPr>
          <w:b/>
          <w:bCs/>
        </w:rPr>
        <w:t xml:space="preserve">Lo que faltaba: </w:t>
      </w:r>
      <w:r>
        <w:t xml:space="preserve">una capa que junte las tres fuentes y diga, con un número de plata atrás, qué mover para subir la conversión y las cápitas — y que sea honesta sobre qué tan sólido es ese número.</w:t>
      </w:r>
    </w:p>
    <w:p>
      <w:pPr>
        <w:pStyle w:val="Heading1"/>
        <w:spacing w:after="120" w:before="280"/>
      </w:pPr>
      <w:r>
        <w:t xml:space="preserve">3. Qué es SysData (y qué no es)</w:t>
      </w:r>
    </w:p>
    <w:p>
      <w:pPr>
        <w:pStyle w:val="Heading2"/>
        <w:spacing w:after="80" w:before="180"/>
      </w:pPr>
      <w:r>
        <w:t xml:space="preserve">Qué 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La capa de decisión</w:t>
      </w:r>
      <w:r>
        <w:t xml:space="preserve"> del stack de growth: “¿qué hacemos al respecto?”, arriba de los datos.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 traductor</w:t>
      </w:r>
      <w:r>
        <w:t xml:space="preserve"> de comportamiento + comercial + economía a oportunidades priorizadas por margen.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Un motor que aprende</w:t>
      </w:r>
      <w:r>
        <w:t xml:space="preserve">: cada experimento ajusta sus parámetros y mejora la próxima recomendación.</w:t>
      </w:r>
    </w:p>
    <w:p>
      <w:pPr>
        <w:pStyle w:val="Heading2"/>
        <w:spacing w:after="80" w:before="180"/>
      </w:pPr>
      <w:r>
        <w:t xml:space="preserve">Qué NO 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 es un CRM</w:t>
      </w:r>
      <w:r>
        <w:t xml:space="preserve"> ni reemplaza a HubSpot.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 reemplaza a Mixpanel ni a Metabase</w:t>
      </w:r>
      <w:r>
        <w:t xml:space="preserve">: no es la fuente de los datos, es la capa que los interpreta.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 escribe en los sistemas productivos</w:t>
      </w:r>
      <w:r>
        <w:t xml:space="preserve">: es estrictamente solo lectura sobre Mixpanel y HubSpot.</w:t>
      </w:r>
    </w:p>
    <w:p>
      <w:pPr>
        <w:pStyle w:val="Heading1"/>
        <w:spacing w:after="120" w:before="280"/>
      </w:pPr>
      <w:r>
        <w:t xml:space="preserve">4. El objetivo</w:t>
      </w:r>
    </w:p>
    <w:p>
      <w:pPr>
        <w:spacing w:after="120"/>
        <w:jc w:val="both"/>
      </w:pPr>
      <w:r>
        <w:t xml:space="preserve">Que el equipo abra SysData y en minutos sepa: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Qué está bien y qué está mal</w:t>
      </w:r>
      <w:r>
        <w:t xml:space="preserve"> — la salud por área del negocio, de un vistazo.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Qué conviene mejorar primero</w:t>
      </w:r>
      <w:r>
        <w:t xml:space="preserve"> — priorizado por plata en juego, no por el % de fuga más grande ni por intuición.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Por qué lo dice</w:t>
      </w:r>
      <w:r>
        <w:t xml:space="preserve"> — la evidencia de cada fuente, y qué parte del número es dato medido vs supuesto.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Qué estamos probando y si funcionó</w:t>
      </w:r>
      <w:r>
        <w:t xml:space="preserve"> — experimentos medidos con rigor estadístico.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Qué aprendimos</w:t>
      </w:r>
      <w:r>
        <w:t xml:space="preserve"> — que queda como memoria del equipo y hace al motor más preciso con el tiempo.</w:t>
      </w:r>
    </w:p>
    <w:p>
      <w:pPr>
        <w:pStyle w:val="Heading1"/>
        <w:spacing w:after="120" w:before="280"/>
      </w:pPr>
      <w:r>
        <w:t xml:space="preserve">5. Cómo se usa: el loop</w:t>
      </w:r>
    </w:p>
    <w:p>
      <w:pPr>
        <w:spacing w:after="120"/>
        <w:jc w:val="both"/>
      </w:pPr>
      <w:r>
        <w:t xml:space="preserve">La navegación de SysData es un ciclo de mejora continua: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Resumen</w:t>
      </w:r>
      <w:r>
        <w:t xml:space="preserve"> — cómo viene Medicus: qué está bien, qué está mal, y las señales que el motor detecta solo.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Oportunidades</w:t>
      </w:r>
      <w:r>
        <w:t xml:space="preserve"> — qué mejorar, priorizado por plata, con la lógica y la evidencia detrás de cada 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Experimentos</w:t>
      </w:r>
      <w:r>
        <w:t xml:space="preserve"> — qué estamos probando, medido automáticamente (antes vs después) con significancia y guardrails.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Aprendizajes (Playbook)</w:t>
      </w:r>
      <w:r>
        <w:t xml:space="preserve"> — qué validamos o refutamos; la memoria que el motor usa como prior.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Segmentos</w:t>
      </w:r>
      <w:r>
        <w:t xml:space="preserve"> — discovery: entender al usuario cruzando lo cuanti y lo cuali.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Explorador</w:t>
      </w:r>
      <w:r>
        <w:t xml:space="preserve"> — el detalle: funnels, CRM, economía y el estado del cruce de datos.</w:t>
      </w:r>
    </w:p>
    <w:p>
      <w:pPr>
        <w:pStyle w:val="Heading1"/>
        <w:spacing w:after="120" w:before="280"/>
      </w:pPr>
      <w:r>
        <w:t xml:space="preserve">6. Cómo decide: la lógica</w:t>
      </w:r>
    </w:p>
    <w:p>
      <w:pPr>
        <w:spacing w:after="120"/>
        <w:jc w:val="both"/>
      </w:pPr>
      <w:r>
        <w:t xml:space="preserve">Toda la priorización se ancla en una cadena simple, “la ecuación de la cápita”:</w:t>
      </w:r>
    </w:p>
    <w:p>
      <w:pPr>
        <w:pBdr>
          <w:left w:val="single" w:color="1689C4" w:sz="18" w:space="12"/>
        </w:pBdr>
        <w:spacing w:after="160" w:before="80"/>
        <w:ind w:left="360"/>
      </w:pPr>
      <w:r>
        <w:rPr>
          <w:i/>
          <w:iCs/>
          <w:color w:val="0E2E52"/>
        </w:rPr>
        <w:t xml:space="preserve">visitas → conversión por paso → datos → (% que se vuelve socio) → cápitas → margen ($)   ·   (y por el lado comercial: deals → win rate → cápitas)</w:t>
      </w:r>
    </w:p>
    <w:p>
      <w:pPr>
        <w:spacing w:after="120"/>
        <w:jc w:val="both"/>
      </w:pPr>
      <w:r>
        <w:t xml:space="preserve">Cada recomendación es, en el fondo, una frase: “acá hay un eslabón de esta cadena dejando plata sobre la mesa, y esto es cuánto”. Esto permite comparar peras con peras: una mejora chica en un paso de mucho volumen puede valer más que una grande en uno de poco.</w:t>
      </w:r>
    </w:p>
    <w:p>
      <w:pPr>
        <w:pStyle w:val="Heading2"/>
        <w:spacing w:after="80" w:before="180"/>
      </w:pPr>
      <w:r>
        <w:t xml:space="preserve">El score (cómo se ordenan las oportunidades)</w:t>
      </w:r>
    </w:p>
    <w:p>
      <w:pPr>
        <w:pBdr>
          <w:left w:val="single" w:color="1689C4" w:sz="18" w:space="12"/>
        </w:pBdr>
        <w:spacing w:after="160" w:before="80"/>
        <w:ind w:left="360"/>
      </w:pPr>
      <w:r>
        <w:rPr>
          <w:i/>
          <w:iCs/>
          <w:color w:val="0E2E52"/>
        </w:rPr>
        <w:t xml:space="preserve">score = margen en juego × confianza × urgencia ÷ esfuerzo   (lo acumulado se prorratea a mensual)</w:t>
      </w:r>
    </w:p>
    <w:p>
      <w:pPr>
        <w:spacing w:after="120"/>
        <w:jc w:val="both"/>
      </w:pPr>
      <w:r>
        <w:t xml:space="preserve">Ejemplo real con los datos del cotizador: de ~41.500 visitas, ~36.300 se caen antes de avanzar. Si una mejora recupera ~25% de esa fuga (supuesto), son ~9.000 datos extra por mes; a una tasa dato→cápita de 6% (supuesto) y un LTV de contribución de ~$388.800, eso son del orden de $200M por mes en juego. Ese número —no el porcentaje de caída— es lo que pone a esa oportunidad arriba del ranking.</w:t>
      </w:r>
    </w:p>
    <w:p>
      <w:pPr>
        <w:pStyle w:val="Heading1"/>
        <w:spacing w:after="120" w:before="280"/>
      </w:pPr>
      <w:r>
        <w:t xml:space="preserve">7. Decisiones de producto y su porqué</w:t>
      </w:r>
    </w:p>
    <w:p>
      <w:pPr>
        <w:spacing w:after="120"/>
        <w:jc w:val="both"/>
      </w:pPr>
      <w:r>
        <w:t xml:space="preserve">SysData está lleno de decisiones deliberadas. Las principales, con su fundamento: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3069"/>
        <w:gridCol w:w="6231"/>
      </w:tblGrid>
      <w:tr>
        <w:trPr>
          <w:cantSplit/>
          <w:tblHeader/>
        </w:trPr>
        <w:tc>
          <w:tcPr>
            <w:tcW w:type="dxa" w:w="3069"/>
            <w:shd w:fill="0E2E5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  <w:tc>
          <w:tcPr>
            <w:tcW w:type="dxa" w:w="6231"/>
            <w:shd w:fill="0E2E5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Priorizar por plata, no por % de fuga</w:t>
            </w:r>
          </w:p>
        </w:tc>
        <w:tc>
          <w:tcPr>
            <w:tcW w:type="dxa" w:w="6231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fuga más grande no siempre es la más valiosa: una caída enorme sobre tráfico que no convierte vale poco. Ordenar por margen evita gastar esfuerzo donde no mueve el negocio.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Honestidad: medido vs supuesto</w:t>
            </w:r>
          </w:p>
        </w:tc>
        <w:tc>
          <w:tcPr>
            <w:tcW w:type="dxa" w:w="6231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 el motor disfraza supuestos de datos, el equipo deja de confiar la primera vez que falla. Cada número muestra su origen y marca explícitamente lo que es estimación.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Ser la capa de decisión, no otro dashboard</w:t>
            </w:r>
          </w:p>
        </w:tc>
        <w:tc>
          <w:tcPr>
            <w:tcW w:type="dxa" w:w="6231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Ya hay dashboards (Mixpanel, Metabase). Lo que faltaba no era “ver datos”, sino “decidir qué hacer con ellos”, cruzando las tres fuentes.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Solo lectura sobre Mixpanel y HubSpot</w:t>
            </w:r>
          </w:p>
        </w:tc>
        <w:tc>
          <w:tcPr>
            <w:tcW w:type="dxa" w:w="6231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Son sistemas productivos. El riesgo de escribir (romper eventos, deals, propiedades) es inaceptable. SysData nunca escribe ahí.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Motor determinista + aprendizaje, no IA caja negra</w:t>
            </w:r>
          </w:p>
        </w:tc>
        <w:tc>
          <w:tcPr>
            <w:tcW w:type="dxa" w:w="6231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 nuestra escala, el rigor estadístico y las reglas transparentes le ganan a un modelo opaco. La IA se reserva para redactar y agrupar, nunca para inventar números.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Estado compartido (Supabase), no Excel personal</w:t>
            </w:r>
          </w:p>
        </w:tc>
        <w:tc>
          <w:tcPr>
            <w:tcW w:type="dxa" w:w="6231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Para que sea una herramienta de equipo, los experimentos, estados y aprendizajes tienen que ser de todos y persistentes, no de un navegador.</w:t>
            </w:r>
          </w:p>
        </w:tc>
      </w:tr>
      <w:tr>
        <w:trPr>
          <w:cantSplit/>
        </w:trPr>
        <w:tc>
          <w:tcPr>
            <w:tcW w:type="dxa" w:w="3069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Experimentos con significancia + guardrails</w:t>
            </w:r>
          </w:p>
        </w:tc>
        <w:tc>
          <w:tcPr>
            <w:tcW w:type="dxa" w:w="6231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“subió 5%” sin significancia es ruido. Y una mejora que rompe un paso de más abajo no es victoria. El motor exige las dos cosas antes de cantar un resultado.</w:t>
            </w:r>
          </w:p>
        </w:tc>
      </w:tr>
      <w:tr>
        <w:trPr>
          <w:cantSplit/>
        </w:trPr>
        <w:tc>
          <w:tcPr>
            <w:tcW w:type="dxa" w:w="3069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Score como rango (P10–P90), no número puntual</w:t>
            </w:r>
          </w:p>
        </w:tc>
        <w:tc>
          <w:tcPr>
            <w:tcW w:type="dxa" w:w="6231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Como varios inputs son supuestos, mostrar una cifra exacta es falsa precisión. El rango comunica la incertidumbre y de qué supuesto depende.</w:t>
            </w:r>
          </w:p>
        </w:tc>
      </w:tr>
    </w:tbl>
    <w:p>
      <w:pPr>
        <w:spacing w:after="80"/>
      </w:pPr>
    </w:p>
    <w:p>
      <w:pPr>
        <w:pStyle w:val="Heading1"/>
        <w:spacing w:after="120" w:before="280"/>
      </w:pPr>
      <w:r>
        <w:t xml:space="preserve">8. Arquitectura del motor: las 4 capas</w:t>
      </w:r>
    </w:p>
    <w:p>
      <w:pPr>
        <w:spacing w:after="120"/>
        <w:jc w:val="both"/>
      </w:pPr>
      <w:r>
        <w:t xml:space="preserve">El “cerebro” de SysData está organizado en cuatro capas encadenadas: la memoria habilita la detección; la detección y la economía alimentan la decisión; y los resultados de los experimentos vuelven como aprendizaje que afina todo.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1674"/>
        <w:gridCol w:w="3813"/>
        <w:gridCol w:w="3813"/>
      </w:tblGrid>
      <w:tr>
        <w:trPr>
          <w:cantSplit/>
          <w:tblHeader/>
        </w:trPr>
        <w:tc>
          <w:tcPr>
            <w:tcW w:type="dxa" w:w="1674"/>
            <w:shd w:fill="0E2E5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Capa</w:t>
            </w:r>
          </w:p>
        </w:tc>
        <w:tc>
          <w:tcPr>
            <w:tcW w:type="dxa" w:w="3813"/>
            <w:shd w:fill="0E2E5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hace</w:t>
            </w:r>
          </w:p>
        </w:tc>
        <w:tc>
          <w:tcPr>
            <w:tcW w:type="dxa" w:w="3813"/>
            <w:shd w:fill="0E2E5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Por qué importa</w:t>
            </w:r>
          </w:p>
        </w:tc>
      </w:tr>
      <w:tr>
        <w:trPr>
          <w:cantSplit/>
        </w:trPr>
        <w:tc>
          <w:tcPr>
            <w:tcW w:type="dxa" w:w="1674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1 · Memoria</w:t>
            </w:r>
          </w:p>
        </w:tc>
        <w:tc>
          <w:tcPr>
            <w:tcW w:type="dxa" w:w="3813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proceso diario (cron) barre los datos y guarda la foto del día.</w:t>
            </w:r>
          </w:p>
        </w:tc>
        <w:tc>
          <w:tcPr>
            <w:tcW w:type="dxa" w:w="3813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 serie histórica propia no hay detección, ni forecast, ni aprendizaje. La historia consultable es nuestra o no existe.</w:t>
            </w:r>
          </w:p>
        </w:tc>
      </w:tr>
      <w:tr>
        <w:trPr>
          <w:cantSplit/>
        </w:trPr>
        <w:tc>
          <w:tcPr>
            <w:tcW w:type="dxa" w:w="1674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2 · Detección</w:t>
            </w:r>
          </w:p>
        </w:tc>
        <w:tc>
          <w:tcPr>
            <w:tcW w:type="dxa" w:w="3813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Distingue un quiebre real del ruido y proyecta si llegamos a la meta.</w:t>
            </w:r>
          </w:p>
        </w:tc>
        <w:tc>
          <w:tcPr>
            <w:tcW w:type="dxa" w:w="3813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Responde el “dónde y cuándo” solo: avisa cuando algo se rompió, antes de notarlo a mano.</w:t>
            </w:r>
          </w:p>
        </w:tc>
      </w:tr>
      <w:tr>
        <w:trPr>
          <w:cantSplit/>
        </w:trPr>
        <w:tc>
          <w:tcPr>
            <w:tcW w:type="dxa" w:w="1674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3 · Decisión</w:t>
            </w:r>
          </w:p>
        </w:tc>
        <w:tc>
          <w:tcPr>
            <w:tcW w:type="dxa" w:w="3813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Puntúa cada oportunidad por plata y la muestra como un rango (conservador → optimista).</w:t>
            </w:r>
          </w:p>
        </w:tc>
        <w:tc>
          <w:tcPr>
            <w:tcW w:type="dxa" w:w="3813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Convierte la incertidumbre en una apuesta cuantificada, en vez de un número falso-exacto.</w:t>
            </w:r>
          </w:p>
        </w:tc>
      </w:tr>
      <w:tr>
        <w:trPr>
          <w:cantSplit/>
        </w:trPr>
        <w:tc>
          <w:tcPr>
            <w:tcW w:type="dxa" w:w="1674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4 · Aprendizaje</w:t>
            </w:r>
          </w:p>
        </w:tc>
        <w:tc>
          <w:tcPr>
            <w:tcW w:type="dxa" w:w="3813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resultados de los experimentos se vuelven parámetros que afinan el motor.</w:t>
            </w:r>
          </w:p>
        </w:tc>
        <w:tc>
          <w:tcPr>
            <w:tcW w:type="dxa" w:w="3813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Es lo que lo hace “cada vez más inteligente”: aprende la realidad de nuestro producto, no supuestos genéricos.</w:t>
            </w:r>
          </w:p>
        </w:tc>
      </w:tr>
    </w:tbl>
    <w:p>
      <w:pPr>
        <w:spacing w:after="80"/>
      </w:pPr>
    </w:p>
    <w:p>
      <w:pPr>
        <w:pStyle w:val="Heading1"/>
        <w:spacing w:after="120" w:before="280"/>
      </w:pPr>
      <w:r>
        <w:t xml:space="preserve">9. Rigor de medición de experimentos</w:t>
      </w:r>
    </w:p>
    <w:p>
      <w:pPr>
        <w:spacing w:after="120"/>
        <w:jc w:val="both"/>
      </w:pPr>
      <w:r>
        <w:t xml:space="preserve">Cuando se cierra un experimento, el motor lo mide de forma triangulada y honesta: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Significancia estadística</w:t>
      </w:r>
      <w:r>
        <w:t xml:space="preserve"> — test de dos proporciones (antes vs después). Si el movimiento no supera el ruido (p &lt; 0,05), no se declara resultado: es “inconcluso”.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Guardrails</w:t>
      </w:r>
      <w:r>
        <w:t xml:space="preserve"> — chequea que la mejora no haya roto un paso de más abajo (comportamiento), ni el win rate (comercial), ni el margen (económico).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Ripple</w:t>
      </w:r>
      <w:r>
        <w:t xml:space="preserve"> — verifica si el efecto se propagó aguas abajo o se quedó en un paso intermedio (un lift que no llega a socio cerrado es hueco).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Confounds declarados</w:t>
      </w:r>
      <w:r>
        <w:t xml:space="preserve"> — el motor dice qué no controla (es antes/después, no A/B; campañas, estacionalidad), para leer el resultado con la cautela justa.</w:t>
      </w:r>
    </w:p>
    <w:p>
      <w:pPr>
        <w:pStyle w:val="Heading1"/>
        <w:spacing w:after="120" w:before="280"/>
      </w:pPr>
      <w:r>
        <w:t xml:space="preserve">10. Stack técnico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Frontend / app</w:t>
      </w:r>
      <w:r>
        <w:t xml:space="preserve">: Next.js 16 (App Router) + React 19 + TypeScript + CSS Modules.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Datos del equipo</w:t>
      </w:r>
      <w:r>
        <w:t xml:space="preserve">: Supabase (login + estado compartido: experimentos, estados, aprendizajes, snapshots, priors), con Row Level Security.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Hosting</w:t>
      </w:r>
      <w:r>
        <w:t xml:space="preserve">: Vercel. El barrido diario corre como Vercel Cron.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Fuentes (solo lectura)</w:t>
      </w:r>
      <w:r>
        <w:t xml:space="preserve">: Mixpanel (Query/Engage API) para comportamiento; HubSpot (CRM v3) para comercial y voz del cliente (NPS); PELG para unit economics.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IA (acotada)</w:t>
      </w:r>
      <w:r>
        <w:t xml:space="preserve">: Gemini, reservada para tareas de lenguaje (redactar, agrupar), nunca para producir números.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Seguridad</w:t>
      </w:r>
      <w:r>
        <w:t xml:space="preserve">: los tokens van server-side (nunca expuestos al cliente); las rutas /api están detrás de login (dominio @medicus.com.ar).</w:t>
      </w:r>
    </w:p>
    <w:p>
      <w:pPr>
        <w:pStyle w:val="Heading1"/>
        <w:spacing w:after="120" w:before="280"/>
      </w:pPr>
      <w:r>
        <w:t xml:space="preserve">11. La dependencia clave: el cruce visita → cápita</w:t>
      </w:r>
    </w:p>
    <w:p>
      <w:pPr>
        <w:spacing w:after="120"/>
        <w:jc w:val="both"/>
      </w:pPr>
      <w:r>
        <w:t xml:space="preserve">Para medir de punta a punta “qué visita termina siendo socio” falta un dato de plomería: estampar el mismo identificador (prospecto_id) en el momento del alta de socio.</w:t>
      </w:r>
    </w:p>
    <w:p>
      <w:pPr>
        <w:spacing w:after="120"/>
        <w:jc w:val="both"/>
      </w:pPr>
      <w:r>
        <w:rPr>
          <w:b/>
          <w:bCs/>
        </w:rPr>
        <w:t xml:space="preserve">La evidencia (medida en solo lectura): </w:t>
      </w:r>
      <w:r>
        <w:t xml:space="preserve">en Mixpanel, los perfiles de lead (que traen hubspot_id, edad, etc.) y los de socio (que traen la vigencia) son hoy conjuntos disjuntos — no comparten ningún id en común. Las llaves para unirlos existen, pero no quedan estampadas en el registro del resultado.</w:t>
      </w:r>
    </w:p>
    <w:p>
      <w:pPr>
        <w:spacing w:after="120"/>
        <w:jc w:val="both"/>
      </w:pPr>
      <w:r>
        <w:rPr>
          <w:b/>
          <w:bCs/>
        </w:rPr>
        <w:t xml:space="preserve">Qué significa para el negocio: </w:t>
      </w:r>
      <w:r>
        <w:t xml:space="preserve">mientras esto no se cierre, la conversión visita→cápita es modelada (supuesta, hoy 6%), no medida. Por eso el motor lo declara como supuesto y no publica una tasa que sería engañosa.</w:t>
      </w:r>
    </w:p>
    <w:p>
      <w:pPr>
        <w:spacing w:after="120"/>
        <w:jc w:val="both"/>
      </w:pPr>
      <w:r>
        <w:rPr>
          <w:b/>
          <w:bCs/>
        </w:rPr>
        <w:t xml:space="preserve">De quién depende: </w:t>
      </w:r>
      <w:r>
        <w:t xml:space="preserve">NO es trabajo de SysData. Es instrumentación upstream (Data / Dev). Hay tres caminos complementarios: (A) estampar el prospecto_id en el alta de socio; (B) cruzar en el data warehouse; (C) en HubSpot, asociar el deal ganado al contacto de origen.</w:t>
      </w:r>
    </w:p>
    <w:p>
      <w:pPr>
        <w:spacing w:after="120"/>
        <w:jc w:val="both"/>
      </w:pPr>
      <w:r>
        <w:rPr>
          <w:b/>
          <w:bCs/>
        </w:rPr>
        <w:t xml:space="preserve">El payoff de cerrarlo: </w:t>
      </w:r>
      <w:r>
        <w:t xml:space="preserve">tasa lead→cápita real por canal y segmento, ripple a cápita medido en cada experimento, y priorización por margen real en vez de estimado. SysData ya detecta solo cuándo queda resuelto.</w:t>
      </w:r>
    </w:p>
    <w:p>
      <w:pPr>
        <w:pStyle w:val="Heading1"/>
        <w:spacing w:after="120" w:before="280"/>
      </w:pPr>
      <w:r>
        <w:t xml:space="preserve">12. Estado actual y roadmap</w:t>
      </w:r>
    </w:p>
    <w:p>
      <w:pPr>
        <w:pStyle w:val="Heading2"/>
        <w:spacing w:after="80" w:before="180"/>
      </w:pPr>
      <w:r>
        <w:t xml:space="preserve">Funcionando hoy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loop completo (Resumen, Oportunidades priorizadas, Experimentos medidos, Aprendizajes) con datos en vivo de Mixpanel + HubSpot.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Las 4 capas del motor: memoria diaria, detección de quiebres + pace vs meta, score con rango (Monte Carlo) y priors que se afinan con cada experimento.</w:t>
      </w:r>
    </w:p>
    <w:p>
      <w:pPr>
        <w:pStyle w:val="Heading2"/>
        <w:spacing w:after="80" w:before="180"/>
      </w:pPr>
      <w:r>
        <w:t xml:space="preserve">Pendiente de activación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Encender el proceso diario en producción (variables de entorno en Vercel + correr la migración en Supabase).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Cerrar el cruce prospecto_id (trabajo upstream de Data / Dev).</w:t>
      </w:r>
    </w:p>
    <w:p>
      <w:pPr>
        <w:pStyle w:val="Heading2"/>
        <w:spacing w:after="80" w:before="180"/>
      </w:pPr>
      <w:r>
        <w:t xml:space="preserve">Próximos incrementos (ideas)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Brief automático del “Lunes de growth” (resumen redactado y enviado solo).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“Value of Information”: ponerle precio en pesos a cerrar cada supuesto (ej. cuánto vale cerrar el cruce).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Tarjeta de impacto multi-moneda (plata, tiempo, confianza, reputación) y optimizador de sprint.</w:t>
      </w:r>
    </w:p>
    <w:p>
      <w:pPr>
        <w:pStyle w:val="Heading1"/>
        <w:spacing w:after="120" w:before="280"/>
      </w:pPr>
      <w:r>
        <w:t xml:space="preserve">13. Principios, seguridad y restricciones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Solo lectura</w:t>
      </w:r>
      <w:r>
        <w:t xml:space="preserve"> sobre sistemas productivos (Mixpanel / HubSpot). Nunca crear, editar ni borrar 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Honestidad</w:t>
      </w:r>
      <w:r>
        <w:t xml:space="preserve">: medido vs supuesto siempre explícito; cada número muestra su fuente.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Herramienta de equipo</w:t>
      </w:r>
      <w:r>
        <w:t xml:space="preserve">: estado compartido y persistente, no un archivo personal.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Seguridad</w:t>
      </w:r>
      <w:r>
        <w:t xml:space="preserve">: tokens server-side, acceso por login de dominio Medicus, secretos fuera del repositorio.</w:t>
      </w:r>
    </w:p>
    <w:p>
      <w:pPr>
        <w:pStyle w:val="Heading1"/>
        <w:spacing w:after="120" w:before="280"/>
      </w:pPr>
      <w:r>
        <w:t xml:space="preserve">14. Glosario</w:t>
      </w:r>
    </w:p>
    <w:tbl>
      <w:tblPr>
        <w:tblW w:type="dxa" w:w="9300"/>
        <w:tblBorders>
          <w:top w:val="single" w:color="BFC9D4" w:sz="4"/>
          <w:left w:val="single" w:color="BFC9D4" w:sz="4"/>
          <w:bottom w:val="single" w:color="BFC9D4" w:sz="4"/>
          <w:right w:val="single" w:color="BFC9D4" w:sz="4"/>
          <w:insideH w:val="single" w:color="BFC9D4" w:sz="4"/>
          <w:insideV w:val="single" w:color="BFC9D4" w:sz="4"/>
        </w:tblBorders>
        <w:tblLayout w:type="fixed"/>
      </w:tblPr>
      <w:tblGrid>
        <w:gridCol w:w="2232"/>
        <w:gridCol w:w="7068"/>
      </w:tblGrid>
      <w:tr>
        <w:trPr>
          <w:cantSplit/>
          <w:tblHeader/>
        </w:trPr>
        <w:tc>
          <w:tcPr>
            <w:tcW w:type="dxa" w:w="2232"/>
            <w:shd w:fill="0E2E5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7068"/>
            <w:shd w:fill="0E2E52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Qué significa</w:t>
            </w:r>
          </w:p>
        </w:tc>
      </w:tr>
      <w:tr>
        <w:trPr>
          <w:cantSplit/>
        </w:trPr>
        <w:tc>
          <w:tcPr>
            <w:tcW w:type="dxa" w:w="2232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Cápita</w:t>
            </w:r>
          </w:p>
        </w:tc>
        <w:tc>
          <w:tcPr>
            <w:tcW w:type="dxa" w:w="7068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socio activo. Es el resultado final del negocio que SysData busca aumentar.</w:t>
            </w:r>
          </w:p>
        </w:tc>
      </w:tr>
      <w:tr>
        <w:trPr>
          <w:cantSplit/>
        </w:trPr>
        <w:tc>
          <w:tcPr>
            <w:tcW w:type="dxa" w:w="2232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Dato</w:t>
            </w:r>
          </w:p>
        </w:tc>
        <w:tc>
          <w:tcPr>
            <w:tcW w:type="dxa" w:w="7068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lead que dejó sus datos en el cotizador (paso clave del funnel de adquisición).</w:t>
            </w:r>
          </w:p>
        </w:tc>
      </w:tr>
      <w:tr>
        <w:trPr>
          <w:cantSplit/>
        </w:trPr>
        <w:tc>
          <w:tcPr>
            <w:tcW w:type="dxa" w:w="2232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Funnel / embudo</w:t>
            </w:r>
          </w:p>
        </w:tc>
        <w:tc>
          <w:tcPr>
            <w:tcW w:type="dxa" w:w="7068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secuencia de pasos que recorre un usuario (visita → datos → cotización → alta).</w:t>
            </w:r>
          </w:p>
        </w:tc>
      </w:tr>
      <w:tr>
        <w:trPr>
          <w:cantSplit/>
        </w:trPr>
        <w:tc>
          <w:tcPr>
            <w:tcW w:type="dxa" w:w="2232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Fuga (leak)</w:t>
            </w:r>
          </w:p>
        </w:tc>
        <w:tc>
          <w:tcPr>
            <w:tcW w:type="dxa" w:w="7068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paso donde más gente se cae. SysData la mide en personas y en plata.</w:t>
            </w:r>
          </w:p>
        </w:tc>
      </w:tr>
      <w:tr>
        <w:trPr>
          <w:cantSplit/>
        </w:trPr>
        <w:tc>
          <w:tcPr>
            <w:tcW w:type="dxa" w:w="2232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Win rate</w:t>
            </w:r>
          </w:p>
        </w:tc>
        <w:tc>
          <w:tcPr>
            <w:tcW w:type="dxa" w:w="7068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Porcentaje de deals comerciales que se cierran (ganados / decididos), en HubSpot.</w:t>
            </w:r>
          </w:p>
        </w:tc>
      </w:tr>
      <w:tr>
        <w:trPr>
          <w:cantSplit/>
        </w:trPr>
        <w:tc>
          <w:tcPr>
            <w:tcW w:type="dxa" w:w="2232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LTV</w:t>
            </w:r>
          </w:p>
        </w:tc>
        <w:tc>
          <w:tcPr>
            <w:tcW w:type="dxa" w:w="7068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Valor de contribución de una cápita a lo largo de su permanencia (ARPU × meses × margen).</w:t>
            </w:r>
          </w:p>
        </w:tc>
      </w:tr>
      <w:tr>
        <w:trPr>
          <w:cantSplit/>
        </w:trPr>
        <w:tc>
          <w:tcPr>
            <w:tcW w:type="dxa" w:w="2232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CAC</w:t>
            </w:r>
          </w:p>
        </w:tc>
        <w:tc>
          <w:tcPr>
            <w:tcW w:type="dxa" w:w="7068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Costo de adquirir una cápita.</w:t>
            </w:r>
          </w:p>
        </w:tc>
      </w:tr>
      <w:tr>
        <w:trPr>
          <w:cantSplit/>
        </w:trPr>
        <w:tc>
          <w:tcPr>
            <w:tcW w:type="dxa" w:w="2232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ARPU</w:t>
            </w:r>
          </w:p>
        </w:tc>
        <w:tc>
          <w:tcPr>
            <w:tcW w:type="dxa" w:w="7068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Ingreso promedio mensual por socio.</w:t>
            </w:r>
          </w:p>
        </w:tc>
      </w:tr>
      <w:tr>
        <w:trPr>
          <w:cantSplit/>
        </w:trPr>
        <w:tc>
          <w:tcPr>
            <w:tcW w:type="dxa" w:w="2232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prospecto_id</w:t>
            </w:r>
          </w:p>
        </w:tc>
        <w:tc>
          <w:tcPr>
            <w:tcW w:type="dxa" w:w="7068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identificador que permitiría unir el comportamiento (Mixpanel) con la cápita (HubSpot).</w:t>
            </w:r>
          </w:p>
        </w:tc>
      </w:tr>
      <w:tr>
        <w:trPr>
          <w:cantSplit/>
        </w:trPr>
        <w:tc>
          <w:tcPr>
            <w:tcW w:type="dxa" w:w="2232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Prior</w:t>
            </w:r>
          </w:p>
        </w:tc>
        <w:tc>
          <w:tcPr>
            <w:tcW w:type="dxa" w:w="7068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Lo aprendido de experimentos pasados; el motor lo usa para estimar mejor (ej. cuánto de una fuga se recupera de verdad).</w:t>
            </w:r>
          </w:p>
        </w:tc>
      </w:tr>
      <w:tr>
        <w:trPr>
          <w:cantSplit/>
        </w:trPr>
        <w:tc>
          <w:tcPr>
            <w:tcW w:type="dxa" w:w="2232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Snapshot</w:t>
            </w:r>
          </w:p>
        </w:tc>
        <w:tc>
          <w:tcPr>
            <w:tcW w:type="dxa" w:w="7068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foto diaria de los datos que guarda la capa de Memoria.</w:t>
            </w:r>
          </w:p>
        </w:tc>
      </w:tr>
      <w:tr>
        <w:trPr>
          <w:cantSplit/>
        </w:trPr>
        <w:tc>
          <w:tcPr>
            <w:tcW w:type="dxa" w:w="2232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Guardrail</w:t>
            </w:r>
          </w:p>
        </w:tc>
        <w:tc>
          <w:tcPr>
            <w:tcW w:type="dxa" w:w="7068"/>
            <w:shd w:fill="F2F5F8" w:color="auto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chequeo de seguridad: que una mejora no rompa otra métrica.</w:t>
            </w:r>
          </w:p>
        </w:tc>
      </w:tr>
      <w:tr>
        <w:trPr>
          <w:cantSplit/>
        </w:trPr>
        <w:tc>
          <w:tcPr>
            <w:tcW w:type="dxa" w:w="2232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Significancia</w:t>
            </w:r>
          </w:p>
        </w:tc>
        <w:tc>
          <w:tcPr>
            <w:tcW w:type="dxa" w:w="7068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Que un resultado supere el ruido estadístico; sin ella, no es un resultado.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SysData — Documentación de producto y arquitectura</dc:title>
  <dc:creator>SysData</dc:creator>
  <cp:lastModifiedBy>Un-named</cp:lastModifiedBy>
  <cp:revision>1</cp:revision>
  <dcterms:created xsi:type="dcterms:W3CDTF">2026-06-19T17:26:21.133Z</dcterms:created>
  <dcterms:modified xsi:type="dcterms:W3CDTF">2026-06-19T17:26:21.145Z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