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28EF37" w14:textId="77777777" w:rsidR="00FF439A" w:rsidRPr="00C92A1A" w:rsidRDefault="00000000" w:rsidP="00EA7067">
      <w:pPr>
        <w:pStyle w:val="Heading1"/>
        <w:keepNext w:val="0"/>
        <w:keepLines w:val="0"/>
        <w:tabs>
          <w:tab w:val="center" w:pos="4393"/>
        </w:tabs>
        <w:spacing w:before="600" w:after="80" w:line="240" w:lineRule="auto"/>
        <w:rPr>
          <w:rFonts w:ascii="Calibri" w:eastAsia="Times New Roman" w:hAnsi="Calibri" w:cs="Calibri"/>
          <w:b w:val="0"/>
          <w:bCs w:val="0"/>
          <w:color w:val="auto"/>
          <w:spacing w:val="-6"/>
          <w:sz w:val="48"/>
          <w:szCs w:val="20"/>
          <w:lang w:val="en-GB" w:eastAsia="de-DE"/>
        </w:rPr>
      </w:pPr>
      <w:r w:rsidRPr="00C92A1A">
        <w:rPr>
          <w:rFonts w:ascii="Calibri" w:eastAsia="Times New Roman" w:hAnsi="Calibri" w:cs="Calibri"/>
          <w:b w:val="0"/>
          <w:bCs w:val="0"/>
          <w:color w:val="auto"/>
          <w:spacing w:val="-6"/>
          <w:sz w:val="48"/>
          <w:szCs w:val="20"/>
          <w:lang w:val="en-GB" w:eastAsia="de-DE"/>
        </w:rPr>
        <w:t>Fab City Full Stack Metrics Framework: An Actionable Methodology for Multi-Scalar Implementation</w:t>
      </w:r>
    </w:p>
    <w:p w14:paraId="3F6DF9F5" w14:textId="1C524648" w:rsidR="00FF439A" w:rsidRPr="00C92A1A" w:rsidRDefault="00000000" w:rsidP="00EA7067">
      <w:pPr>
        <w:pStyle w:val="AuthorsNames"/>
        <w:rPr>
          <w:rFonts w:cs="Calibri"/>
        </w:rPr>
      </w:pPr>
      <w:r w:rsidRPr="00C92A1A">
        <w:rPr>
          <w:rFonts w:cs="Calibri"/>
        </w:rPr>
        <w:t>Tom</w:t>
      </w:r>
      <w:r w:rsidR="00EA7067" w:rsidRPr="00C92A1A">
        <w:rPr>
          <w:rFonts w:cs="Calibri"/>
        </w:rPr>
        <w:t>as</w:t>
      </w:r>
      <w:r w:rsidRPr="00C92A1A">
        <w:rPr>
          <w:rFonts w:cs="Calibri"/>
        </w:rPr>
        <w:t xml:space="preserve"> Vivanco</w:t>
      </w:r>
    </w:p>
    <w:p w14:paraId="791AF1D5" w14:textId="4E1EA1E0" w:rsidR="00FF439A" w:rsidRPr="00C92A1A" w:rsidRDefault="00000000" w:rsidP="00EA7067">
      <w:pPr>
        <w:pStyle w:val="AuthorsAddresses"/>
        <w:rPr>
          <w:rFonts w:cs="Calibri"/>
        </w:rPr>
      </w:pPr>
      <w:r w:rsidRPr="00C92A1A">
        <w:rPr>
          <w:rFonts w:cs="Calibri"/>
        </w:rPr>
        <w:t xml:space="preserve">Tomas Vivanco, Pontifical Catholic </w:t>
      </w:r>
      <w:proofErr w:type="spellStart"/>
      <w:r w:rsidRPr="00C92A1A">
        <w:rPr>
          <w:rFonts w:cs="Calibri"/>
        </w:rPr>
        <w:t>University</w:t>
      </w:r>
      <w:proofErr w:type="spellEnd"/>
      <w:r w:rsidRPr="00C92A1A">
        <w:rPr>
          <w:rFonts w:cs="Calibri"/>
        </w:rPr>
        <w:t xml:space="preserve"> of Chile</w:t>
      </w:r>
      <w:r w:rsidRPr="00C92A1A">
        <w:rPr>
          <w:rFonts w:cs="Calibri"/>
        </w:rPr>
        <w:br/>
      </w:r>
      <w:proofErr w:type="spellStart"/>
      <w:r w:rsidRPr="00C92A1A">
        <w:rPr>
          <w:rFonts w:cs="Calibri"/>
        </w:rPr>
        <w:t>Fab</w:t>
      </w:r>
      <w:proofErr w:type="spellEnd"/>
      <w:r w:rsidRPr="00C92A1A">
        <w:rPr>
          <w:rFonts w:cs="Calibri"/>
        </w:rPr>
        <w:t xml:space="preserve"> City</w:t>
      </w:r>
      <w:r w:rsidR="00EA7067" w:rsidRPr="00C92A1A">
        <w:rPr>
          <w:rFonts w:cs="Calibri"/>
        </w:rPr>
        <w:t xml:space="preserve"> </w:t>
      </w:r>
      <w:proofErr w:type="spellStart"/>
      <w:r w:rsidR="00EA7067" w:rsidRPr="00C92A1A">
        <w:rPr>
          <w:rFonts w:cs="Calibri"/>
        </w:rPr>
        <w:t>Foundation</w:t>
      </w:r>
      <w:proofErr w:type="spellEnd"/>
      <w:r w:rsidRPr="00C92A1A">
        <w:rPr>
          <w:rFonts w:cs="Calibri"/>
        </w:rPr>
        <w:br/>
        <w:t>Santiago de Chile, Chile</w:t>
      </w:r>
      <w:r w:rsidRPr="00C92A1A">
        <w:rPr>
          <w:rFonts w:cs="Calibri"/>
        </w:rPr>
        <w:br/>
        <w:t>tvivancol@uc.cl</w:t>
      </w:r>
    </w:p>
    <w:p w14:paraId="19BC83AC" w14:textId="77777777" w:rsidR="00FF439A" w:rsidRPr="00C92A1A" w:rsidRDefault="00000000">
      <w:pPr>
        <w:spacing w:before="120" w:after="40"/>
        <w:rPr>
          <w:rFonts w:ascii="Calibri" w:eastAsia="Times New Roman" w:hAnsi="Calibri" w:cs="Calibri"/>
          <w:b/>
          <w:spacing w:val="-3"/>
          <w:sz w:val="20"/>
          <w:szCs w:val="20"/>
          <w:lang w:val="en-GB" w:eastAsia="de-DE"/>
        </w:rPr>
      </w:pPr>
      <w:r w:rsidRPr="00C92A1A">
        <w:rPr>
          <w:rFonts w:ascii="Calibri" w:eastAsia="Times New Roman" w:hAnsi="Calibri" w:cs="Calibri"/>
          <w:b/>
          <w:spacing w:val="-3"/>
          <w:sz w:val="20"/>
          <w:szCs w:val="20"/>
          <w:lang w:val="en-GB" w:eastAsia="de-DE"/>
        </w:rPr>
        <w:t>Abstract</w:t>
      </w:r>
    </w:p>
    <w:p w14:paraId="436C4050" w14:textId="77777777" w:rsidR="00C92A1A" w:rsidRPr="00C92A1A" w:rsidRDefault="00C92A1A" w:rsidP="00EA7067">
      <w:pPr>
        <w:pStyle w:val="SmallHeading"/>
        <w:rPr>
          <w:rFonts w:cs="Calibri"/>
          <w:b w:val="0"/>
        </w:rPr>
      </w:pPr>
      <w:r w:rsidRPr="00C92A1A">
        <w:rPr>
          <w:rFonts w:cs="Calibri"/>
          <w:b w:val="0"/>
        </w:rPr>
        <w:t xml:space="preserve">Implementing impact metrics in Fab Labs and the Fab City network requires more than a list of indicators. It requires a coherent structure that links local activity with wider urban, regional, ecological, and planetary systems. The Fab City Full Stack Metrics Framework provides that structure through seven system layers, five territorial scales, and four impact pillars: environmental, social, economic, and governance. Its value lies in making local interventions measurable without disconnecting them from the broader systems they seek to influence. The framework becomes operational when implementation starts at community scale, focuses on a feasible core of indicators, and embeds data collection in routine organisational practice. The framework draws on systems thinking, </w:t>
      </w:r>
      <w:proofErr w:type="spellStart"/>
      <w:r w:rsidRPr="00C92A1A">
        <w:rPr>
          <w:rFonts w:cs="Calibri"/>
          <w:b w:val="0"/>
        </w:rPr>
        <w:t>multiscalar</w:t>
      </w:r>
      <w:proofErr w:type="spellEnd"/>
      <w:r w:rsidRPr="00C92A1A">
        <w:rPr>
          <w:rFonts w:cs="Calibri"/>
          <w:b w:val="0"/>
        </w:rPr>
        <w:t xml:space="preserve"> sustainability assessment, life cycle analysis, material flow accounting, circular economy research, and governance studies to ensure that indicators remain analytically coherent across scales and dimensions. An actionable methodology follows through five stages: boundary definition, activity mapping, indicator selection, data protocol design, and review. The framework further distinguishes between high-feasibility indicators, which can be derived from records labs already maintain, and lower-feasibility indicators that require dedicated infrastructure and should be deferred to later implementation phases. When implemented through this staged methodology, it supports rigorous measurement, organisational learning, accountability, and comparability across the Fab Lab and Fab City network.</w:t>
      </w:r>
    </w:p>
    <w:p w14:paraId="50B8528D" w14:textId="66220D7C" w:rsidR="00FF439A" w:rsidRPr="00C92A1A" w:rsidRDefault="00000000" w:rsidP="00EA7067">
      <w:pPr>
        <w:pStyle w:val="SmallHeading"/>
        <w:rPr>
          <w:rFonts w:cs="Calibri"/>
        </w:rPr>
      </w:pPr>
      <w:r w:rsidRPr="00C92A1A">
        <w:rPr>
          <w:rFonts w:cs="Calibri"/>
        </w:rPr>
        <w:t>Keywords</w:t>
      </w:r>
    </w:p>
    <w:p w14:paraId="4A43C669" w14:textId="51FD732B" w:rsidR="00FF439A" w:rsidRPr="00C92A1A" w:rsidRDefault="00000000" w:rsidP="00EA7067">
      <w:pPr>
        <w:pStyle w:val="SmallText"/>
        <w:rPr>
          <w:rFonts w:cs="Calibri"/>
        </w:rPr>
      </w:pPr>
      <w:r w:rsidRPr="00C92A1A">
        <w:rPr>
          <w:rFonts w:cs="Calibri"/>
        </w:rPr>
        <w:t xml:space="preserve">Fab City; metrics; systems thinking; circular economy; </w:t>
      </w:r>
      <w:r w:rsidR="008409A0" w:rsidRPr="00C92A1A">
        <w:rPr>
          <w:rFonts w:cs="Calibri"/>
        </w:rPr>
        <w:t>impact</w:t>
      </w:r>
    </w:p>
    <w:p w14:paraId="251F8629" w14:textId="77777777" w:rsidR="00FF439A" w:rsidRPr="00C92A1A" w:rsidRDefault="00000000" w:rsidP="00EA7067">
      <w:pPr>
        <w:pStyle w:val="Heading2"/>
        <w:keepLines w:val="0"/>
        <w:tabs>
          <w:tab w:val="center" w:pos="4393"/>
        </w:tabs>
        <w:spacing w:before="600" w:after="80" w:line="240" w:lineRule="auto"/>
        <w:rPr>
          <w:rFonts w:ascii="Calibri" w:eastAsia="Times New Roman" w:hAnsi="Calibri" w:cs="Calibri"/>
          <w:color w:val="auto"/>
          <w:spacing w:val="-6"/>
          <w:sz w:val="28"/>
          <w:szCs w:val="20"/>
          <w:lang w:val="en-GB" w:eastAsia="de-DE"/>
        </w:rPr>
      </w:pPr>
      <w:r w:rsidRPr="00C92A1A">
        <w:rPr>
          <w:rFonts w:ascii="Calibri" w:eastAsia="Times New Roman" w:hAnsi="Calibri" w:cs="Calibri"/>
          <w:color w:val="auto"/>
          <w:spacing w:val="-6"/>
          <w:sz w:val="28"/>
          <w:szCs w:val="20"/>
          <w:lang w:val="en-GB" w:eastAsia="de-DE"/>
        </w:rPr>
        <w:t>1 Introduction</w:t>
      </w:r>
    </w:p>
    <w:p w14:paraId="456A8878" w14:textId="77777777" w:rsidR="00FF439A" w:rsidRPr="00C92A1A" w:rsidRDefault="00000000" w:rsidP="00EA7067">
      <w:pPr>
        <w:pStyle w:val="Text"/>
        <w:rPr>
          <w:rFonts w:cs="Calibri"/>
        </w:rPr>
      </w:pPr>
      <w:r w:rsidRPr="00C92A1A">
        <w:rPr>
          <w:rFonts w:cs="Calibri"/>
        </w:rPr>
        <w:t>Fab Labs and Fab City hubs are increasingly understood as local infrastructures for distributed production, repair, learning, experimentation, and community participation. Their relevance within sustainability transitions lies not only in what they fabricate, but in how they connect material practice, education, innovation, and governance. Yet their impact remains difficult to describe with precision. Most evaluation approaches isolate one dimension of activity, privilege short-term outputs, or fail to connect local interventions with wider urban, regional, and ecological systems.</w:t>
      </w:r>
    </w:p>
    <w:p w14:paraId="23023891" w14:textId="30C2B142" w:rsidR="00FF439A" w:rsidRPr="00C92A1A" w:rsidRDefault="00000000" w:rsidP="00EA7067">
      <w:pPr>
        <w:pStyle w:val="Text"/>
        <w:rPr>
          <w:rFonts w:cs="Calibri"/>
        </w:rPr>
      </w:pPr>
      <w:r w:rsidRPr="00C92A1A">
        <w:rPr>
          <w:rFonts w:cs="Calibri"/>
        </w:rPr>
        <w:t xml:space="preserve">That difficulty is methodological as much as empirical. </w:t>
      </w:r>
      <w:r w:rsidR="00533387" w:rsidRPr="00C92A1A">
        <w:rPr>
          <w:rFonts w:cs="Calibri"/>
          <w:lang w:val="en-US"/>
        </w:rPr>
        <w:t>Fab Labs contribute to circularity, education, social inclusion, local economic activity, and institutional experimentation understood as the use of Fab Labs as testbeds for new governance and public-service delivery models ,</w:t>
      </w:r>
      <w:r w:rsidR="00533387" w:rsidRPr="00C92A1A">
        <w:rPr>
          <w:rFonts w:cs="Calibri"/>
        </w:rPr>
        <w:t xml:space="preserve">a fragmentation confirmed by the most comprehensive review to date, which found strong quantitative evidence for learning, skills, and </w:t>
      </w:r>
      <w:r w:rsidR="00533387" w:rsidRPr="00C92A1A">
        <w:rPr>
          <w:rFonts w:cs="Calibri"/>
        </w:rPr>
        <w:lastRenderedPageBreak/>
        <w:t>entrepreneurship outcomes, but almost no systematic evidence for bioregional, place-based, or knowledge-sharing layers of the Full Stack (</w:t>
      </w:r>
      <w:proofErr w:type="spellStart"/>
      <w:r w:rsidR="00533387" w:rsidRPr="00C92A1A">
        <w:rPr>
          <w:rFonts w:cs="Calibri"/>
        </w:rPr>
        <w:t>Peuckert</w:t>
      </w:r>
      <w:proofErr w:type="spellEnd"/>
      <w:r w:rsidR="00533387" w:rsidRPr="00C92A1A">
        <w:rPr>
          <w:rFonts w:cs="Calibri"/>
        </w:rPr>
        <w:t xml:space="preserve"> et al., 2025).</w:t>
      </w:r>
      <w:r w:rsidRPr="00C92A1A">
        <w:rPr>
          <w:rFonts w:cs="Calibri"/>
        </w:rPr>
        <w:t xml:space="preserve"> Narrow operational metrics rarely capture governance and social effects, while broad sustainability agendas often remain too distant from everyday practice to guide implementation. A more robust approach needs to work across scales and dimensions without collapsing them into a single index.</w:t>
      </w:r>
    </w:p>
    <w:p w14:paraId="2740C567" w14:textId="77777777" w:rsidR="00FF439A" w:rsidRPr="00C92A1A" w:rsidRDefault="00000000" w:rsidP="00EA7067">
      <w:pPr>
        <w:pStyle w:val="Text"/>
        <w:rPr>
          <w:rFonts w:cs="Calibri"/>
        </w:rPr>
      </w:pPr>
      <w:r w:rsidRPr="00C92A1A">
        <w:rPr>
          <w:rFonts w:cs="Calibri"/>
        </w:rPr>
        <w:t>The Fab City Full Stack Metrics Framework addresses this gap through a layered, multiscalar architecture for impact assessment. It links community interventions with city orchestration, regional coordination, bioregional limits, and planetary horizons. It also recognises that transformation cannot be understood through environmental variables alone. Environmental, social, economic, and governance effects interact continuously. Measuring one dimension in isolation risks misreading both causes and consequences.</w:t>
      </w:r>
    </w:p>
    <w:p w14:paraId="7AE1D921" w14:textId="77777777" w:rsidR="00FF439A" w:rsidRPr="00C92A1A" w:rsidRDefault="00000000" w:rsidP="00EA7067">
      <w:pPr>
        <w:pStyle w:val="Text"/>
        <w:rPr>
          <w:rFonts w:cs="Calibri"/>
        </w:rPr>
      </w:pPr>
      <w:r w:rsidRPr="00C92A1A">
        <w:rPr>
          <w:rFonts w:cs="Calibri"/>
        </w:rPr>
        <w:t>The framework therefore serves two purposes at once. It provides a conceptual architecture for understanding where impacts occur, how they are governed, and against what limits they should be evaluated. It also provides a practical basis for implementation in local institutions such as Fab Labs and Fab City hubs. The challenge is to preserve that theoretical depth while making the framework usable in conditions of limited administrative capacity, uneven data systems, and highly diverse local contexts.</w:t>
      </w:r>
    </w:p>
    <w:p w14:paraId="4553C997" w14:textId="77777777" w:rsidR="00FF439A" w:rsidRPr="00C92A1A" w:rsidRDefault="00000000" w:rsidP="00EA7067">
      <w:pPr>
        <w:pStyle w:val="Text"/>
        <w:rPr>
          <w:rFonts w:cs="Calibri"/>
        </w:rPr>
      </w:pPr>
      <w:r w:rsidRPr="00C92A1A">
        <w:rPr>
          <w:rFonts w:cs="Calibri"/>
        </w:rPr>
        <w:t>What follows develops the framework as an actionable methodology for implementation. The original theoretical scope is retained, including the distinction between impact attribution and impact aggregation, the seven Full Stack layers, the five territorial scales, and the four pillars of impact. The methodology is organised around a practical sequence that allows labs and hubs to begin with a feasible set of indicators and progressively strengthen their capacity. The result is intended to support both rigorous local implementation and greater comparability across the Fab City network.</w:t>
      </w:r>
    </w:p>
    <w:p w14:paraId="3A697069" w14:textId="77777777" w:rsidR="00FF439A" w:rsidRPr="00C92A1A" w:rsidRDefault="00000000" w:rsidP="00EA7067">
      <w:pPr>
        <w:pStyle w:val="Heading2"/>
        <w:keepLines w:val="0"/>
        <w:tabs>
          <w:tab w:val="center" w:pos="4393"/>
        </w:tabs>
        <w:spacing w:before="600" w:after="80" w:line="240" w:lineRule="auto"/>
        <w:rPr>
          <w:rFonts w:ascii="Calibri" w:eastAsia="Times New Roman" w:hAnsi="Calibri" w:cs="Calibri"/>
          <w:color w:val="auto"/>
          <w:spacing w:val="-6"/>
          <w:sz w:val="28"/>
          <w:szCs w:val="20"/>
          <w:lang w:val="en-GB" w:eastAsia="de-DE"/>
        </w:rPr>
      </w:pPr>
      <w:r w:rsidRPr="00C92A1A">
        <w:rPr>
          <w:rFonts w:ascii="Calibri" w:eastAsia="Times New Roman" w:hAnsi="Calibri" w:cs="Calibri"/>
          <w:color w:val="auto"/>
          <w:spacing w:val="-6"/>
          <w:sz w:val="28"/>
          <w:szCs w:val="20"/>
          <w:lang w:val="en-GB" w:eastAsia="de-DE"/>
        </w:rPr>
        <w:t>2 Theoretical Framework</w:t>
      </w:r>
    </w:p>
    <w:p w14:paraId="7A0A3BB7" w14:textId="77777777" w:rsidR="00FF439A" w:rsidRPr="00C92A1A" w:rsidRDefault="00000000" w:rsidP="00EA7067">
      <w:pPr>
        <w:pStyle w:val="Heading3"/>
        <w:keepLines w:val="0"/>
        <w:tabs>
          <w:tab w:val="center" w:pos="4393"/>
        </w:tabs>
        <w:spacing w:before="240" w:after="80" w:line="240" w:lineRule="auto"/>
        <w:rPr>
          <w:rFonts w:ascii="Calibri" w:eastAsia="Times New Roman" w:hAnsi="Calibri" w:cs="Calibri"/>
          <w:color w:val="auto"/>
          <w:spacing w:val="-6"/>
          <w:sz w:val="24"/>
          <w:szCs w:val="20"/>
          <w:lang w:val="en-GB" w:eastAsia="de-DE"/>
        </w:rPr>
      </w:pPr>
      <w:r w:rsidRPr="00C92A1A">
        <w:rPr>
          <w:rFonts w:ascii="Calibri" w:eastAsia="Times New Roman" w:hAnsi="Calibri" w:cs="Calibri"/>
          <w:color w:val="auto"/>
          <w:spacing w:val="-6"/>
          <w:sz w:val="24"/>
          <w:szCs w:val="20"/>
          <w:lang w:val="en-GB" w:eastAsia="de-DE"/>
        </w:rPr>
        <w:t>2.1 Multi-scalar impact measurement</w:t>
      </w:r>
    </w:p>
    <w:p w14:paraId="75A1D7EF" w14:textId="77777777" w:rsidR="00FF439A" w:rsidRPr="00C92A1A" w:rsidRDefault="00000000" w:rsidP="00EA7067">
      <w:pPr>
        <w:pStyle w:val="Text"/>
        <w:rPr>
          <w:rFonts w:cs="Calibri"/>
        </w:rPr>
      </w:pPr>
      <w:r w:rsidRPr="00C92A1A">
        <w:rPr>
          <w:rFonts w:cs="Calibri"/>
        </w:rPr>
        <w:t>Design interventions operate across multiple scales at the same time. A community Fab Lab can influence local employment, skills development, repair activity, and participation while also contributing to city-level circular economy agendas, regional material flows, bioregional ecological pressures, and long-term planetary limits. Conventional measurement approaches struggle with this condition because they tend to focus on one scale only, usually the project or the city, while neglecting the interactions and feedback loops between scales (Dor &amp; Kissinger, 2017).</w:t>
      </w:r>
    </w:p>
    <w:p w14:paraId="5CE5E0C9" w14:textId="77777777" w:rsidR="00FF439A" w:rsidRPr="00C92A1A" w:rsidRDefault="00000000" w:rsidP="00EA7067">
      <w:pPr>
        <w:pStyle w:val="Text"/>
        <w:rPr>
          <w:rFonts w:cs="Calibri"/>
        </w:rPr>
      </w:pPr>
      <w:r w:rsidRPr="00C92A1A">
        <w:rPr>
          <w:rFonts w:cs="Calibri"/>
        </w:rPr>
        <w:t>For that reason, a clear distinction between impact attribution and impact aggregation is essential. Attribution concerns effects that can be linked with reasonable confidence to a specific intervention. Aggregation concerns the cumulative performance of larger systems. A Fab Lab can credibly report how many repairs were completed, how many people were trained, or how many partnerships were activated. It cannot infer from those figures alone that a city or bioregion has become sustainable. Maintaining this distinction improves methodological rigour and protects the framework from overstated claims.</w:t>
      </w:r>
    </w:p>
    <w:p w14:paraId="79ED6DAF" w14:textId="63747CCC" w:rsidR="00FF439A" w:rsidRPr="00C92A1A" w:rsidRDefault="00000000" w:rsidP="00EA7067">
      <w:pPr>
        <w:pStyle w:val="Text"/>
        <w:rPr>
          <w:rFonts w:cs="Calibri"/>
        </w:rPr>
      </w:pPr>
      <w:r w:rsidRPr="00C92A1A">
        <w:rPr>
          <w:rFonts w:cs="Calibri"/>
        </w:rPr>
        <w:t xml:space="preserve">The importance of multi-scalar measurement is now well established in sustainability transitions research (Geels, 2002). Local interventions often succeed in isolation but remain difficult to scale, coordinate, or evaluate against wider systemic thresholds. This is particularly visible in relation to planetary boundaries, where global scientific thresholds must somehow be translated into meaningful regional and local reference conditions (Rockström et al., 2009; Steffen et al., 2015; Richardson et al., 2023). </w:t>
      </w:r>
      <w:r w:rsidR="00533387" w:rsidRPr="00C92A1A">
        <w:rPr>
          <w:rFonts w:cs="Calibri"/>
        </w:rPr>
        <w:t>This framework is compatible and complementary with the Doughnut Economics approach (Raworth, 2017; Bjørn et al., 2023), as the</w:t>
      </w:r>
      <w:r w:rsidRPr="00C92A1A">
        <w:rPr>
          <w:rFonts w:cs="Calibri"/>
        </w:rPr>
        <w:t xml:space="preserve"> </w:t>
      </w:r>
      <w:r w:rsidRPr="00C92A1A">
        <w:rPr>
          <w:rFonts w:cs="Calibri"/>
        </w:rPr>
        <w:lastRenderedPageBreak/>
        <w:t>framework responds by treating local evidence as directly measurable while using higher scales as interpretive horizons and aggregation contexts.</w:t>
      </w:r>
    </w:p>
    <w:p w14:paraId="2495DDA5" w14:textId="77777777" w:rsidR="00FF439A" w:rsidRPr="00C92A1A" w:rsidRDefault="00000000">
      <w:pPr>
        <w:pStyle w:val="Heading3"/>
        <w:spacing w:before="120" w:after="40"/>
        <w:rPr>
          <w:rFonts w:ascii="Calibri" w:hAnsi="Calibri" w:cs="Calibri"/>
        </w:rPr>
      </w:pPr>
      <w:r w:rsidRPr="00C92A1A">
        <w:rPr>
          <w:rFonts w:ascii="Calibri" w:eastAsia="Times New Roman" w:hAnsi="Calibri" w:cs="Calibri"/>
          <w:color w:val="auto"/>
          <w:spacing w:val="-6"/>
          <w:sz w:val="24"/>
          <w:szCs w:val="20"/>
          <w:lang w:val="en-GB" w:eastAsia="de-DE"/>
        </w:rPr>
        <w:t>2.2 The Fab City Full Stack as systems architecture</w:t>
      </w:r>
    </w:p>
    <w:p w14:paraId="2464BB37" w14:textId="77777777" w:rsidR="00FF439A" w:rsidRPr="00C92A1A" w:rsidRDefault="00000000" w:rsidP="00EA7067">
      <w:pPr>
        <w:pStyle w:val="Text"/>
        <w:rPr>
          <w:rFonts w:cs="Calibri"/>
        </w:rPr>
      </w:pPr>
      <w:r w:rsidRPr="00C92A1A">
        <w:rPr>
          <w:rFonts w:cs="Calibri"/>
        </w:rPr>
        <w:t>The Fab City Full Stack provides the vertical architecture of the framework (Diez et al., 2024). Its organising principle, "locally productive, globally connected," describes a model in which local production capacity is strengthened while knowledge, standards, and learning circulate through distributed networks. This means that measurement must capture not only local outputs, but also the infrastructures, institutions, ecological conditions, and knowledge exchanges that shape them.</w:t>
      </w:r>
    </w:p>
    <w:p w14:paraId="476EF044" w14:textId="77777777" w:rsidR="00FF439A" w:rsidRPr="00C92A1A" w:rsidRDefault="00000000" w:rsidP="00EA7067">
      <w:pPr>
        <w:pStyle w:val="Text"/>
        <w:rPr>
          <w:rFonts w:cs="Calibri"/>
        </w:rPr>
      </w:pPr>
      <w:r w:rsidRPr="00C92A1A">
        <w:rPr>
          <w:rFonts w:cs="Calibri"/>
        </w:rPr>
        <w:t>Seven layers organise this architecture. Layer 1 concerns enabling infrastructures for production, including Fab Labs, makerspaces, microfactories, tools, spaces, and commons. Layer 2 concerns education, training, skills development, and capability formation. Layer 3 involves value-generating projects, including entrepreneurship, social innovation, and prototyping. Layer 4 focuses on coordination between local communities, initiatives, and networks. Layer 5 concerns place-based governance, strategy, policy, and institutional design. Layer 6 connects urban systems to bioregional ecological conditions, watersheds, and resource limits (McGinnis, 1999). Layer 7 concerns global knowledge exchange, open-source sharing, standards, and collective learning.</w:t>
      </w:r>
    </w:p>
    <w:p w14:paraId="06043EE4" w14:textId="77777777" w:rsidR="00FF439A" w:rsidRPr="00C92A1A" w:rsidRDefault="00000000" w:rsidP="00EA7067">
      <w:pPr>
        <w:pStyle w:val="Text"/>
        <w:rPr>
          <w:rFonts w:cs="Calibri"/>
        </w:rPr>
      </w:pPr>
      <w:r w:rsidRPr="00C92A1A">
        <w:rPr>
          <w:rFonts w:cs="Calibri"/>
        </w:rPr>
        <w:t>From a functional perspective, the layers can be grouped into three roles. Layers 1 to 4 are operational because they are closest to direct action and measurable flows. Layer 5 is governance-oriented because it mediates, coordinates, and stabilises the conditions under which impacts can be monitored and sustained. Layers 6 and 7 are boundary and horizon layers because they define the ecological and epistemic reference conditions against which cumulative impacts must be interpreted. This distinction clarifies that metrics are not only about outputs; they are also about whether governance systems can sustain learning and whether local action aligns with broader ecological and societal limits.</w:t>
      </w:r>
    </w:p>
    <w:p w14:paraId="6BED70AA" w14:textId="77777777" w:rsidR="00FF439A" w:rsidRPr="00C92A1A" w:rsidRDefault="00000000" w:rsidP="00EA7067">
      <w:pPr>
        <w:pStyle w:val="Heading3"/>
        <w:keepLines w:val="0"/>
        <w:tabs>
          <w:tab w:val="center" w:pos="4393"/>
        </w:tabs>
        <w:spacing w:before="240" w:after="80" w:line="240" w:lineRule="auto"/>
        <w:rPr>
          <w:rFonts w:ascii="Calibri" w:eastAsia="Times New Roman" w:hAnsi="Calibri" w:cs="Calibri"/>
          <w:color w:val="auto"/>
          <w:spacing w:val="-3"/>
          <w:szCs w:val="20"/>
          <w:lang w:val="en-GB" w:eastAsia="de-DE"/>
        </w:rPr>
      </w:pPr>
      <w:r w:rsidRPr="00C92A1A">
        <w:rPr>
          <w:rFonts w:ascii="Calibri" w:eastAsia="Times New Roman" w:hAnsi="Calibri" w:cs="Calibri"/>
          <w:color w:val="auto"/>
          <w:spacing w:val="-3"/>
          <w:szCs w:val="20"/>
          <w:lang w:val="en-GB" w:eastAsia="de-DE"/>
        </w:rPr>
        <w:t>2.3 From single-dimension metrics to systemic understanding</w:t>
      </w:r>
    </w:p>
    <w:p w14:paraId="0F0820AC" w14:textId="77777777" w:rsidR="00FF439A" w:rsidRPr="00C92A1A" w:rsidRDefault="00000000" w:rsidP="00EA7067">
      <w:pPr>
        <w:pStyle w:val="Text"/>
        <w:rPr>
          <w:rFonts w:cs="Calibri"/>
        </w:rPr>
      </w:pPr>
      <w:r w:rsidRPr="00C92A1A">
        <w:rPr>
          <w:rFonts w:cs="Calibri"/>
        </w:rPr>
        <w:t>Early sustainability assessment focused mainly on environmental externalities such as pollution, emissions, and resource depletion. That was an important step beyond purely economic evaluation, but it soon became clear that environmental indicators alone could not explain why technically sound solutions failed to scale, persist, or gain legitimacy (Meadows, 2008). Economic metrics such as GDP or return on investment were equally inadequate for describing social wellbeing or ecological viability (Stiglitz et al., 2009). These limitations revealed a broader problem: impacts are relational rather than isolated.</w:t>
      </w:r>
    </w:p>
    <w:p w14:paraId="45DA2426" w14:textId="77777777" w:rsidR="00FF439A" w:rsidRPr="00C92A1A" w:rsidRDefault="00000000" w:rsidP="00EA7067">
      <w:pPr>
        <w:pStyle w:val="Text"/>
        <w:rPr>
          <w:rFonts w:cs="Calibri"/>
        </w:rPr>
      </w:pPr>
      <w:r w:rsidRPr="00C92A1A">
        <w:rPr>
          <w:rFonts w:cs="Calibri"/>
        </w:rPr>
        <w:t>Environmental outcomes depend on social behaviour, economic incentives, and institutional frameworks (Freitag et al., 2017). Governance structures determine how information is produced, used, and acted upon. Robust systems emerge when multiple feedback loops align (Meadows, 2008). The framework responds to this by structuring impact through four interdependent pillars: environmental, social, economic, and governance.</w:t>
      </w:r>
    </w:p>
    <w:p w14:paraId="5CA9B273" w14:textId="77777777" w:rsidR="00FF439A" w:rsidRPr="00C92A1A" w:rsidRDefault="00000000" w:rsidP="00EA7067">
      <w:pPr>
        <w:pStyle w:val="Text"/>
        <w:rPr>
          <w:rFonts w:cs="Calibri"/>
        </w:rPr>
      </w:pPr>
      <w:r w:rsidRPr="00C92A1A">
        <w:rPr>
          <w:rFonts w:cs="Calibri"/>
        </w:rPr>
        <w:t>This systems perspective also implies a mixed-method approach. Material Flow Analysis, Life Cycle Assessment, carbon accounting, and urban metabolism are necessary for tracking resource use and environmental burdens (Chester et al., 2012; ISO, 2006; Kalmykova &amp; Rosado, 2015; Lucertini &amp; Musco, 2020). Yet quantitative indicators alone are not sufficient. Governance capacity, participation, legitimacy, and knowledge exchange require qualitative and participatory metrics as well (Bucci Ancapi, 2023). The integration of these methods helps avoid burden shifting between scales and sectors and keeps the framework analytically coherent.</w:t>
      </w:r>
    </w:p>
    <w:p w14:paraId="752FCE26" w14:textId="77777777" w:rsidR="00FF439A" w:rsidRPr="00C92A1A" w:rsidRDefault="00000000" w:rsidP="00EA7067">
      <w:pPr>
        <w:pStyle w:val="Heading3"/>
        <w:keepLines w:val="0"/>
        <w:tabs>
          <w:tab w:val="center" w:pos="4393"/>
        </w:tabs>
        <w:spacing w:before="240" w:after="80" w:line="240" w:lineRule="auto"/>
        <w:rPr>
          <w:rFonts w:ascii="Calibri" w:hAnsi="Calibri" w:cs="Calibri"/>
        </w:rPr>
      </w:pPr>
      <w:r w:rsidRPr="00C92A1A">
        <w:rPr>
          <w:rFonts w:ascii="Calibri" w:eastAsia="Times New Roman" w:hAnsi="Calibri" w:cs="Calibri"/>
          <w:color w:val="auto"/>
          <w:spacing w:val="-3"/>
          <w:szCs w:val="20"/>
          <w:lang w:val="en-GB" w:eastAsia="de-DE"/>
        </w:rPr>
        <w:lastRenderedPageBreak/>
        <w:t>2.4 Territorial scales and reference horizons</w:t>
      </w:r>
    </w:p>
    <w:p w14:paraId="460488FB" w14:textId="713800BF" w:rsidR="00FF439A" w:rsidRPr="00C92A1A" w:rsidRDefault="00000000" w:rsidP="00EA7067">
      <w:pPr>
        <w:pStyle w:val="Text"/>
        <w:rPr>
          <w:rFonts w:cs="Calibri"/>
        </w:rPr>
      </w:pPr>
      <w:r w:rsidRPr="00C92A1A">
        <w:rPr>
          <w:rFonts w:cs="Calibri"/>
        </w:rPr>
        <w:t xml:space="preserve">Five territorial </w:t>
      </w:r>
      <w:r w:rsidR="005A27F6" w:rsidRPr="00C92A1A">
        <w:rPr>
          <w:rFonts w:cs="Calibri"/>
        </w:rPr>
        <w:t>scale’s</w:t>
      </w:r>
      <w:r w:rsidRPr="00C92A1A">
        <w:rPr>
          <w:rFonts w:cs="Calibri"/>
        </w:rPr>
        <w:t xml:space="preserve"> structure the spatial logic of the framework</w:t>
      </w:r>
      <w:r w:rsidR="008409A0" w:rsidRPr="00C92A1A">
        <w:rPr>
          <w:rFonts w:cs="Calibri"/>
        </w:rPr>
        <w:t xml:space="preserve">: </w:t>
      </w:r>
      <w:r w:rsidRPr="00C92A1A">
        <w:rPr>
          <w:rFonts w:cs="Calibri"/>
        </w:rPr>
        <w:t>community, city, region, bioregion, and planet. The community scale is the primary site of implementation, where attribution is strongest and where place attachment, participation, repair, and skills development become visible. The city scale is the primary administrative and orchestration level for infrastructure, services, and public policy. The regional scale aligns policies, supply chains, workforce systems, and inter-municipal coordination. The bioregional scale is defined by ecological and metabolic systems rather than administrative borders, including watersheds, ecosystems, and biodiversity corridors (Jonas et al., 2014; McGinnis, 1999). The planetary scale provides the widest horizon through Earth-system thresholds and planetary boundaries (Richardson et al., 2023; Rockström et al., 2009; Steffen et al., 2015</w:t>
      </w:r>
      <w:proofErr w:type="gramStart"/>
      <w:r w:rsidRPr="00C92A1A">
        <w:rPr>
          <w:rFonts w:cs="Calibri"/>
        </w:rPr>
        <w:t>), and</w:t>
      </w:r>
      <w:proofErr w:type="gramEnd"/>
      <w:r w:rsidRPr="00C92A1A">
        <w:rPr>
          <w:rFonts w:cs="Calibri"/>
        </w:rPr>
        <w:t xml:space="preserve"> also functions as a space of global knowledge exchange.</w:t>
      </w:r>
    </w:p>
    <w:p w14:paraId="3707E4B8" w14:textId="480D4955" w:rsidR="00FF439A" w:rsidRPr="00C92A1A" w:rsidRDefault="00000000" w:rsidP="00EA7067">
      <w:pPr>
        <w:pStyle w:val="Text"/>
        <w:rPr>
          <w:rFonts w:cs="Calibri"/>
        </w:rPr>
      </w:pPr>
      <w:r w:rsidRPr="00C92A1A">
        <w:rPr>
          <w:rFonts w:cs="Calibri"/>
        </w:rPr>
        <w:t xml:space="preserve">This architecture </w:t>
      </w:r>
      <w:r w:rsidR="008409A0" w:rsidRPr="00C92A1A">
        <w:rPr>
          <w:rFonts w:cs="Calibri"/>
        </w:rPr>
        <w:t xml:space="preserve">(Table 1) </w:t>
      </w:r>
      <w:r w:rsidRPr="00C92A1A">
        <w:rPr>
          <w:rFonts w:cs="Calibri"/>
        </w:rPr>
        <w:t xml:space="preserve">avoids two common errors: </w:t>
      </w:r>
      <w:proofErr w:type="gramStart"/>
      <w:r w:rsidRPr="00C92A1A">
        <w:rPr>
          <w:rFonts w:cs="Calibri"/>
        </w:rPr>
        <w:t>assuming that</w:t>
      </w:r>
      <w:proofErr w:type="gramEnd"/>
      <w:r w:rsidRPr="00C92A1A">
        <w:rPr>
          <w:rFonts w:cs="Calibri"/>
        </w:rPr>
        <w:t xml:space="preserve"> local efficiency automatically translates into global </w:t>
      </w:r>
      <w:r w:rsidR="00C92A1A" w:rsidRPr="00C92A1A">
        <w:rPr>
          <w:rFonts w:cs="Calibri"/>
        </w:rPr>
        <w:t>sustainability and</w:t>
      </w:r>
      <w:r w:rsidRPr="00C92A1A">
        <w:rPr>
          <w:rFonts w:cs="Calibri"/>
        </w:rPr>
        <w:t xml:space="preserve"> attempting to measure planetary or cultural change using indicators that are only meaningful at local scale.</w:t>
      </w:r>
    </w:p>
    <w:p w14:paraId="2CFFEBD7" w14:textId="6BA1BA66" w:rsidR="00EA7067" w:rsidRPr="00C92A1A" w:rsidRDefault="00000000" w:rsidP="00EA7067">
      <w:pPr>
        <w:pStyle w:val="Text"/>
        <w:rPr>
          <w:rFonts w:cs="Calibri"/>
        </w:rPr>
      </w:pPr>
      <w:r w:rsidRPr="00C92A1A">
        <w:rPr>
          <w:rFonts w:cs="Calibri"/>
        </w:rPr>
        <w:t>This multiscalar architecture is further enriched by the concept of planetary computation (Vivanco, 2025). Planetary computation, understood here as regenerative planetary computing, proposes that design can function as a situated feedback practice: materials, data, and local knowledge are woven together through distributed innovation to generate solutions that remain compatible with planetary limits while being deeply embedded in specific territories and cultures. Rather than centralising computation in remote platforms, this approach begins with hyperlocal observation of ecosystems, communities, and material flows</w:t>
      </w:r>
      <w:r w:rsidR="008409A0" w:rsidRPr="00C92A1A">
        <w:rPr>
          <w:rFonts w:cs="Calibri"/>
        </w:rPr>
        <w:t xml:space="preserve">; </w:t>
      </w:r>
      <w:r w:rsidRPr="00C92A1A">
        <w:rPr>
          <w:rFonts w:cs="Calibri"/>
        </w:rPr>
        <w:t>and connects outward through the Full Stack layers, transforming local evidence into globally readable, collectively governed knowledge. In this sense, the planetary scale is not only a horizon of biophysical limits but an active infrastructure of distributed learning and design.</w:t>
      </w:r>
    </w:p>
    <w:p w14:paraId="1B0B8647" w14:textId="3678C2C2" w:rsidR="00FF439A" w:rsidRPr="00C92A1A" w:rsidRDefault="00000000" w:rsidP="00EA7067">
      <w:pPr>
        <w:pStyle w:val="Caption"/>
        <w:keepNext/>
        <w:keepLines/>
        <w:spacing w:before="240" w:after="240"/>
        <w:jc w:val="center"/>
        <w:rPr>
          <w:rFonts w:ascii="Calibri" w:eastAsia="Times New Roman" w:hAnsi="Calibri" w:cs="Calibri"/>
          <w:b w:val="0"/>
          <w:bCs w:val="0"/>
          <w:color w:val="auto"/>
          <w:spacing w:val="-3"/>
          <w:sz w:val="22"/>
          <w:szCs w:val="20"/>
          <w:lang w:val="en-GB" w:eastAsia="de-DE"/>
        </w:rPr>
      </w:pPr>
      <w:r w:rsidRPr="00C92A1A">
        <w:rPr>
          <w:rFonts w:ascii="Calibri" w:eastAsia="Times New Roman" w:hAnsi="Calibri" w:cs="Calibri"/>
          <w:color w:val="auto"/>
          <w:spacing w:val="-3"/>
          <w:sz w:val="22"/>
          <w:szCs w:val="20"/>
          <w:lang w:val="en-GB" w:eastAsia="de-DE"/>
        </w:rPr>
        <w:t>Table 1</w:t>
      </w:r>
      <w:r w:rsidRPr="00C92A1A">
        <w:rPr>
          <w:rFonts w:ascii="Calibri" w:eastAsia="Times New Roman" w:hAnsi="Calibri" w:cs="Calibri"/>
          <w:b w:val="0"/>
          <w:bCs w:val="0"/>
          <w:color w:val="auto"/>
          <w:spacing w:val="-3"/>
          <w:sz w:val="22"/>
          <w:szCs w:val="20"/>
          <w:lang w:val="en-GB" w:eastAsia="de-DE"/>
        </w:rPr>
        <w:t xml:space="preserve">. </w:t>
      </w:r>
      <w:r w:rsidR="00993DD4" w:rsidRPr="00C92A1A">
        <w:rPr>
          <w:rFonts w:ascii="Calibri" w:eastAsia="Times New Roman" w:hAnsi="Calibri" w:cs="Calibri"/>
          <w:b w:val="0"/>
          <w:bCs w:val="0"/>
          <w:color w:val="auto"/>
          <w:spacing w:val="-3"/>
          <w:sz w:val="22"/>
          <w:szCs w:val="20"/>
          <w:lang w:val="en-GB" w:eastAsia="de-DE"/>
        </w:rPr>
        <w:t>Metri</w:t>
      </w:r>
      <w:r w:rsidR="008409A0" w:rsidRPr="00C92A1A">
        <w:rPr>
          <w:rFonts w:ascii="Calibri" w:eastAsia="Times New Roman" w:hAnsi="Calibri" w:cs="Calibri"/>
          <w:b w:val="0"/>
          <w:bCs w:val="0"/>
          <w:color w:val="auto"/>
          <w:spacing w:val="-3"/>
          <w:sz w:val="22"/>
          <w:szCs w:val="20"/>
          <w:lang w:val="en-GB" w:eastAsia="de-DE"/>
        </w:rPr>
        <w:t>c</w:t>
      </w:r>
      <w:r w:rsidR="00993DD4" w:rsidRPr="00C92A1A">
        <w:rPr>
          <w:rFonts w:ascii="Calibri" w:eastAsia="Times New Roman" w:hAnsi="Calibri" w:cs="Calibri"/>
          <w:b w:val="0"/>
          <w:bCs w:val="0"/>
          <w:color w:val="auto"/>
          <w:spacing w:val="-3"/>
          <w:sz w:val="22"/>
          <w:szCs w:val="20"/>
          <w:lang w:val="en-GB" w:eastAsia="de-DE"/>
        </w:rPr>
        <w:t>s Matrix: Pillars, t</w:t>
      </w:r>
      <w:r w:rsidRPr="00C92A1A">
        <w:rPr>
          <w:rFonts w:ascii="Calibri" w:eastAsia="Times New Roman" w:hAnsi="Calibri" w:cs="Calibri"/>
          <w:b w:val="0"/>
          <w:bCs w:val="0"/>
          <w:color w:val="auto"/>
          <w:spacing w:val="-3"/>
          <w:sz w:val="22"/>
          <w:szCs w:val="20"/>
          <w:lang w:val="en-GB" w:eastAsia="de-DE"/>
        </w:rPr>
        <w:t>erritorial scales, functional roles, and relationships</w:t>
      </w:r>
    </w:p>
    <w:tbl>
      <w:tblPr>
        <w:tblStyle w:val="TableGrid"/>
        <w:tblW w:w="10031" w:type="dxa"/>
        <w:tblLayout w:type="fixed"/>
        <w:tblLook w:val="04A0" w:firstRow="1" w:lastRow="0" w:firstColumn="1" w:lastColumn="0" w:noHBand="0" w:noVBand="1"/>
      </w:tblPr>
      <w:tblGrid>
        <w:gridCol w:w="959"/>
        <w:gridCol w:w="1984"/>
        <w:gridCol w:w="1701"/>
        <w:gridCol w:w="1843"/>
        <w:gridCol w:w="1844"/>
        <w:gridCol w:w="1700"/>
      </w:tblGrid>
      <w:tr w:rsidR="00993DD4" w:rsidRPr="00C92A1A" w14:paraId="1DB82D40" w14:textId="77777777" w:rsidTr="002F75A7">
        <w:tc>
          <w:tcPr>
            <w:tcW w:w="959" w:type="dxa"/>
          </w:tcPr>
          <w:p w14:paraId="4E8F69EE" w14:textId="547C6834" w:rsidR="00993DD4" w:rsidRPr="00C92A1A" w:rsidRDefault="00993DD4" w:rsidP="00993DD4">
            <w:pPr>
              <w:pStyle w:val="NoSpacing"/>
              <w:rPr>
                <w:rFonts w:asciiTheme="majorHAnsi" w:hAnsiTheme="majorHAnsi" w:cstheme="majorHAnsi"/>
                <w:b/>
                <w:bCs/>
                <w:sz w:val="20"/>
                <w:szCs w:val="20"/>
              </w:rPr>
            </w:pPr>
            <w:r w:rsidRPr="00C92A1A">
              <w:rPr>
                <w:rFonts w:asciiTheme="majorHAnsi" w:hAnsiTheme="majorHAnsi" w:cstheme="majorHAnsi"/>
                <w:b/>
                <w:bCs/>
                <w:sz w:val="20"/>
                <w:szCs w:val="20"/>
              </w:rPr>
              <w:t>PILLARS/ SCALES</w:t>
            </w:r>
          </w:p>
        </w:tc>
        <w:tc>
          <w:tcPr>
            <w:tcW w:w="1984" w:type="dxa"/>
          </w:tcPr>
          <w:p w14:paraId="6EDFB25D" w14:textId="77777777" w:rsidR="00993DD4" w:rsidRPr="00C92A1A" w:rsidRDefault="00993DD4" w:rsidP="00993DD4">
            <w:pPr>
              <w:pStyle w:val="NoSpacing"/>
              <w:rPr>
                <w:rFonts w:asciiTheme="majorHAnsi" w:hAnsiTheme="majorHAnsi" w:cstheme="majorHAnsi"/>
                <w:b/>
                <w:bCs/>
                <w:sz w:val="20"/>
                <w:szCs w:val="20"/>
              </w:rPr>
            </w:pPr>
            <w:r w:rsidRPr="00C92A1A">
              <w:rPr>
                <w:rFonts w:asciiTheme="majorHAnsi" w:hAnsiTheme="majorHAnsi" w:cstheme="majorHAnsi"/>
                <w:b/>
                <w:bCs/>
                <w:sz w:val="20"/>
                <w:szCs w:val="20"/>
              </w:rPr>
              <w:t>COMMUNITY</w:t>
            </w:r>
          </w:p>
        </w:tc>
        <w:tc>
          <w:tcPr>
            <w:tcW w:w="1701" w:type="dxa"/>
          </w:tcPr>
          <w:p w14:paraId="16CA9100" w14:textId="77777777" w:rsidR="00993DD4" w:rsidRPr="00C92A1A" w:rsidRDefault="00993DD4" w:rsidP="00993DD4">
            <w:pPr>
              <w:pStyle w:val="NoSpacing"/>
              <w:rPr>
                <w:rFonts w:asciiTheme="majorHAnsi" w:hAnsiTheme="majorHAnsi" w:cstheme="majorHAnsi"/>
                <w:b/>
                <w:bCs/>
                <w:sz w:val="20"/>
                <w:szCs w:val="20"/>
              </w:rPr>
            </w:pPr>
            <w:r w:rsidRPr="00C92A1A">
              <w:rPr>
                <w:rFonts w:asciiTheme="majorHAnsi" w:hAnsiTheme="majorHAnsi" w:cstheme="majorHAnsi"/>
                <w:b/>
                <w:bCs/>
                <w:sz w:val="20"/>
                <w:szCs w:val="20"/>
              </w:rPr>
              <w:t>CITY</w:t>
            </w:r>
          </w:p>
        </w:tc>
        <w:tc>
          <w:tcPr>
            <w:tcW w:w="1843" w:type="dxa"/>
          </w:tcPr>
          <w:p w14:paraId="7429602C" w14:textId="77777777" w:rsidR="00993DD4" w:rsidRPr="00C92A1A" w:rsidRDefault="00993DD4" w:rsidP="00993DD4">
            <w:pPr>
              <w:pStyle w:val="NoSpacing"/>
              <w:rPr>
                <w:rFonts w:asciiTheme="majorHAnsi" w:hAnsiTheme="majorHAnsi" w:cstheme="majorHAnsi"/>
                <w:b/>
                <w:bCs/>
                <w:sz w:val="20"/>
                <w:szCs w:val="20"/>
              </w:rPr>
            </w:pPr>
            <w:r w:rsidRPr="00C92A1A">
              <w:rPr>
                <w:rFonts w:asciiTheme="majorHAnsi" w:hAnsiTheme="majorHAnsi" w:cstheme="majorHAnsi"/>
                <w:b/>
                <w:bCs/>
                <w:sz w:val="20"/>
                <w:szCs w:val="20"/>
              </w:rPr>
              <w:t>REGION</w:t>
            </w:r>
          </w:p>
        </w:tc>
        <w:tc>
          <w:tcPr>
            <w:tcW w:w="1844" w:type="dxa"/>
          </w:tcPr>
          <w:p w14:paraId="725B7A82" w14:textId="77777777" w:rsidR="00993DD4" w:rsidRPr="00C92A1A" w:rsidRDefault="00993DD4" w:rsidP="00993DD4">
            <w:pPr>
              <w:pStyle w:val="NoSpacing"/>
              <w:rPr>
                <w:rFonts w:asciiTheme="majorHAnsi" w:hAnsiTheme="majorHAnsi" w:cstheme="majorHAnsi"/>
                <w:b/>
                <w:bCs/>
                <w:sz w:val="20"/>
                <w:szCs w:val="20"/>
              </w:rPr>
            </w:pPr>
            <w:r w:rsidRPr="00C92A1A">
              <w:rPr>
                <w:rFonts w:asciiTheme="majorHAnsi" w:hAnsiTheme="majorHAnsi" w:cstheme="majorHAnsi"/>
                <w:b/>
                <w:bCs/>
                <w:sz w:val="20"/>
                <w:szCs w:val="20"/>
              </w:rPr>
              <w:t>BIOREGION</w:t>
            </w:r>
          </w:p>
        </w:tc>
        <w:tc>
          <w:tcPr>
            <w:tcW w:w="1700" w:type="dxa"/>
          </w:tcPr>
          <w:p w14:paraId="3A77B71A" w14:textId="77777777" w:rsidR="00993DD4" w:rsidRPr="00C92A1A" w:rsidRDefault="00993DD4" w:rsidP="00993DD4">
            <w:pPr>
              <w:pStyle w:val="NoSpacing"/>
              <w:rPr>
                <w:rFonts w:asciiTheme="majorHAnsi" w:hAnsiTheme="majorHAnsi" w:cstheme="majorHAnsi"/>
                <w:b/>
                <w:bCs/>
                <w:sz w:val="20"/>
                <w:szCs w:val="20"/>
              </w:rPr>
            </w:pPr>
            <w:r w:rsidRPr="00C92A1A">
              <w:rPr>
                <w:rFonts w:asciiTheme="majorHAnsi" w:hAnsiTheme="majorHAnsi" w:cstheme="majorHAnsi"/>
                <w:b/>
                <w:bCs/>
                <w:sz w:val="20"/>
                <w:szCs w:val="20"/>
              </w:rPr>
              <w:t>PLANET</w:t>
            </w:r>
          </w:p>
        </w:tc>
      </w:tr>
      <w:tr w:rsidR="00993DD4" w:rsidRPr="00C92A1A" w14:paraId="00BCE353" w14:textId="77777777" w:rsidTr="002F75A7">
        <w:trPr>
          <w:trHeight w:val="2400"/>
        </w:trPr>
        <w:tc>
          <w:tcPr>
            <w:tcW w:w="959" w:type="dxa"/>
          </w:tcPr>
          <w:p w14:paraId="3DACAAB2"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noProof/>
                <w:sz w:val="20"/>
                <w:szCs w:val="20"/>
              </w:rPr>
              <mc:AlternateContent>
                <mc:Choice Requires="wps">
                  <w:drawing>
                    <wp:anchor distT="0" distB="0" distL="114300" distR="114300" simplePos="0" relativeHeight="251659264" behindDoc="0" locked="0" layoutInCell="1" allowOverlap="1" wp14:anchorId="5BCFD8CE" wp14:editId="09865994">
                      <wp:simplePos x="0" y="0"/>
                      <wp:positionH relativeFrom="column">
                        <wp:posOffset>0</wp:posOffset>
                      </wp:positionH>
                      <wp:positionV relativeFrom="paragraph">
                        <wp:posOffset>679107</wp:posOffset>
                      </wp:positionV>
                      <wp:extent cx="1828800" cy="1828800"/>
                      <wp:effectExtent l="0" t="0" r="0" b="0"/>
                      <wp:wrapSquare wrapText="bothSides"/>
                      <wp:docPr id="1092560290" name="Text Box 1"/>
                      <wp:cNvGraphicFramePr/>
                      <a:graphic xmlns:a="http://schemas.openxmlformats.org/drawingml/2006/main">
                        <a:graphicData uri="http://schemas.microsoft.com/office/word/2010/wordprocessingShape">
                          <wps:wsp>
                            <wps:cNvSpPr txBox="1"/>
                            <wps:spPr>
                              <a:xfrm rot="10800000">
                                <a:off x="0" y="0"/>
                                <a:ext cx="1828800" cy="1828800"/>
                              </a:xfrm>
                              <a:prstGeom prst="rect">
                                <a:avLst/>
                              </a:prstGeom>
                              <a:noFill/>
                              <a:ln w="6350">
                                <a:noFill/>
                              </a:ln>
                            </wps:spPr>
                            <wps:txbx>
                              <w:txbxContent>
                                <w:p w14:paraId="4B39DCD1" w14:textId="77777777" w:rsidR="00993DD4" w:rsidRPr="00402662" w:rsidRDefault="00993DD4" w:rsidP="00993DD4">
                                  <w:pPr>
                                    <w:pStyle w:val="NoSpacing"/>
                                    <w:ind w:right="-81"/>
                                    <w:rPr>
                                      <w:rFonts w:asciiTheme="majorHAnsi" w:hAnsiTheme="majorHAnsi" w:cstheme="majorHAnsi"/>
                                      <w:b/>
                                      <w:bCs/>
                                      <w:sz w:val="18"/>
                                      <w:szCs w:val="18"/>
                                    </w:rPr>
                                  </w:pPr>
                                  <w:r w:rsidRPr="00402662">
                                    <w:rPr>
                                      <w:rFonts w:asciiTheme="majorHAnsi" w:hAnsiTheme="majorHAnsi" w:cstheme="majorHAnsi"/>
                                      <w:b/>
                                      <w:bCs/>
                                      <w:sz w:val="18"/>
                                      <w:szCs w:val="18"/>
                                    </w:rPr>
                                    <w:t>ENVIRONMENTAL</w:t>
                                  </w:r>
                                </w:p>
                              </w:txbxContent>
                            </wps:txbx>
                            <wps:bodyPr rot="0" spcFirstLastPara="0" vertOverflow="overflow" horzOverflow="overflow" vert="eaVert"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BCFD8CE" id="_x0000_t202" coordsize="21600,21600" o:spt="202" path="m,l,21600r21600,l21600,xe">
                      <v:stroke joinstyle="miter"/>
                      <v:path gradientshapeok="t" o:connecttype="rect"/>
                    </v:shapetype>
                    <v:shape id="Text Box 1" o:spid="_x0000_s1026" type="#_x0000_t202" style="position:absolute;margin-left:0;margin-top:53.45pt;width:2in;height:2in;rotation:180;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" filled="f" stroked="f" strokeweight=".5pt">
                      <v:textbox style="layout-flow:vertical-ideographic;mso-fit-shape-to-text:t">
                        <w:txbxContent>
                          <w:p w14:paraId="4B39DCD1" w14:textId="77777777" w:rsidR="00993DD4" w:rsidRPr="00402662" w:rsidRDefault="00993DD4" w:rsidP="00993DD4">
                            <w:pPr>
                              <w:pStyle w:val="NoSpacing"/>
                              <w:ind w:right="-81"/>
                              <w:rPr>
                                <w:rFonts w:asciiTheme="majorHAnsi" w:hAnsiTheme="majorHAnsi" w:cstheme="majorHAnsi"/>
                                <w:b/>
                                <w:bCs/>
                                <w:sz w:val="18"/>
                                <w:szCs w:val="18"/>
                              </w:rPr>
                            </w:pPr>
                            <w:r w:rsidRPr="00402662">
                              <w:rPr>
                                <w:rFonts w:asciiTheme="majorHAnsi" w:hAnsiTheme="majorHAnsi" w:cstheme="majorHAnsi"/>
                                <w:b/>
                                <w:bCs/>
                                <w:sz w:val="18"/>
                                <w:szCs w:val="18"/>
                              </w:rPr>
                              <w:t>ENVIRONMENTAL</w:t>
                            </w:r>
                          </w:p>
                        </w:txbxContent>
                      </v:textbox>
                      <w10:wrap type="square"/>
                    </v:shape>
                  </w:pict>
                </mc:Fallback>
              </mc:AlternateContent>
            </w:r>
          </w:p>
        </w:tc>
        <w:tc>
          <w:tcPr>
            <w:tcW w:w="1984" w:type="dxa"/>
          </w:tcPr>
          <w:p w14:paraId="241D3C38"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Operational</w:t>
            </w:r>
          </w:p>
          <w:p w14:paraId="109BE3BF" w14:textId="77777777" w:rsidR="00993DD4" w:rsidRPr="00C92A1A" w:rsidRDefault="00993DD4" w:rsidP="00993DD4">
            <w:pPr>
              <w:pStyle w:val="NoSpacing"/>
              <w:rPr>
                <w:rFonts w:asciiTheme="majorHAnsi" w:hAnsiTheme="majorHAnsi" w:cstheme="majorHAnsi"/>
                <w:sz w:val="20"/>
                <w:szCs w:val="20"/>
              </w:rPr>
            </w:pPr>
          </w:p>
          <w:p w14:paraId="477CE117"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Local material and energy practices, repair, reuse, local pollution.</w:t>
            </w:r>
          </w:p>
          <w:p w14:paraId="1CD40CDE" w14:textId="77777777" w:rsidR="00993DD4" w:rsidRPr="00C92A1A" w:rsidRDefault="00993DD4" w:rsidP="00993DD4">
            <w:pPr>
              <w:pStyle w:val="NoSpacing"/>
              <w:rPr>
                <w:rFonts w:asciiTheme="majorHAnsi" w:hAnsiTheme="majorHAnsi" w:cstheme="majorHAnsi"/>
                <w:sz w:val="20"/>
                <w:szCs w:val="20"/>
              </w:rPr>
            </w:pPr>
          </w:p>
          <w:p w14:paraId="0DFE6E81"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Bottom-up evidence on environmental practices feeding city agendas.</w:t>
            </w:r>
          </w:p>
        </w:tc>
        <w:tc>
          <w:tcPr>
            <w:tcW w:w="1701" w:type="dxa"/>
          </w:tcPr>
          <w:p w14:paraId="74E1F3C5"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Governance</w:t>
            </w:r>
          </w:p>
          <w:p w14:paraId="1B51D384" w14:textId="77777777" w:rsidR="00993DD4" w:rsidRPr="00C92A1A" w:rsidRDefault="00993DD4" w:rsidP="00993DD4">
            <w:pPr>
              <w:pStyle w:val="NoSpacing"/>
              <w:rPr>
                <w:rFonts w:asciiTheme="majorHAnsi" w:hAnsiTheme="majorHAnsi" w:cstheme="majorHAnsi"/>
                <w:sz w:val="20"/>
                <w:szCs w:val="20"/>
              </w:rPr>
            </w:pPr>
          </w:p>
          <w:p w14:paraId="2D2C27AD"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Urban environmental policy, sectoral measurement, infrastructure coordination.</w:t>
            </w:r>
          </w:p>
          <w:p w14:paraId="11FADE95" w14:textId="77777777" w:rsidR="00993DD4" w:rsidRPr="00C92A1A" w:rsidRDefault="00993DD4" w:rsidP="00993DD4">
            <w:pPr>
              <w:pStyle w:val="NoSpacing"/>
              <w:rPr>
                <w:rFonts w:asciiTheme="majorHAnsi" w:hAnsiTheme="majorHAnsi" w:cstheme="majorHAnsi"/>
                <w:sz w:val="20"/>
                <w:szCs w:val="20"/>
              </w:rPr>
            </w:pPr>
          </w:p>
          <w:p w14:paraId="6039BF96"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Aggregates community environmental data and aligns with city strategies.</w:t>
            </w:r>
          </w:p>
        </w:tc>
        <w:tc>
          <w:tcPr>
            <w:tcW w:w="1843" w:type="dxa"/>
          </w:tcPr>
          <w:p w14:paraId="2277C5F2"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Governance</w:t>
            </w:r>
          </w:p>
          <w:p w14:paraId="67F19055" w14:textId="77777777" w:rsidR="00993DD4" w:rsidRPr="00C92A1A" w:rsidRDefault="00993DD4" w:rsidP="00993DD4">
            <w:pPr>
              <w:pStyle w:val="NoSpacing"/>
              <w:rPr>
                <w:rFonts w:asciiTheme="majorHAnsi" w:hAnsiTheme="majorHAnsi" w:cstheme="majorHAnsi"/>
                <w:sz w:val="20"/>
                <w:szCs w:val="20"/>
              </w:rPr>
            </w:pPr>
          </w:p>
          <w:p w14:paraId="393AE84B"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Regional environmental coordination, shared infrastructure: waste, energy, mobility.</w:t>
            </w:r>
          </w:p>
          <w:p w14:paraId="23EE4FCD" w14:textId="77777777" w:rsidR="00993DD4" w:rsidRPr="00C92A1A" w:rsidRDefault="00993DD4" w:rsidP="00993DD4">
            <w:pPr>
              <w:pStyle w:val="NoSpacing"/>
              <w:rPr>
                <w:rFonts w:asciiTheme="majorHAnsi" w:hAnsiTheme="majorHAnsi" w:cstheme="majorHAnsi"/>
                <w:sz w:val="20"/>
                <w:szCs w:val="20"/>
              </w:rPr>
            </w:pPr>
          </w:p>
          <w:p w14:paraId="08783B0D"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Links cities’ environmental performance and interfaces with bioregions.</w:t>
            </w:r>
          </w:p>
        </w:tc>
        <w:tc>
          <w:tcPr>
            <w:tcW w:w="1844" w:type="dxa"/>
          </w:tcPr>
          <w:p w14:paraId="077E1175"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Boundary</w:t>
            </w:r>
          </w:p>
          <w:p w14:paraId="0A705DAB" w14:textId="77777777" w:rsidR="00993DD4" w:rsidRPr="00C92A1A" w:rsidRDefault="00993DD4" w:rsidP="00993DD4">
            <w:pPr>
              <w:pStyle w:val="NoSpacing"/>
              <w:rPr>
                <w:rFonts w:asciiTheme="majorHAnsi" w:hAnsiTheme="majorHAnsi" w:cstheme="majorHAnsi"/>
                <w:sz w:val="20"/>
                <w:szCs w:val="20"/>
              </w:rPr>
            </w:pPr>
          </w:p>
          <w:p w14:paraId="13C62A63"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Ecosystem services, biophysical capacity, watershed and land use.</w:t>
            </w:r>
          </w:p>
          <w:p w14:paraId="3454D375" w14:textId="77777777" w:rsidR="00993DD4" w:rsidRPr="00C92A1A" w:rsidRDefault="00993DD4" w:rsidP="00993DD4">
            <w:pPr>
              <w:pStyle w:val="NoSpacing"/>
              <w:rPr>
                <w:rFonts w:asciiTheme="majorHAnsi" w:hAnsiTheme="majorHAnsi" w:cstheme="majorHAnsi"/>
                <w:sz w:val="20"/>
                <w:szCs w:val="20"/>
              </w:rPr>
            </w:pPr>
          </w:p>
          <w:p w14:paraId="354111E3"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Defines ecological limits and regenerative potential.</w:t>
            </w:r>
          </w:p>
        </w:tc>
        <w:tc>
          <w:tcPr>
            <w:tcW w:w="1700" w:type="dxa"/>
          </w:tcPr>
          <w:p w14:paraId="1C57F7E6"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Boundary and operational</w:t>
            </w:r>
          </w:p>
          <w:p w14:paraId="75CE0280" w14:textId="77777777" w:rsidR="00993DD4" w:rsidRPr="00C92A1A" w:rsidRDefault="00993DD4" w:rsidP="00993DD4">
            <w:pPr>
              <w:pStyle w:val="NoSpacing"/>
              <w:rPr>
                <w:rFonts w:asciiTheme="majorHAnsi" w:hAnsiTheme="majorHAnsi" w:cstheme="majorHAnsi"/>
                <w:sz w:val="20"/>
                <w:szCs w:val="20"/>
              </w:rPr>
            </w:pPr>
          </w:p>
          <w:p w14:paraId="7B42E16E"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Planetary material and emissions budgets, knowledge sharing, standards.</w:t>
            </w:r>
          </w:p>
          <w:p w14:paraId="4FCF3F9B" w14:textId="77777777" w:rsidR="00993DD4" w:rsidRPr="00C92A1A" w:rsidRDefault="00993DD4" w:rsidP="00993DD4">
            <w:pPr>
              <w:pStyle w:val="NoSpacing"/>
              <w:rPr>
                <w:rFonts w:asciiTheme="majorHAnsi" w:hAnsiTheme="majorHAnsi" w:cstheme="majorHAnsi"/>
                <w:sz w:val="20"/>
                <w:szCs w:val="20"/>
              </w:rPr>
            </w:pPr>
          </w:p>
          <w:p w14:paraId="5CC806E2"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Sets macro constraints and thresholds for lower scales.</w:t>
            </w:r>
          </w:p>
        </w:tc>
      </w:tr>
      <w:tr w:rsidR="00993DD4" w:rsidRPr="00C92A1A" w14:paraId="1CCDC225" w14:textId="77777777" w:rsidTr="002F75A7">
        <w:trPr>
          <w:trHeight w:val="2400"/>
        </w:trPr>
        <w:tc>
          <w:tcPr>
            <w:tcW w:w="959" w:type="dxa"/>
          </w:tcPr>
          <w:p w14:paraId="696984BF"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noProof/>
                <w:sz w:val="20"/>
                <w:szCs w:val="20"/>
              </w:rPr>
              <w:lastRenderedPageBreak/>
              <mc:AlternateContent>
                <mc:Choice Requires="wps">
                  <w:drawing>
                    <wp:anchor distT="0" distB="0" distL="114300" distR="114300" simplePos="0" relativeHeight="251660288" behindDoc="0" locked="0" layoutInCell="1" allowOverlap="1" wp14:anchorId="2A8231AE" wp14:editId="70864FCE">
                      <wp:simplePos x="0" y="0"/>
                      <wp:positionH relativeFrom="column">
                        <wp:posOffset>1</wp:posOffset>
                      </wp:positionH>
                      <wp:positionV relativeFrom="paragraph">
                        <wp:posOffset>734696</wp:posOffset>
                      </wp:positionV>
                      <wp:extent cx="1828800" cy="1828800"/>
                      <wp:effectExtent l="0" t="0" r="0" b="0"/>
                      <wp:wrapSquare wrapText="bothSides"/>
                      <wp:docPr id="376615656" name="Text Box 1"/>
                      <wp:cNvGraphicFramePr/>
                      <a:graphic xmlns:a="http://schemas.openxmlformats.org/drawingml/2006/main">
                        <a:graphicData uri="http://schemas.microsoft.com/office/word/2010/wordprocessingShape">
                          <wps:wsp>
                            <wps:cNvSpPr txBox="1"/>
                            <wps:spPr>
                              <a:xfrm rot="10800000">
                                <a:off x="0" y="0"/>
                                <a:ext cx="1828800" cy="1828800"/>
                              </a:xfrm>
                              <a:prstGeom prst="rect">
                                <a:avLst/>
                              </a:prstGeom>
                              <a:noFill/>
                              <a:ln w="6350">
                                <a:noFill/>
                              </a:ln>
                            </wps:spPr>
                            <wps:txbx>
                              <w:txbxContent>
                                <w:p w14:paraId="05D91A8B" w14:textId="77777777" w:rsidR="00993DD4" w:rsidRPr="00402662" w:rsidRDefault="00993DD4" w:rsidP="00993DD4">
                                  <w:pPr>
                                    <w:pStyle w:val="NoSpacing"/>
                                    <w:ind w:right="-81"/>
                                    <w:rPr>
                                      <w:rFonts w:asciiTheme="majorHAnsi" w:hAnsiTheme="majorHAnsi" w:cstheme="majorHAnsi"/>
                                      <w:b/>
                                      <w:bCs/>
                                      <w:sz w:val="18"/>
                                      <w:szCs w:val="18"/>
                                    </w:rPr>
                                  </w:pPr>
                                  <w:r w:rsidRPr="00402662">
                                    <w:rPr>
                                      <w:rFonts w:asciiTheme="majorHAnsi" w:hAnsiTheme="majorHAnsi" w:cstheme="majorHAnsi"/>
                                      <w:b/>
                                      <w:bCs/>
                                      <w:sz w:val="18"/>
                                      <w:szCs w:val="18"/>
                                    </w:rPr>
                                    <w:t>SOCIAL</w:t>
                                  </w:r>
                                </w:p>
                              </w:txbxContent>
                            </wps:txbx>
                            <wps:bodyPr rot="0" spcFirstLastPara="0" vertOverflow="overflow" horzOverflow="overflow" vert="eaVert"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A8231AE" id="_x0000_s1027" type="#_x0000_t202" style="position:absolute;margin-left:0;margin-top:57.85pt;width:2in;height:2in;rotation:180;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" filled="f" stroked="f" strokeweight=".5pt">
                      <v:textbox style="layout-flow:vertical-ideographic;mso-fit-shape-to-text:t">
                        <w:txbxContent>
                          <w:p w14:paraId="05D91A8B" w14:textId="77777777" w:rsidR="00993DD4" w:rsidRPr="00402662" w:rsidRDefault="00993DD4" w:rsidP="00993DD4">
                            <w:pPr>
                              <w:pStyle w:val="NoSpacing"/>
                              <w:ind w:right="-81"/>
                              <w:rPr>
                                <w:rFonts w:asciiTheme="majorHAnsi" w:hAnsiTheme="majorHAnsi" w:cstheme="majorHAnsi"/>
                                <w:b/>
                                <w:bCs/>
                                <w:sz w:val="18"/>
                                <w:szCs w:val="18"/>
                              </w:rPr>
                            </w:pPr>
                            <w:r w:rsidRPr="00402662">
                              <w:rPr>
                                <w:rFonts w:asciiTheme="majorHAnsi" w:hAnsiTheme="majorHAnsi" w:cstheme="majorHAnsi"/>
                                <w:b/>
                                <w:bCs/>
                                <w:sz w:val="18"/>
                                <w:szCs w:val="18"/>
                              </w:rPr>
                              <w:t>SOCIAL</w:t>
                            </w:r>
                          </w:p>
                        </w:txbxContent>
                      </v:textbox>
                      <w10:wrap type="square"/>
                    </v:shape>
                  </w:pict>
                </mc:Fallback>
              </mc:AlternateContent>
            </w:r>
          </w:p>
        </w:tc>
        <w:tc>
          <w:tcPr>
            <w:tcW w:w="1984" w:type="dxa"/>
          </w:tcPr>
          <w:p w14:paraId="101689ED"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Operational</w:t>
            </w:r>
          </w:p>
          <w:p w14:paraId="4BB615AD" w14:textId="77777777" w:rsidR="00993DD4" w:rsidRPr="00C92A1A" w:rsidRDefault="00993DD4" w:rsidP="00993DD4">
            <w:pPr>
              <w:pStyle w:val="NoSpacing"/>
              <w:rPr>
                <w:rFonts w:asciiTheme="majorHAnsi" w:hAnsiTheme="majorHAnsi" w:cstheme="majorHAnsi"/>
                <w:sz w:val="20"/>
                <w:szCs w:val="20"/>
              </w:rPr>
            </w:pPr>
          </w:p>
          <w:p w14:paraId="236A59C1"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Measure health, equity, cohesion, culture, education, and participation via local practice.</w:t>
            </w:r>
          </w:p>
          <w:p w14:paraId="4201F4AA" w14:textId="77777777" w:rsidR="00993DD4" w:rsidRPr="00C92A1A" w:rsidRDefault="00993DD4" w:rsidP="00993DD4">
            <w:pPr>
              <w:pStyle w:val="NoSpacing"/>
              <w:rPr>
                <w:rFonts w:asciiTheme="majorHAnsi" w:hAnsiTheme="majorHAnsi" w:cstheme="majorHAnsi"/>
                <w:sz w:val="20"/>
                <w:szCs w:val="20"/>
              </w:rPr>
            </w:pPr>
          </w:p>
          <w:p w14:paraId="6013F665"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Bottom-up social signals informing city planning and community empowerment.</w:t>
            </w:r>
          </w:p>
        </w:tc>
        <w:tc>
          <w:tcPr>
            <w:tcW w:w="1701" w:type="dxa"/>
          </w:tcPr>
          <w:p w14:paraId="78E07C52"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Governance</w:t>
            </w:r>
          </w:p>
          <w:p w14:paraId="570E4AC0" w14:textId="77777777" w:rsidR="00993DD4" w:rsidRPr="00C92A1A" w:rsidRDefault="00993DD4" w:rsidP="00993DD4">
            <w:pPr>
              <w:pStyle w:val="NoSpacing"/>
              <w:rPr>
                <w:rFonts w:asciiTheme="majorHAnsi" w:hAnsiTheme="majorHAnsi" w:cstheme="majorHAnsi"/>
                <w:sz w:val="20"/>
                <w:szCs w:val="20"/>
              </w:rPr>
            </w:pPr>
          </w:p>
          <w:p w14:paraId="5A56966B"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Deploy social policies, public services, and sectoral social indicators.</w:t>
            </w:r>
          </w:p>
          <w:p w14:paraId="46D56B93" w14:textId="77777777" w:rsidR="00993DD4" w:rsidRPr="00C92A1A" w:rsidRDefault="00993DD4" w:rsidP="00993DD4">
            <w:pPr>
              <w:pStyle w:val="NoSpacing"/>
              <w:rPr>
                <w:rFonts w:asciiTheme="majorHAnsi" w:hAnsiTheme="majorHAnsi" w:cstheme="majorHAnsi"/>
                <w:sz w:val="20"/>
                <w:szCs w:val="20"/>
              </w:rPr>
            </w:pPr>
          </w:p>
          <w:p w14:paraId="048CC50A"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Aggregates community social data and aligns with city strategies.</w:t>
            </w:r>
          </w:p>
        </w:tc>
        <w:tc>
          <w:tcPr>
            <w:tcW w:w="1843" w:type="dxa"/>
          </w:tcPr>
          <w:p w14:paraId="276FD3EC"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Governance</w:t>
            </w:r>
          </w:p>
          <w:p w14:paraId="0821BC8F" w14:textId="77777777" w:rsidR="00993DD4" w:rsidRPr="00C92A1A" w:rsidRDefault="00993DD4" w:rsidP="00993DD4">
            <w:pPr>
              <w:pStyle w:val="NoSpacing"/>
              <w:rPr>
                <w:rFonts w:asciiTheme="majorHAnsi" w:hAnsiTheme="majorHAnsi" w:cstheme="majorHAnsi"/>
                <w:sz w:val="20"/>
                <w:szCs w:val="20"/>
              </w:rPr>
            </w:pPr>
          </w:p>
          <w:p w14:paraId="114B79CB"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Coordinate social policy, redistribution, workforce, and education systems.</w:t>
            </w:r>
          </w:p>
          <w:p w14:paraId="178C0AEF" w14:textId="77777777" w:rsidR="00993DD4" w:rsidRPr="00C92A1A" w:rsidRDefault="00993DD4" w:rsidP="00993DD4">
            <w:pPr>
              <w:pStyle w:val="NoSpacing"/>
              <w:rPr>
                <w:rFonts w:asciiTheme="majorHAnsi" w:hAnsiTheme="majorHAnsi" w:cstheme="majorHAnsi"/>
                <w:sz w:val="20"/>
                <w:szCs w:val="20"/>
              </w:rPr>
            </w:pPr>
          </w:p>
          <w:p w14:paraId="728C306A"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Links cities’ social outcomes and mediates national-local frameworks.</w:t>
            </w:r>
          </w:p>
        </w:tc>
        <w:tc>
          <w:tcPr>
            <w:tcW w:w="1844" w:type="dxa"/>
          </w:tcPr>
          <w:p w14:paraId="072A3830"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Boundary/context</w:t>
            </w:r>
          </w:p>
          <w:p w14:paraId="79BA4FA4" w14:textId="77777777" w:rsidR="00993DD4" w:rsidRPr="00C92A1A" w:rsidRDefault="00993DD4" w:rsidP="00993DD4">
            <w:pPr>
              <w:pStyle w:val="NoSpacing"/>
              <w:rPr>
                <w:rFonts w:asciiTheme="majorHAnsi" w:hAnsiTheme="majorHAnsi" w:cstheme="majorHAnsi"/>
                <w:sz w:val="20"/>
                <w:szCs w:val="20"/>
              </w:rPr>
            </w:pPr>
          </w:p>
          <w:p w14:paraId="7B8E4E58"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Situate social wellbeing and livelihoods within ecological contexts.</w:t>
            </w:r>
          </w:p>
          <w:p w14:paraId="1D608B45" w14:textId="77777777" w:rsidR="00993DD4" w:rsidRPr="00C92A1A" w:rsidRDefault="00993DD4" w:rsidP="00993DD4">
            <w:pPr>
              <w:pStyle w:val="NoSpacing"/>
              <w:rPr>
                <w:rFonts w:asciiTheme="majorHAnsi" w:hAnsiTheme="majorHAnsi" w:cstheme="majorHAnsi"/>
                <w:sz w:val="20"/>
                <w:szCs w:val="20"/>
              </w:rPr>
            </w:pPr>
          </w:p>
          <w:p w14:paraId="1BCB8EF1"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Frames social practices in relation to bioregional ecosystems.</w:t>
            </w:r>
          </w:p>
        </w:tc>
        <w:tc>
          <w:tcPr>
            <w:tcW w:w="1700" w:type="dxa"/>
          </w:tcPr>
          <w:p w14:paraId="6B3761DB"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Boundary and horizon</w:t>
            </w:r>
          </w:p>
          <w:p w14:paraId="46B1F223" w14:textId="77777777" w:rsidR="00993DD4" w:rsidRPr="00C92A1A" w:rsidRDefault="00993DD4" w:rsidP="00993DD4">
            <w:pPr>
              <w:pStyle w:val="NoSpacing"/>
              <w:rPr>
                <w:rFonts w:asciiTheme="majorHAnsi" w:hAnsiTheme="majorHAnsi" w:cstheme="majorHAnsi"/>
                <w:sz w:val="20"/>
                <w:szCs w:val="20"/>
              </w:rPr>
            </w:pPr>
          </w:p>
          <w:p w14:paraId="33A311FD"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Provide global reference debates on justice and social thresholds.</w:t>
            </w:r>
          </w:p>
          <w:p w14:paraId="11F5F89F" w14:textId="77777777" w:rsidR="00993DD4" w:rsidRPr="00C92A1A" w:rsidRDefault="00993DD4" w:rsidP="00993DD4">
            <w:pPr>
              <w:pStyle w:val="NoSpacing"/>
              <w:rPr>
                <w:rFonts w:asciiTheme="majorHAnsi" w:hAnsiTheme="majorHAnsi" w:cstheme="majorHAnsi"/>
                <w:sz w:val="20"/>
                <w:szCs w:val="20"/>
              </w:rPr>
            </w:pPr>
          </w:p>
          <w:p w14:paraId="244F99D8"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Situates local and regional social metrics in global debates.</w:t>
            </w:r>
          </w:p>
        </w:tc>
      </w:tr>
      <w:tr w:rsidR="00993DD4" w:rsidRPr="00C92A1A" w14:paraId="23111955" w14:textId="77777777" w:rsidTr="002F75A7">
        <w:trPr>
          <w:trHeight w:val="2400"/>
        </w:trPr>
        <w:tc>
          <w:tcPr>
            <w:tcW w:w="959" w:type="dxa"/>
          </w:tcPr>
          <w:p w14:paraId="1C9DD4A5"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noProof/>
                <w:sz w:val="20"/>
                <w:szCs w:val="20"/>
              </w:rPr>
              <mc:AlternateContent>
                <mc:Choice Requires="wps">
                  <w:drawing>
                    <wp:anchor distT="0" distB="0" distL="114300" distR="114300" simplePos="0" relativeHeight="251661312" behindDoc="0" locked="0" layoutInCell="1" allowOverlap="1" wp14:anchorId="4CF73432" wp14:editId="29432DC7">
                      <wp:simplePos x="0" y="0"/>
                      <wp:positionH relativeFrom="column">
                        <wp:posOffset>1</wp:posOffset>
                      </wp:positionH>
                      <wp:positionV relativeFrom="paragraph">
                        <wp:posOffset>925881</wp:posOffset>
                      </wp:positionV>
                      <wp:extent cx="1828800" cy="1828800"/>
                      <wp:effectExtent l="0" t="0" r="0" b="0"/>
                      <wp:wrapSquare wrapText="bothSides"/>
                      <wp:docPr id="1743535762" name="Text Box 1"/>
                      <wp:cNvGraphicFramePr/>
                      <a:graphic xmlns:a="http://schemas.openxmlformats.org/drawingml/2006/main">
                        <a:graphicData uri="http://schemas.microsoft.com/office/word/2010/wordprocessingShape">
                          <wps:wsp>
                            <wps:cNvSpPr txBox="1"/>
                            <wps:spPr>
                              <a:xfrm rot="10800000">
                                <a:off x="0" y="0"/>
                                <a:ext cx="1828800" cy="1828800"/>
                              </a:xfrm>
                              <a:prstGeom prst="rect">
                                <a:avLst/>
                              </a:prstGeom>
                              <a:noFill/>
                              <a:ln w="6350">
                                <a:noFill/>
                              </a:ln>
                            </wps:spPr>
                            <wps:txbx>
                              <w:txbxContent>
                                <w:p w14:paraId="74DBE716" w14:textId="77777777" w:rsidR="00993DD4" w:rsidRPr="00402662" w:rsidRDefault="00993DD4" w:rsidP="00993DD4">
                                  <w:pPr>
                                    <w:pStyle w:val="NoSpacing"/>
                                    <w:ind w:right="-81"/>
                                    <w:rPr>
                                      <w:rFonts w:asciiTheme="majorHAnsi" w:hAnsiTheme="majorHAnsi" w:cstheme="majorHAnsi"/>
                                      <w:b/>
                                      <w:bCs/>
                                      <w:sz w:val="18"/>
                                      <w:szCs w:val="18"/>
                                    </w:rPr>
                                  </w:pPr>
                                  <w:r w:rsidRPr="00402662">
                                    <w:rPr>
                                      <w:rFonts w:asciiTheme="majorHAnsi" w:hAnsiTheme="majorHAnsi" w:cstheme="majorHAnsi"/>
                                      <w:b/>
                                      <w:bCs/>
                                      <w:sz w:val="18"/>
                                      <w:szCs w:val="18"/>
                                    </w:rPr>
                                    <w:t>ECONOMIC</w:t>
                                  </w:r>
                                </w:p>
                              </w:txbxContent>
                            </wps:txbx>
                            <wps:bodyPr rot="0" spcFirstLastPara="0" vertOverflow="overflow" horzOverflow="overflow" vert="eaVert"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F73432" id="_x0000_s1028" type="#_x0000_t202" style="position:absolute;margin-left:0;margin-top:72.9pt;width:2in;height:2in;rotation:180;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" filled="f" stroked="f" strokeweight=".5pt">
                      <v:textbox style="layout-flow:vertical-ideographic;mso-fit-shape-to-text:t">
                        <w:txbxContent>
                          <w:p w14:paraId="74DBE716" w14:textId="77777777" w:rsidR="00993DD4" w:rsidRPr="00402662" w:rsidRDefault="00993DD4" w:rsidP="00993DD4">
                            <w:pPr>
                              <w:pStyle w:val="NoSpacing"/>
                              <w:ind w:right="-81"/>
                              <w:rPr>
                                <w:rFonts w:asciiTheme="majorHAnsi" w:hAnsiTheme="majorHAnsi" w:cstheme="majorHAnsi"/>
                                <w:b/>
                                <w:bCs/>
                                <w:sz w:val="18"/>
                                <w:szCs w:val="18"/>
                              </w:rPr>
                            </w:pPr>
                            <w:r w:rsidRPr="00402662">
                              <w:rPr>
                                <w:rFonts w:asciiTheme="majorHAnsi" w:hAnsiTheme="majorHAnsi" w:cstheme="majorHAnsi"/>
                                <w:b/>
                                <w:bCs/>
                                <w:sz w:val="18"/>
                                <w:szCs w:val="18"/>
                              </w:rPr>
                              <w:t>ECONOMIC</w:t>
                            </w:r>
                          </w:p>
                        </w:txbxContent>
                      </v:textbox>
                      <w10:wrap type="square"/>
                    </v:shape>
                  </w:pict>
                </mc:Fallback>
              </mc:AlternateContent>
            </w:r>
          </w:p>
        </w:tc>
        <w:tc>
          <w:tcPr>
            <w:tcW w:w="1984" w:type="dxa"/>
          </w:tcPr>
          <w:p w14:paraId="6DF37131"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Operational</w:t>
            </w:r>
          </w:p>
          <w:p w14:paraId="2F4A47EF" w14:textId="77777777" w:rsidR="00993DD4" w:rsidRPr="00C92A1A" w:rsidRDefault="00993DD4" w:rsidP="00993DD4">
            <w:pPr>
              <w:pStyle w:val="NoSpacing"/>
              <w:rPr>
                <w:rFonts w:asciiTheme="majorHAnsi" w:hAnsiTheme="majorHAnsi" w:cstheme="majorHAnsi"/>
                <w:sz w:val="20"/>
                <w:szCs w:val="20"/>
              </w:rPr>
            </w:pPr>
          </w:p>
          <w:p w14:paraId="4FB65B4A"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Measure local value creation, circular value retention, livelihoods, and small enterprises.</w:t>
            </w:r>
          </w:p>
          <w:p w14:paraId="21D8F9F4" w14:textId="77777777" w:rsidR="00993DD4" w:rsidRPr="00C92A1A" w:rsidRDefault="00993DD4" w:rsidP="00993DD4">
            <w:pPr>
              <w:pStyle w:val="NoSpacing"/>
              <w:rPr>
                <w:rFonts w:asciiTheme="majorHAnsi" w:hAnsiTheme="majorHAnsi" w:cstheme="majorHAnsi"/>
                <w:sz w:val="20"/>
                <w:szCs w:val="20"/>
              </w:rPr>
            </w:pPr>
          </w:p>
          <w:p w14:paraId="1BF9D7D7"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Bottom-up economic activity informing city circular and distributed strategies.</w:t>
            </w:r>
          </w:p>
        </w:tc>
        <w:tc>
          <w:tcPr>
            <w:tcW w:w="1701" w:type="dxa"/>
          </w:tcPr>
          <w:p w14:paraId="5ADA108C"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Governance</w:t>
            </w:r>
          </w:p>
          <w:p w14:paraId="7AB9A299" w14:textId="77777777" w:rsidR="00993DD4" w:rsidRPr="00C92A1A" w:rsidRDefault="00993DD4" w:rsidP="00993DD4">
            <w:pPr>
              <w:pStyle w:val="NoSpacing"/>
              <w:rPr>
                <w:rFonts w:asciiTheme="majorHAnsi" w:hAnsiTheme="majorHAnsi" w:cstheme="majorHAnsi"/>
                <w:sz w:val="20"/>
                <w:szCs w:val="20"/>
              </w:rPr>
            </w:pPr>
          </w:p>
          <w:p w14:paraId="3E9FBC52"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Orchestrate economic development, procurement, infrastructure, and investment.</w:t>
            </w:r>
          </w:p>
          <w:p w14:paraId="11086F7B" w14:textId="77777777" w:rsidR="00993DD4" w:rsidRPr="00C92A1A" w:rsidRDefault="00993DD4" w:rsidP="00993DD4">
            <w:pPr>
              <w:pStyle w:val="NoSpacing"/>
              <w:rPr>
                <w:rFonts w:asciiTheme="majorHAnsi" w:hAnsiTheme="majorHAnsi" w:cstheme="majorHAnsi"/>
                <w:sz w:val="20"/>
                <w:szCs w:val="20"/>
              </w:rPr>
            </w:pPr>
          </w:p>
          <w:p w14:paraId="0BA9856C"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Aggregates community economic performance and links to regional strategies.</w:t>
            </w:r>
          </w:p>
        </w:tc>
        <w:tc>
          <w:tcPr>
            <w:tcW w:w="1843" w:type="dxa"/>
          </w:tcPr>
          <w:p w14:paraId="01703B82"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Governance</w:t>
            </w:r>
          </w:p>
          <w:p w14:paraId="49A79157" w14:textId="77777777" w:rsidR="00993DD4" w:rsidRPr="00C92A1A" w:rsidRDefault="00993DD4" w:rsidP="00993DD4">
            <w:pPr>
              <w:pStyle w:val="NoSpacing"/>
              <w:rPr>
                <w:rFonts w:asciiTheme="majorHAnsi" w:hAnsiTheme="majorHAnsi" w:cstheme="majorHAnsi"/>
                <w:sz w:val="20"/>
                <w:szCs w:val="20"/>
              </w:rPr>
            </w:pPr>
          </w:p>
          <w:p w14:paraId="3C7F8967"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Coordinate regional economy, supply chains, workforce, and innovation ecosystems.</w:t>
            </w:r>
          </w:p>
          <w:p w14:paraId="03C70EB6" w14:textId="77777777" w:rsidR="00993DD4" w:rsidRPr="00C92A1A" w:rsidRDefault="00993DD4" w:rsidP="00993DD4">
            <w:pPr>
              <w:pStyle w:val="NoSpacing"/>
              <w:rPr>
                <w:rFonts w:asciiTheme="majorHAnsi" w:hAnsiTheme="majorHAnsi" w:cstheme="majorHAnsi"/>
                <w:sz w:val="20"/>
                <w:szCs w:val="20"/>
              </w:rPr>
            </w:pPr>
          </w:p>
          <w:p w14:paraId="068C0AE0"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Links city economies and interfaces with bioregional resource flows.</w:t>
            </w:r>
          </w:p>
        </w:tc>
        <w:tc>
          <w:tcPr>
            <w:tcW w:w="1844" w:type="dxa"/>
          </w:tcPr>
          <w:p w14:paraId="4589F40A"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Boundary</w:t>
            </w:r>
          </w:p>
          <w:p w14:paraId="5863F41B" w14:textId="77777777" w:rsidR="00993DD4" w:rsidRPr="00C92A1A" w:rsidRDefault="00993DD4" w:rsidP="00993DD4">
            <w:pPr>
              <w:pStyle w:val="NoSpacing"/>
              <w:rPr>
                <w:rFonts w:asciiTheme="majorHAnsi" w:hAnsiTheme="majorHAnsi" w:cstheme="majorHAnsi"/>
                <w:sz w:val="20"/>
                <w:szCs w:val="20"/>
              </w:rPr>
            </w:pPr>
          </w:p>
          <w:p w14:paraId="0D988CCC"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Define resource availability and regenerative potential for circular industries.</w:t>
            </w:r>
          </w:p>
          <w:p w14:paraId="305E318C" w14:textId="77777777" w:rsidR="00993DD4" w:rsidRPr="00C92A1A" w:rsidRDefault="00993DD4" w:rsidP="00993DD4">
            <w:pPr>
              <w:pStyle w:val="NoSpacing"/>
              <w:rPr>
                <w:rFonts w:asciiTheme="majorHAnsi" w:hAnsiTheme="majorHAnsi" w:cstheme="majorHAnsi"/>
                <w:sz w:val="20"/>
                <w:szCs w:val="20"/>
              </w:rPr>
            </w:pPr>
          </w:p>
          <w:p w14:paraId="289F8D9F"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Provides ecological and resource boundaries for city and regional economic strategies.</w:t>
            </w:r>
          </w:p>
        </w:tc>
        <w:tc>
          <w:tcPr>
            <w:tcW w:w="1700" w:type="dxa"/>
          </w:tcPr>
          <w:p w14:paraId="0C08C45D"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Boundary and horizon</w:t>
            </w:r>
          </w:p>
          <w:p w14:paraId="4761CEB8" w14:textId="77777777" w:rsidR="00993DD4" w:rsidRPr="00C92A1A" w:rsidRDefault="00993DD4" w:rsidP="00993DD4">
            <w:pPr>
              <w:pStyle w:val="NoSpacing"/>
              <w:rPr>
                <w:rFonts w:asciiTheme="majorHAnsi" w:hAnsiTheme="majorHAnsi" w:cstheme="majorHAnsi"/>
                <w:sz w:val="20"/>
                <w:szCs w:val="20"/>
              </w:rPr>
            </w:pPr>
          </w:p>
          <w:p w14:paraId="0E4445C2"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Situate economic performance against global carbon, material, and ecological budgets.</w:t>
            </w:r>
          </w:p>
          <w:p w14:paraId="6C34DFF1" w14:textId="77777777" w:rsidR="00993DD4" w:rsidRPr="00C92A1A" w:rsidRDefault="00993DD4" w:rsidP="00993DD4">
            <w:pPr>
              <w:pStyle w:val="NoSpacing"/>
              <w:rPr>
                <w:rFonts w:asciiTheme="majorHAnsi" w:hAnsiTheme="majorHAnsi" w:cstheme="majorHAnsi"/>
                <w:sz w:val="20"/>
                <w:szCs w:val="20"/>
              </w:rPr>
            </w:pPr>
          </w:p>
          <w:p w14:paraId="438010CB"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Provides macro interpretive context for aggregated economic activity.</w:t>
            </w:r>
          </w:p>
        </w:tc>
      </w:tr>
      <w:tr w:rsidR="00993DD4" w:rsidRPr="00C92A1A" w14:paraId="1734B351" w14:textId="77777777" w:rsidTr="002F75A7">
        <w:trPr>
          <w:trHeight w:val="2400"/>
        </w:trPr>
        <w:tc>
          <w:tcPr>
            <w:tcW w:w="959" w:type="dxa"/>
          </w:tcPr>
          <w:p w14:paraId="6205A6B2"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noProof/>
                <w:sz w:val="20"/>
                <w:szCs w:val="20"/>
              </w:rPr>
              <mc:AlternateContent>
                <mc:Choice Requires="wps">
                  <w:drawing>
                    <wp:anchor distT="0" distB="0" distL="114300" distR="114300" simplePos="0" relativeHeight="251662336" behindDoc="0" locked="0" layoutInCell="1" allowOverlap="1" wp14:anchorId="32EB594D" wp14:editId="7B098D17">
                      <wp:simplePos x="0" y="0"/>
                      <wp:positionH relativeFrom="column">
                        <wp:posOffset>0</wp:posOffset>
                      </wp:positionH>
                      <wp:positionV relativeFrom="paragraph">
                        <wp:posOffset>803018</wp:posOffset>
                      </wp:positionV>
                      <wp:extent cx="1828800" cy="1828800"/>
                      <wp:effectExtent l="0" t="0" r="0" b="0"/>
                      <wp:wrapSquare wrapText="bothSides"/>
                      <wp:docPr id="1768260572" name="Text Box 1"/>
                      <wp:cNvGraphicFramePr/>
                      <a:graphic xmlns:a="http://schemas.openxmlformats.org/drawingml/2006/main">
                        <a:graphicData uri="http://schemas.microsoft.com/office/word/2010/wordprocessingShape">
                          <wps:wsp>
                            <wps:cNvSpPr txBox="1"/>
                            <wps:spPr>
                              <a:xfrm rot="10800000">
                                <a:off x="0" y="0"/>
                                <a:ext cx="1828800" cy="1828800"/>
                              </a:xfrm>
                              <a:prstGeom prst="rect">
                                <a:avLst/>
                              </a:prstGeom>
                              <a:noFill/>
                              <a:ln w="6350">
                                <a:noFill/>
                              </a:ln>
                            </wps:spPr>
                            <wps:txbx>
                              <w:txbxContent>
                                <w:p w14:paraId="333D37B8" w14:textId="77777777" w:rsidR="00993DD4" w:rsidRPr="00402662" w:rsidRDefault="00993DD4" w:rsidP="00993DD4">
                                  <w:pPr>
                                    <w:pStyle w:val="NoSpacing"/>
                                    <w:ind w:right="-81"/>
                                    <w:rPr>
                                      <w:rFonts w:asciiTheme="majorHAnsi" w:hAnsiTheme="majorHAnsi" w:cstheme="majorHAnsi"/>
                                      <w:b/>
                                      <w:bCs/>
                                      <w:sz w:val="18"/>
                                      <w:szCs w:val="18"/>
                                    </w:rPr>
                                  </w:pPr>
                                  <w:r w:rsidRPr="00402662">
                                    <w:rPr>
                                      <w:rFonts w:asciiTheme="majorHAnsi" w:hAnsiTheme="majorHAnsi" w:cstheme="majorHAnsi"/>
                                      <w:b/>
                                      <w:bCs/>
                                      <w:sz w:val="18"/>
                                      <w:szCs w:val="18"/>
                                    </w:rPr>
                                    <w:t>GOVERNANCE</w:t>
                                  </w:r>
                                </w:p>
                              </w:txbxContent>
                            </wps:txbx>
                            <wps:bodyPr rot="0" spcFirstLastPara="0" vertOverflow="overflow" horzOverflow="overflow" vert="eaVert"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EB594D" id="_x0000_s1029" type="#_x0000_t202" style="position:absolute;margin-left:0;margin-top:63.25pt;width:2in;height:2in;rotation:180;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" filled="f" stroked="f" strokeweight=".5pt">
                      <v:textbox style="layout-flow:vertical-ideographic;mso-fit-shape-to-text:t">
                        <w:txbxContent>
                          <w:p w14:paraId="333D37B8" w14:textId="77777777" w:rsidR="00993DD4" w:rsidRPr="00402662" w:rsidRDefault="00993DD4" w:rsidP="00993DD4">
                            <w:pPr>
                              <w:pStyle w:val="NoSpacing"/>
                              <w:ind w:right="-81"/>
                              <w:rPr>
                                <w:rFonts w:asciiTheme="majorHAnsi" w:hAnsiTheme="majorHAnsi" w:cstheme="majorHAnsi"/>
                                <w:b/>
                                <w:bCs/>
                                <w:sz w:val="18"/>
                                <w:szCs w:val="18"/>
                              </w:rPr>
                            </w:pPr>
                            <w:r w:rsidRPr="00402662">
                              <w:rPr>
                                <w:rFonts w:asciiTheme="majorHAnsi" w:hAnsiTheme="majorHAnsi" w:cstheme="majorHAnsi"/>
                                <w:b/>
                                <w:bCs/>
                                <w:sz w:val="18"/>
                                <w:szCs w:val="18"/>
                              </w:rPr>
                              <w:t>GOVERNANCE</w:t>
                            </w:r>
                          </w:p>
                        </w:txbxContent>
                      </v:textbox>
                      <w10:wrap type="square"/>
                    </v:shape>
                  </w:pict>
                </mc:Fallback>
              </mc:AlternateContent>
            </w:r>
          </w:p>
        </w:tc>
        <w:tc>
          <w:tcPr>
            <w:tcW w:w="1984" w:type="dxa"/>
          </w:tcPr>
          <w:p w14:paraId="0DD8EC2F"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Operational/local participatory governance</w:t>
            </w:r>
          </w:p>
          <w:p w14:paraId="55E981AB" w14:textId="77777777" w:rsidR="00993DD4" w:rsidRPr="00C92A1A" w:rsidRDefault="00993DD4" w:rsidP="00993DD4">
            <w:pPr>
              <w:pStyle w:val="NoSpacing"/>
              <w:rPr>
                <w:rFonts w:asciiTheme="majorHAnsi" w:hAnsiTheme="majorHAnsi" w:cstheme="majorHAnsi"/>
                <w:sz w:val="20"/>
                <w:szCs w:val="20"/>
              </w:rPr>
            </w:pPr>
          </w:p>
          <w:p w14:paraId="7A20589B"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Capture local participation, legitimacy, and community rules.</w:t>
            </w:r>
          </w:p>
          <w:p w14:paraId="45F42A32" w14:textId="77777777" w:rsidR="00993DD4" w:rsidRPr="00C92A1A" w:rsidRDefault="00993DD4" w:rsidP="00993DD4">
            <w:pPr>
              <w:pStyle w:val="NoSpacing"/>
              <w:rPr>
                <w:rFonts w:asciiTheme="majorHAnsi" w:hAnsiTheme="majorHAnsi" w:cstheme="majorHAnsi"/>
                <w:sz w:val="20"/>
                <w:szCs w:val="20"/>
              </w:rPr>
            </w:pPr>
          </w:p>
          <w:p w14:paraId="43038B9E"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Community governance feeds city priorities and indicator legitimacy.</w:t>
            </w:r>
          </w:p>
        </w:tc>
        <w:tc>
          <w:tcPr>
            <w:tcW w:w="1701" w:type="dxa"/>
          </w:tcPr>
          <w:p w14:paraId="7A1002DD"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Governance/core scale</w:t>
            </w:r>
          </w:p>
          <w:p w14:paraId="534AC9A7" w14:textId="77777777" w:rsidR="00993DD4" w:rsidRPr="00C92A1A" w:rsidRDefault="00993DD4" w:rsidP="00993DD4">
            <w:pPr>
              <w:pStyle w:val="NoSpacing"/>
              <w:rPr>
                <w:rFonts w:asciiTheme="majorHAnsi" w:hAnsiTheme="majorHAnsi" w:cstheme="majorHAnsi"/>
                <w:sz w:val="20"/>
                <w:szCs w:val="20"/>
              </w:rPr>
            </w:pPr>
          </w:p>
          <w:p w14:paraId="7726DEC3"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Coordinate policy, institutional capacity, transparency, and cross-sector collaboration.</w:t>
            </w:r>
          </w:p>
          <w:p w14:paraId="293CC98A" w14:textId="77777777" w:rsidR="00993DD4" w:rsidRPr="00C92A1A" w:rsidRDefault="00993DD4" w:rsidP="00993DD4">
            <w:pPr>
              <w:pStyle w:val="NoSpacing"/>
              <w:rPr>
                <w:rFonts w:asciiTheme="majorHAnsi" w:hAnsiTheme="majorHAnsi" w:cstheme="majorHAnsi"/>
                <w:sz w:val="20"/>
                <w:szCs w:val="20"/>
              </w:rPr>
            </w:pPr>
          </w:p>
          <w:p w14:paraId="1C0C7FC9"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Orchestrates community, regional, and sectoral actions; aggregates data.</w:t>
            </w:r>
          </w:p>
        </w:tc>
        <w:tc>
          <w:tcPr>
            <w:tcW w:w="1843" w:type="dxa"/>
          </w:tcPr>
          <w:p w14:paraId="268F14E4"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Governance</w:t>
            </w:r>
          </w:p>
          <w:p w14:paraId="5A21449F" w14:textId="77777777" w:rsidR="00993DD4" w:rsidRPr="00C92A1A" w:rsidRDefault="00993DD4" w:rsidP="00993DD4">
            <w:pPr>
              <w:pStyle w:val="NoSpacing"/>
              <w:rPr>
                <w:rFonts w:asciiTheme="majorHAnsi" w:hAnsiTheme="majorHAnsi" w:cstheme="majorHAnsi"/>
                <w:sz w:val="20"/>
                <w:szCs w:val="20"/>
              </w:rPr>
            </w:pPr>
          </w:p>
          <w:p w14:paraId="495260C7"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Align policies, standards, inter-municipal systems, and data protocols.</w:t>
            </w:r>
          </w:p>
          <w:p w14:paraId="78578409" w14:textId="77777777" w:rsidR="00993DD4" w:rsidRPr="00C92A1A" w:rsidRDefault="00993DD4" w:rsidP="00993DD4">
            <w:pPr>
              <w:pStyle w:val="NoSpacing"/>
              <w:rPr>
                <w:rFonts w:asciiTheme="majorHAnsi" w:hAnsiTheme="majorHAnsi" w:cstheme="majorHAnsi"/>
                <w:sz w:val="20"/>
                <w:szCs w:val="20"/>
              </w:rPr>
            </w:pPr>
          </w:p>
          <w:p w14:paraId="507153FD"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Links cities and serves as bridge to bioregional/national frameworks.</w:t>
            </w:r>
          </w:p>
        </w:tc>
        <w:tc>
          <w:tcPr>
            <w:tcW w:w="1844" w:type="dxa"/>
          </w:tcPr>
          <w:p w14:paraId="26B00161"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Boundary/governance of limits</w:t>
            </w:r>
          </w:p>
          <w:p w14:paraId="4931B25D" w14:textId="77777777" w:rsidR="00993DD4" w:rsidRPr="00C92A1A" w:rsidRDefault="00993DD4" w:rsidP="00993DD4">
            <w:pPr>
              <w:pStyle w:val="NoSpacing"/>
              <w:rPr>
                <w:rFonts w:asciiTheme="majorHAnsi" w:hAnsiTheme="majorHAnsi" w:cstheme="majorHAnsi"/>
                <w:sz w:val="20"/>
                <w:szCs w:val="20"/>
              </w:rPr>
            </w:pPr>
          </w:p>
          <w:p w14:paraId="1294889B"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Govern land use, ecosystem services, and biophysical capacity.</w:t>
            </w:r>
          </w:p>
          <w:p w14:paraId="67496E95" w14:textId="77777777" w:rsidR="00993DD4" w:rsidRPr="00C92A1A" w:rsidRDefault="00993DD4" w:rsidP="00993DD4">
            <w:pPr>
              <w:pStyle w:val="NoSpacing"/>
              <w:rPr>
                <w:rFonts w:asciiTheme="majorHAnsi" w:hAnsiTheme="majorHAnsi" w:cstheme="majorHAnsi"/>
                <w:sz w:val="20"/>
                <w:szCs w:val="20"/>
              </w:rPr>
            </w:pPr>
          </w:p>
          <w:p w14:paraId="072446E3"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Aligns cities and regions with ecological limits.</w:t>
            </w:r>
          </w:p>
        </w:tc>
        <w:tc>
          <w:tcPr>
            <w:tcW w:w="1700" w:type="dxa"/>
          </w:tcPr>
          <w:p w14:paraId="15C03681"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Role: Boundary and knowledge horizon</w:t>
            </w:r>
          </w:p>
          <w:p w14:paraId="09F7A3A5" w14:textId="77777777" w:rsidR="00993DD4" w:rsidRPr="00C92A1A" w:rsidRDefault="00993DD4" w:rsidP="00993DD4">
            <w:pPr>
              <w:pStyle w:val="NoSpacing"/>
              <w:rPr>
                <w:rFonts w:asciiTheme="majorHAnsi" w:hAnsiTheme="majorHAnsi" w:cstheme="majorHAnsi"/>
                <w:sz w:val="20"/>
                <w:szCs w:val="20"/>
              </w:rPr>
            </w:pPr>
          </w:p>
          <w:p w14:paraId="7C4DADEE"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Key functions: Coordinate standards, open data, global monitoring, and knowledge sharing.</w:t>
            </w:r>
          </w:p>
          <w:p w14:paraId="4B167E1E" w14:textId="77777777" w:rsidR="00993DD4" w:rsidRPr="00C92A1A" w:rsidRDefault="00993DD4" w:rsidP="00993DD4">
            <w:pPr>
              <w:pStyle w:val="NoSpacing"/>
              <w:rPr>
                <w:rFonts w:asciiTheme="majorHAnsi" w:hAnsiTheme="majorHAnsi" w:cstheme="majorHAnsi"/>
                <w:sz w:val="20"/>
                <w:szCs w:val="20"/>
              </w:rPr>
            </w:pPr>
          </w:p>
          <w:p w14:paraId="38F12C13" w14:textId="77777777" w:rsidR="00993DD4" w:rsidRPr="00C92A1A" w:rsidRDefault="00993DD4" w:rsidP="00993DD4">
            <w:pPr>
              <w:pStyle w:val="NoSpacing"/>
              <w:rPr>
                <w:rFonts w:asciiTheme="majorHAnsi" w:hAnsiTheme="majorHAnsi" w:cstheme="majorHAnsi"/>
                <w:sz w:val="20"/>
                <w:szCs w:val="20"/>
              </w:rPr>
            </w:pPr>
            <w:r w:rsidRPr="00C92A1A">
              <w:rPr>
                <w:rFonts w:asciiTheme="majorHAnsi" w:hAnsiTheme="majorHAnsi" w:cstheme="majorHAnsi"/>
                <w:sz w:val="20"/>
                <w:szCs w:val="20"/>
              </w:rPr>
              <w:t>Relationships: Provides macro governance reference conditions and global commons of knowledge.</w:t>
            </w:r>
          </w:p>
        </w:tc>
      </w:tr>
    </w:tbl>
    <w:p w14:paraId="6844EED2" w14:textId="77777777" w:rsidR="00FF439A" w:rsidRPr="00C92A1A" w:rsidRDefault="00000000" w:rsidP="00EA7067">
      <w:pPr>
        <w:pStyle w:val="Heading2"/>
        <w:keepLines w:val="0"/>
        <w:tabs>
          <w:tab w:val="center" w:pos="4393"/>
        </w:tabs>
        <w:spacing w:before="600" w:after="80" w:line="240" w:lineRule="auto"/>
        <w:rPr>
          <w:rFonts w:ascii="Calibri" w:eastAsia="Times New Roman" w:hAnsi="Calibri" w:cs="Calibri"/>
          <w:color w:val="auto"/>
          <w:spacing w:val="-6"/>
          <w:sz w:val="28"/>
          <w:szCs w:val="20"/>
          <w:lang w:val="en-GB" w:eastAsia="de-DE"/>
        </w:rPr>
      </w:pPr>
      <w:r w:rsidRPr="00C92A1A">
        <w:rPr>
          <w:rFonts w:ascii="Calibri" w:eastAsia="Times New Roman" w:hAnsi="Calibri" w:cs="Calibri"/>
          <w:color w:val="auto"/>
          <w:spacing w:val="-6"/>
          <w:sz w:val="28"/>
          <w:szCs w:val="20"/>
          <w:lang w:val="en-GB" w:eastAsia="de-DE"/>
        </w:rPr>
        <w:lastRenderedPageBreak/>
        <w:t>3 Understanding Indicators and Data</w:t>
      </w:r>
    </w:p>
    <w:p w14:paraId="378AD132" w14:textId="77777777" w:rsidR="00FF439A" w:rsidRPr="00C92A1A" w:rsidRDefault="00000000" w:rsidP="00EA7067">
      <w:pPr>
        <w:pStyle w:val="Text"/>
        <w:rPr>
          <w:rFonts w:cs="Calibri"/>
        </w:rPr>
      </w:pPr>
      <w:r w:rsidRPr="00C92A1A">
        <w:rPr>
          <w:rFonts w:cs="Calibri"/>
        </w:rPr>
        <w:t>An indicator is a quantitative or qualitative variable used to represent a complex phenomenon in simplified, observable, and comparable form (OECD, 2008; UN DESA, 2007). Indicators do not describe reality in its entirety; they act as proxies that make otherwise abstract processes such as circularity, resilience, governance capacity, or wellbeing more legible for decision-making and evaluation. Their usefulness depends on conceptual relevance, data quality, and interpretive clarity.</w:t>
      </w:r>
    </w:p>
    <w:p w14:paraId="63883C03" w14:textId="77777777" w:rsidR="00FF439A" w:rsidRPr="00C92A1A" w:rsidRDefault="00000000" w:rsidP="00EA7067">
      <w:pPr>
        <w:pStyle w:val="Text"/>
        <w:rPr>
          <w:rFonts w:cs="Calibri"/>
        </w:rPr>
      </w:pPr>
      <w:r w:rsidRPr="00C92A1A">
        <w:rPr>
          <w:rFonts w:cs="Calibri"/>
        </w:rPr>
        <w:t>Data extraction is therefore a central part of the framework rather than a secondary technical step. Reliable data supports accuracy, consistency over time, and comparability across territories and scales (Eurostat, 2019). In multi-scalar frameworks, data extraction must also be transparent and documented so that indicators can be replicated, audited, and interpreted correctly by different actors (Bell &amp; Morse, 2012).</w:t>
      </w:r>
    </w:p>
    <w:p w14:paraId="7C73188D" w14:textId="77777777" w:rsidR="00FF439A" w:rsidRPr="00C92A1A" w:rsidRDefault="00000000" w:rsidP="00EA7067">
      <w:pPr>
        <w:pStyle w:val="Text"/>
        <w:rPr>
          <w:rFonts w:cs="Calibri"/>
        </w:rPr>
      </w:pPr>
      <w:r w:rsidRPr="00C92A1A">
        <w:rPr>
          <w:rFonts w:cs="Calibri"/>
        </w:rPr>
        <w:t>The framework also emphasises co-production. Indicators are more likely to be used consistently when they are developed with those responsible for collecting and interpreting them. Co-production improves territorial relevance, data availability, and institutional legitimacy (Bucci Ancapi, 2023). Three criteria follow: every indicator must have a clear unit, source, and method; data collection must be feasible within existing organisational capacities; and the resulting information must support actual decisions.</w:t>
      </w:r>
    </w:p>
    <w:p w14:paraId="6681D4C7" w14:textId="77777777" w:rsidR="00FF439A" w:rsidRPr="00C92A1A" w:rsidRDefault="00000000" w:rsidP="00EA7067">
      <w:pPr>
        <w:pStyle w:val="Heading2"/>
        <w:keepLines w:val="0"/>
        <w:tabs>
          <w:tab w:val="center" w:pos="4393"/>
        </w:tabs>
        <w:spacing w:before="600" w:after="80" w:line="240" w:lineRule="auto"/>
        <w:rPr>
          <w:rFonts w:ascii="Calibri" w:eastAsia="Times New Roman" w:hAnsi="Calibri" w:cs="Calibri"/>
          <w:color w:val="auto"/>
          <w:spacing w:val="-6"/>
          <w:sz w:val="28"/>
          <w:szCs w:val="20"/>
          <w:lang w:val="en-GB" w:eastAsia="de-DE"/>
        </w:rPr>
      </w:pPr>
      <w:r w:rsidRPr="00C92A1A">
        <w:rPr>
          <w:rFonts w:ascii="Calibri" w:eastAsia="Times New Roman" w:hAnsi="Calibri" w:cs="Calibri"/>
          <w:color w:val="auto"/>
          <w:spacing w:val="-6"/>
          <w:sz w:val="28"/>
          <w:szCs w:val="20"/>
          <w:lang w:val="en-GB" w:eastAsia="de-DE"/>
        </w:rPr>
        <w:t>4 The Four Pillars of Impact Metrics</w:t>
      </w:r>
    </w:p>
    <w:p w14:paraId="1DCCC45D" w14:textId="77777777" w:rsidR="00FF439A" w:rsidRPr="00C92A1A" w:rsidRDefault="00000000" w:rsidP="00EA7067">
      <w:pPr>
        <w:pStyle w:val="Text"/>
        <w:rPr>
          <w:rFonts w:cs="Calibri"/>
        </w:rPr>
      </w:pPr>
      <w:r w:rsidRPr="00C92A1A">
        <w:rPr>
          <w:rFonts w:cs="Calibri"/>
        </w:rPr>
        <w:t>The framework links what is measured with where impacts occur. The Full Stack provides the overall structure through which interventions move across layers and scales. The four pillars define the core dimensions that need to be assessed.</w:t>
      </w:r>
    </w:p>
    <w:p w14:paraId="5395F71B" w14:textId="77777777" w:rsidR="00FF439A" w:rsidRPr="00C92A1A" w:rsidRDefault="00000000" w:rsidP="00EA7067">
      <w:pPr>
        <w:pStyle w:val="Text"/>
        <w:rPr>
          <w:rFonts w:cs="Calibri"/>
        </w:rPr>
      </w:pPr>
      <w:r w:rsidRPr="00C92A1A">
        <w:rPr>
          <w:rFonts w:cs="Calibri"/>
        </w:rPr>
        <w:t>Environmental impacts often become most visible at bioregional and planetary scales, where resource use, emissions, and ecosystem pressures accumulate. The environmental pillar includes material flows and circularity, energy and climate, ecosystem impacts, and pollution and toxicity. Material Flow Analysis and Life Cycle Assessment are especially important here because they allow material use, waste, energy demand, and emissions to be tracked beyond the immediate site of intervention (Chester et al., 2012; Kalmykova &amp; Rosado, 2015; Lucertini &amp; Musco, 2020). Without lifecycle thinking, local circularity gains may simply shift burdens upstream or downstream (Ioppolo et al., 2019).</w:t>
      </w:r>
    </w:p>
    <w:p w14:paraId="3B35A00C" w14:textId="77777777" w:rsidR="00FF439A" w:rsidRPr="00C92A1A" w:rsidRDefault="00000000" w:rsidP="00EA7067">
      <w:pPr>
        <w:pStyle w:val="Text"/>
        <w:rPr>
          <w:rFonts w:cs="Calibri"/>
        </w:rPr>
      </w:pPr>
      <w:r w:rsidRPr="00C92A1A">
        <w:rPr>
          <w:rFonts w:cs="Calibri"/>
        </w:rPr>
        <w:t>Social impacts are most directly experienced at community and city scales. The social pillar includes health and wellbeing, equity and inclusion, employment and livelihoods, community and culture, and education and capacity. These dimensions capture whether interventions widen access, support learning, improve quality of life, and strengthen local cohesion.</w:t>
      </w:r>
    </w:p>
    <w:p w14:paraId="1349D304" w14:textId="77777777" w:rsidR="00FF439A" w:rsidRPr="00C92A1A" w:rsidRDefault="00000000" w:rsidP="00EA7067">
      <w:pPr>
        <w:pStyle w:val="Text"/>
        <w:rPr>
          <w:rFonts w:cs="Calibri"/>
        </w:rPr>
      </w:pPr>
      <w:r w:rsidRPr="00C92A1A">
        <w:rPr>
          <w:rFonts w:cs="Calibri"/>
        </w:rPr>
        <w:t>Economic impacts span local production systems and wider territorial dynamics. The economic pillar includes value creation, circular value retention, job creation, income generation, innovation, and resilience. In Fab Labs and hubs, this means assessing whether repair, reuse, local sourcing, or entrepreneurial activity retain value locally and contribute to more distributed forms of production (Pomponi &amp; Moncaster, 2017; Van Bueren et al., 2022).</w:t>
      </w:r>
    </w:p>
    <w:p w14:paraId="1230EE16" w14:textId="77777777" w:rsidR="00FF439A" w:rsidRPr="00C92A1A" w:rsidRDefault="00000000" w:rsidP="00EA7067">
      <w:pPr>
        <w:pStyle w:val="Text"/>
        <w:rPr>
          <w:rFonts w:cs="Calibri"/>
        </w:rPr>
      </w:pPr>
      <w:r w:rsidRPr="00C92A1A">
        <w:rPr>
          <w:rFonts w:cs="Calibri"/>
        </w:rPr>
        <w:t>Governance impacts are especially important at city and regional scales. Institutional capacity, data availability, participation, transparency, and collaboration determine whether improvements at operational level can be monitored, compared, and sustained over time (Beer, 1979; Dal Poz et al., 2022). Governance is not one pillar among others; it is also the condition that enables the other three to become durable and legible. The integrated impact architecture is presented in full in Table 2 (Annex).</w:t>
      </w:r>
    </w:p>
    <w:p w14:paraId="7A2A8D38" w14:textId="77777777" w:rsidR="00FF439A" w:rsidRPr="00C92A1A" w:rsidRDefault="00000000" w:rsidP="00EA7067">
      <w:pPr>
        <w:pStyle w:val="Heading2"/>
        <w:keepLines w:val="0"/>
        <w:tabs>
          <w:tab w:val="center" w:pos="4393"/>
        </w:tabs>
        <w:spacing w:before="600" w:after="80" w:line="240" w:lineRule="auto"/>
        <w:rPr>
          <w:rFonts w:ascii="Calibri" w:eastAsia="Times New Roman" w:hAnsi="Calibri" w:cs="Calibri"/>
          <w:color w:val="auto"/>
          <w:spacing w:val="-6"/>
          <w:sz w:val="28"/>
          <w:szCs w:val="20"/>
          <w:lang w:val="en-GB" w:eastAsia="de-DE"/>
        </w:rPr>
      </w:pPr>
      <w:r w:rsidRPr="00C92A1A">
        <w:rPr>
          <w:rFonts w:ascii="Calibri" w:eastAsia="Times New Roman" w:hAnsi="Calibri" w:cs="Calibri"/>
          <w:color w:val="auto"/>
          <w:spacing w:val="-6"/>
          <w:sz w:val="28"/>
          <w:szCs w:val="20"/>
          <w:lang w:val="en-GB" w:eastAsia="de-DE"/>
        </w:rPr>
        <w:lastRenderedPageBreak/>
        <w:t>5 Methodology for Implementation</w:t>
      </w:r>
    </w:p>
    <w:p w14:paraId="4D788545" w14:textId="77777777" w:rsidR="00FF439A" w:rsidRPr="00C92A1A" w:rsidRDefault="00000000" w:rsidP="00EA7067">
      <w:pPr>
        <w:pStyle w:val="Text"/>
        <w:rPr>
          <w:rFonts w:cs="Calibri"/>
          <w:b/>
          <w:bCs/>
        </w:rPr>
      </w:pPr>
      <w:r w:rsidRPr="00C92A1A">
        <w:rPr>
          <w:rFonts w:cs="Calibri"/>
          <w:b/>
          <w:bCs/>
        </w:rPr>
        <w:t>5.1 Fab Labs and hubs as implementation units</w:t>
      </w:r>
    </w:p>
    <w:p w14:paraId="239D7F83" w14:textId="77777777" w:rsidR="00FF439A" w:rsidRPr="00C92A1A" w:rsidRDefault="00000000" w:rsidP="00EA7067">
      <w:pPr>
        <w:pStyle w:val="Text"/>
        <w:rPr>
          <w:rFonts w:cs="Calibri"/>
        </w:rPr>
      </w:pPr>
      <w:r w:rsidRPr="00C92A1A">
        <w:rPr>
          <w:rFonts w:cs="Calibri"/>
        </w:rPr>
        <w:t>Fab Labs are the most appropriate implementation units because they operate directly in the lower operational layers of the framework. As infrastructures, they belong to Layer 1. Through training and capability development they activate Layer 2. Through prototyping, repair, entrepreneurship, and experimentation they contribute to Layer 3. Through partnerships and network participation they connect to Layer 4. Their internal rules, reporting routines, and institutional relationships link them to Layer 5. Their material and energy practices can be interpreted through Layer 6, and their documentation and open sharing connect them to Layer 7.</w:t>
      </w:r>
    </w:p>
    <w:p w14:paraId="6C317717" w14:textId="77777777" w:rsidR="00FF439A" w:rsidRPr="00C92A1A" w:rsidRDefault="00000000" w:rsidP="00EA7067">
      <w:pPr>
        <w:pStyle w:val="Text"/>
        <w:rPr>
          <w:rFonts w:cs="Calibri"/>
        </w:rPr>
      </w:pPr>
      <w:r w:rsidRPr="00C92A1A">
        <w:rPr>
          <w:rFonts w:cs="Calibri"/>
        </w:rPr>
        <w:t>Fab City hubs apply the same framework from a coordination perspective. Their emphasis is less on direct production and more on orchestration, aggregation, harmonisation, and network alignment. Labs generate primary evidence; hubs support comparability, review, and collective learning.</w:t>
      </w:r>
    </w:p>
    <w:p w14:paraId="40B29787" w14:textId="77777777" w:rsidR="00FF439A" w:rsidRPr="00C92A1A" w:rsidRDefault="00000000" w:rsidP="00EA7067">
      <w:pPr>
        <w:pStyle w:val="Text"/>
        <w:rPr>
          <w:rFonts w:cs="Calibri"/>
          <w:b/>
          <w:bCs/>
        </w:rPr>
      </w:pPr>
      <w:r w:rsidRPr="00C92A1A">
        <w:rPr>
          <w:rFonts w:cs="Calibri"/>
          <w:b/>
          <w:bCs/>
        </w:rPr>
        <w:t>5.2 Principles for implementation</w:t>
      </w:r>
    </w:p>
    <w:p w14:paraId="1E6BFEB8" w14:textId="77777777" w:rsidR="00FF439A" w:rsidRPr="00C92A1A" w:rsidRDefault="00000000" w:rsidP="00EA7067">
      <w:pPr>
        <w:pStyle w:val="Text"/>
        <w:rPr>
          <w:rFonts w:cs="Calibri"/>
        </w:rPr>
      </w:pPr>
      <w:r w:rsidRPr="00C92A1A">
        <w:rPr>
          <w:rFonts w:cs="Calibri"/>
        </w:rPr>
        <w:t>Four principles organise implementation. First, implementation begins at community scale, where interventions are directly experienced and attribution is strongest. Second, measurement preserves all four pillars simultaneously, avoiding the distortions produced by single-dimension assessment. Third, data collection must be transparent, documented, and replicable. Fourth, measurement should function as a governance and learning instrument rather than as retrospective reporting alone.</w:t>
      </w:r>
    </w:p>
    <w:p w14:paraId="3017A92B" w14:textId="77777777" w:rsidR="00FF439A" w:rsidRPr="00C92A1A" w:rsidRDefault="00000000" w:rsidP="00EA7067">
      <w:pPr>
        <w:pStyle w:val="Text"/>
        <w:rPr>
          <w:rFonts w:cs="Calibri"/>
          <w:b/>
          <w:bCs/>
        </w:rPr>
      </w:pPr>
      <w:r w:rsidRPr="00C92A1A">
        <w:rPr>
          <w:rFonts w:cs="Calibri"/>
          <w:b/>
          <w:bCs/>
        </w:rPr>
        <w:t>5.3 Actionable implementation sequence</w:t>
      </w:r>
    </w:p>
    <w:p w14:paraId="16C1A5AC" w14:textId="77777777" w:rsidR="00FF439A" w:rsidRPr="00C92A1A" w:rsidRDefault="00000000" w:rsidP="00EA7067">
      <w:pPr>
        <w:pStyle w:val="Text"/>
        <w:rPr>
          <w:rFonts w:cs="Calibri"/>
        </w:rPr>
      </w:pPr>
      <w:r w:rsidRPr="00C92A1A">
        <w:rPr>
          <w:rFonts w:cs="Calibri"/>
        </w:rPr>
        <w:t>Implementation becomes manageable when organised as a five-stage sequence.</w:t>
      </w:r>
    </w:p>
    <w:p w14:paraId="1DFD832A" w14:textId="77777777" w:rsidR="00FF439A" w:rsidRPr="00C92A1A" w:rsidRDefault="00000000" w:rsidP="00EA7067">
      <w:pPr>
        <w:pStyle w:val="Text"/>
        <w:rPr>
          <w:rFonts w:cs="Calibri"/>
        </w:rPr>
      </w:pPr>
      <w:r w:rsidRPr="00C92A1A">
        <w:rPr>
          <w:rFonts w:cs="Calibri"/>
          <w:b/>
          <w:bCs/>
        </w:rPr>
        <w:t>Stage 1 – Define boundaries. The</w:t>
      </w:r>
      <w:r w:rsidRPr="00C92A1A">
        <w:rPr>
          <w:rFonts w:cs="Calibri"/>
        </w:rPr>
        <w:t xml:space="preserve"> implementation unit, spatial boundary, and reporting period must be specified. In most cases, the unit is the lab or hub, the spatial boundary is the neighbourhood or user network served, and the reporting cycle is monthly for data collection with quarterly review.</w:t>
      </w:r>
    </w:p>
    <w:p w14:paraId="219DA745" w14:textId="77777777" w:rsidR="00FF439A" w:rsidRPr="00C92A1A" w:rsidRDefault="00000000" w:rsidP="00EA7067">
      <w:pPr>
        <w:pStyle w:val="Text"/>
        <w:rPr>
          <w:rFonts w:cs="Calibri"/>
        </w:rPr>
      </w:pPr>
      <w:r w:rsidRPr="00C92A1A">
        <w:rPr>
          <w:rFonts w:cs="Calibri"/>
          <w:b/>
          <w:bCs/>
        </w:rPr>
        <w:t>Stage 2 – Map activities.</w:t>
      </w:r>
      <w:r w:rsidRPr="00C92A1A">
        <w:rPr>
          <w:rFonts w:cs="Calibri"/>
        </w:rPr>
        <w:t xml:space="preserve"> Recurring activities are listed and mapped to the relevant layers and pillars. Fabrication and repair relate mainly to Layer 1 and the environmental and economic pillars. Training maps to Layer 2 and the social pillar. Partnerships and coordination map to Layer 4 and the governance pillar.</w:t>
      </w:r>
    </w:p>
    <w:p w14:paraId="3826C0B5" w14:textId="77777777" w:rsidR="00FF439A" w:rsidRPr="00C92A1A" w:rsidRDefault="00000000" w:rsidP="00EA7067">
      <w:pPr>
        <w:pStyle w:val="Text"/>
        <w:rPr>
          <w:rFonts w:cs="Calibri"/>
        </w:rPr>
      </w:pPr>
      <w:r w:rsidRPr="00C92A1A">
        <w:rPr>
          <w:rFonts w:cs="Calibri"/>
          <w:b/>
          <w:bCs/>
        </w:rPr>
        <w:t xml:space="preserve">Stage 3 – Select indicators. </w:t>
      </w:r>
      <w:r w:rsidRPr="00C92A1A">
        <w:rPr>
          <w:rFonts w:cs="Calibri"/>
        </w:rPr>
        <w:t>A first-phase set of 12 to 16 indicators is selected across the four pillars. Priority goes to indicators that can be measured consistently with available records. Balance matters more than quantity.</w:t>
      </w:r>
    </w:p>
    <w:p w14:paraId="41BBB3E6" w14:textId="77777777" w:rsidR="00FF439A" w:rsidRPr="00C92A1A" w:rsidRDefault="00000000" w:rsidP="00EA7067">
      <w:pPr>
        <w:pStyle w:val="Text"/>
        <w:rPr>
          <w:rFonts w:cs="Calibri"/>
        </w:rPr>
      </w:pPr>
      <w:r w:rsidRPr="00C92A1A">
        <w:rPr>
          <w:rFonts w:cs="Calibri"/>
          <w:b/>
          <w:bCs/>
        </w:rPr>
        <w:t>Stage 4 – Design data protocols. Each</w:t>
      </w:r>
      <w:r w:rsidRPr="00C92A1A">
        <w:rPr>
          <w:rFonts w:cs="Calibri"/>
        </w:rPr>
        <w:t xml:space="preserve"> indicator requires a short protocol sheet specifying the source, unit, method, collection frequency, responsible person, storage location, and known limitations.</w:t>
      </w:r>
    </w:p>
    <w:p w14:paraId="58F157B8" w14:textId="77777777" w:rsidR="00FF439A" w:rsidRPr="00C92A1A" w:rsidRDefault="00000000" w:rsidP="00EA7067">
      <w:pPr>
        <w:pStyle w:val="Text"/>
        <w:rPr>
          <w:rFonts w:cs="Calibri"/>
        </w:rPr>
      </w:pPr>
      <w:r w:rsidRPr="00C92A1A">
        <w:rPr>
          <w:rFonts w:cs="Calibri"/>
          <w:b/>
          <w:bCs/>
        </w:rPr>
        <w:t>Stage 5 –</w:t>
      </w:r>
      <w:r w:rsidRPr="00C92A1A">
        <w:rPr>
          <w:rFonts w:cs="Calibri"/>
        </w:rPr>
        <w:t xml:space="preserve"> </w:t>
      </w:r>
      <w:r w:rsidRPr="00C92A1A">
        <w:rPr>
          <w:rFonts w:cs="Calibri"/>
          <w:b/>
          <w:bCs/>
        </w:rPr>
        <w:t xml:space="preserve">Review and act. </w:t>
      </w:r>
      <w:r w:rsidRPr="00C92A1A">
        <w:rPr>
          <w:rFonts w:cs="Calibri"/>
        </w:rPr>
        <w:t>Indicators are reviewed monthly for operational tracking and quarterly for strategic learning. Results are used to adjust programming, partnerships, resource allocation, and reporting. Annual review should assess not only performance but also the adequacy of the indicator set itself.</w:t>
      </w:r>
    </w:p>
    <w:p w14:paraId="3DBF0D87" w14:textId="77777777" w:rsidR="00FF439A" w:rsidRPr="00C92A1A" w:rsidRDefault="00000000" w:rsidP="00EA7067">
      <w:pPr>
        <w:pStyle w:val="Text"/>
        <w:rPr>
          <w:rFonts w:cs="Calibri"/>
          <w:b/>
          <w:bCs/>
        </w:rPr>
      </w:pPr>
      <w:r w:rsidRPr="00C92A1A">
        <w:rPr>
          <w:rFonts w:cs="Calibri"/>
          <w:b/>
          <w:bCs/>
        </w:rPr>
        <w:t>5.4 Community-scale indicators and feasibility</w:t>
      </w:r>
    </w:p>
    <w:p w14:paraId="38AA92B4" w14:textId="77777777" w:rsidR="00274B03" w:rsidRPr="00C92A1A" w:rsidRDefault="00274B03" w:rsidP="005A27F6">
      <w:pPr>
        <w:pStyle w:val="Text"/>
        <w:rPr>
          <w:rFonts w:cs="Calibri"/>
        </w:rPr>
      </w:pPr>
      <w:r w:rsidRPr="00C92A1A">
        <w:rPr>
          <w:rFonts w:cs="Calibri"/>
        </w:rPr>
        <w:t>Feasibility at the community scale is largely determined by whether an indicator draws on data that labs and hubs already generate through routine operation. Environmental indicators of this kind include materials reused or recycled, products repaired, waste diverted from landfill, and renewable energy consumed. Social indicators include participation in making activities, skills sessions delivered, and skills acquired. Economic indicators, such as local jobs created, value of goods produced, and savings from repair and reuse, are generally attainable once existing records receive moderate formalisation. Governance indicators, including meetings held, institutional partnerships established, and knowledge documented and shared, are typically measurable directly from records a lab already maintains.</w:t>
      </w:r>
    </w:p>
    <w:p w14:paraId="02CADCA3" w14:textId="77777777" w:rsidR="00274B03" w:rsidRPr="00C92A1A" w:rsidRDefault="00274B03" w:rsidP="005A27F6">
      <w:pPr>
        <w:pStyle w:val="Text"/>
        <w:rPr>
          <w:rFonts w:cs="Calibri"/>
        </w:rPr>
      </w:pPr>
      <w:r w:rsidRPr="00C92A1A">
        <w:rPr>
          <w:rFonts w:cs="Calibri"/>
        </w:rPr>
        <w:lastRenderedPageBreak/>
        <w:t>High feasibility, then, depends less on the sophistication of an indicator than on its proximity to existing administrative practice: workshop attendance, repair logs, and meeting calendars are the underlying data sources in most cases. Medium-feasibility indicators require a further step of procedural formalisation before they yield reliable data. Lower-feasibility indicators demand dedicated technical infrastructure or validated survey instruments, as in water reuse monitoring, climate accounting, or social cohesion indices, and are best deferred to later implementation phases once core measurement routines are established.</w:t>
      </w:r>
    </w:p>
    <w:p w14:paraId="536689D5" w14:textId="50DDEEFD" w:rsidR="00FF439A" w:rsidRPr="00C92A1A" w:rsidRDefault="00000000" w:rsidP="00EA7067">
      <w:pPr>
        <w:pStyle w:val="Heading2"/>
        <w:keepLines w:val="0"/>
        <w:tabs>
          <w:tab w:val="center" w:pos="4393"/>
        </w:tabs>
        <w:spacing w:before="600" w:after="80" w:line="240" w:lineRule="auto"/>
        <w:rPr>
          <w:rFonts w:ascii="Calibri" w:eastAsia="Times New Roman" w:hAnsi="Calibri" w:cs="Calibri"/>
          <w:color w:val="auto"/>
          <w:spacing w:val="-6"/>
          <w:sz w:val="28"/>
          <w:szCs w:val="20"/>
          <w:lang w:val="en-GB" w:eastAsia="de-DE"/>
        </w:rPr>
      </w:pPr>
      <w:r w:rsidRPr="00C92A1A">
        <w:rPr>
          <w:rFonts w:ascii="Calibri" w:eastAsia="Times New Roman" w:hAnsi="Calibri" w:cs="Calibri"/>
          <w:color w:val="auto"/>
          <w:spacing w:val="-6"/>
          <w:sz w:val="28"/>
          <w:szCs w:val="20"/>
          <w:lang w:val="en-GB" w:eastAsia="de-DE"/>
        </w:rPr>
        <w:t xml:space="preserve">6 </w:t>
      </w:r>
      <w:r w:rsidR="002F75A7" w:rsidRPr="00C92A1A">
        <w:rPr>
          <w:rFonts w:ascii="Calibri" w:eastAsia="Times New Roman" w:hAnsi="Calibri" w:cs="Calibri"/>
          <w:color w:val="auto"/>
          <w:spacing w:val="-6"/>
          <w:sz w:val="28"/>
          <w:szCs w:val="20"/>
          <w:lang w:val="en-GB" w:eastAsia="de-DE"/>
        </w:rPr>
        <w:t>Expected Outcomes</w:t>
      </w:r>
    </w:p>
    <w:p w14:paraId="1214C9B2" w14:textId="1D957093" w:rsidR="008409A0" w:rsidRPr="00C92A1A" w:rsidRDefault="005A27F6" w:rsidP="00EA7067">
      <w:pPr>
        <w:pStyle w:val="Text"/>
        <w:rPr>
          <w:rFonts w:cs="Calibri"/>
        </w:rPr>
      </w:pPr>
      <w:r w:rsidRPr="00C92A1A">
        <w:rPr>
          <w:rFonts w:cs="Calibri"/>
          <w:lang w:val="en-US"/>
        </w:rPr>
        <w:t xml:space="preserve">While no pilot application of the framework has yet been conducted, existing Fab City network projects (Table 2) illustrate how indicators aligned with the Metrics Matrix are already being observed in practice. Some initiatives developed under the Fab City logic, or Fab Labs acting as Fab City hubs, can be </w:t>
      </w:r>
      <w:r w:rsidR="00C92A1A" w:rsidRPr="00C92A1A">
        <w:rPr>
          <w:rFonts w:cs="Calibri"/>
          <w:lang w:val="en-US"/>
        </w:rPr>
        <w:t>systematized</w:t>
      </w:r>
      <w:r w:rsidRPr="00C92A1A">
        <w:rPr>
          <w:rFonts w:cs="Calibri"/>
          <w:lang w:val="en-US"/>
        </w:rPr>
        <w:t xml:space="preserve"> and structured within the Metrics Matrix logic; by making their results measurable, </w:t>
      </w:r>
      <w:r w:rsidR="00C92A1A" w:rsidRPr="00C92A1A">
        <w:rPr>
          <w:rFonts w:cs="Calibri"/>
          <w:lang w:val="en-US"/>
        </w:rPr>
        <w:t>visualizable</w:t>
      </w:r>
      <w:r w:rsidRPr="00C92A1A">
        <w:rPr>
          <w:rFonts w:cs="Calibri"/>
          <w:lang w:val="en-US"/>
        </w:rPr>
        <w:t>, and comparable, they can be considered part of the transition toward the implementation of the Fab City DIDO model. None of these cases reports all four pillars simultaneously at a single scale, underscoring the need for the staged implementation methodology proposed in Section 5.</w:t>
      </w:r>
    </w:p>
    <w:p w14:paraId="5C422889" w14:textId="4CE8B5B9" w:rsidR="008409A0" w:rsidRPr="00C92A1A" w:rsidRDefault="008409A0" w:rsidP="00EE1BAA">
      <w:pPr>
        <w:pStyle w:val="Caption"/>
        <w:keepNext/>
        <w:keepLines/>
        <w:spacing w:before="240" w:after="240"/>
        <w:jc w:val="center"/>
        <w:rPr>
          <w:rFonts w:ascii="Calibri" w:eastAsia="Times New Roman" w:hAnsi="Calibri" w:cs="Calibri"/>
          <w:b w:val="0"/>
          <w:bCs w:val="0"/>
          <w:color w:val="auto"/>
          <w:spacing w:val="-3"/>
          <w:sz w:val="22"/>
          <w:szCs w:val="20"/>
          <w:lang w:val="en-GB" w:eastAsia="de-DE"/>
        </w:rPr>
      </w:pPr>
      <w:r w:rsidRPr="00C92A1A">
        <w:rPr>
          <w:rFonts w:ascii="Calibri" w:eastAsia="Times New Roman" w:hAnsi="Calibri" w:cs="Calibri"/>
          <w:color w:val="auto"/>
          <w:spacing w:val="-3"/>
          <w:sz w:val="22"/>
          <w:szCs w:val="20"/>
          <w:lang w:val="en-GB" w:eastAsia="de-DE"/>
        </w:rPr>
        <w:t>Table 2</w:t>
      </w:r>
      <w:r w:rsidRPr="00C92A1A">
        <w:rPr>
          <w:rFonts w:ascii="Calibri" w:eastAsia="Times New Roman" w:hAnsi="Calibri" w:cs="Calibri"/>
          <w:b w:val="0"/>
          <w:bCs w:val="0"/>
          <w:color w:val="auto"/>
          <w:spacing w:val="-3"/>
          <w:sz w:val="22"/>
          <w:szCs w:val="20"/>
          <w:lang w:val="en-GB" w:eastAsia="de-DE"/>
        </w:rPr>
        <w:t xml:space="preserve">. Simplified case studies analysis for observable metrics.  </w:t>
      </w:r>
    </w:p>
    <w:tbl>
      <w:tblPr>
        <w:tblStyle w:val="TableGrid"/>
        <w:tblW w:w="4855" w:type="pct"/>
        <w:tblLook w:val="04A0" w:firstRow="1" w:lastRow="0" w:firstColumn="1" w:lastColumn="0" w:noHBand="0" w:noVBand="1"/>
      </w:tblPr>
      <w:tblGrid>
        <w:gridCol w:w="1359"/>
        <w:gridCol w:w="1412"/>
        <w:gridCol w:w="1914"/>
        <w:gridCol w:w="4439"/>
      </w:tblGrid>
      <w:tr w:rsidR="002F75A7" w:rsidRPr="00C92A1A" w14:paraId="2317681B" w14:textId="77777777" w:rsidTr="002F75A7">
        <w:tc>
          <w:tcPr>
            <w:tcW w:w="745" w:type="pct"/>
            <w:hideMark/>
          </w:tcPr>
          <w:p w14:paraId="689987DD" w14:textId="77777777" w:rsidR="002F75A7" w:rsidRPr="00C92A1A" w:rsidRDefault="002F75A7" w:rsidP="002F75A7">
            <w:pPr>
              <w:rPr>
                <w:rFonts w:ascii="Calibri" w:hAnsi="Calibri" w:cs="Calibri"/>
                <w:b/>
                <w:bCs/>
                <w:sz w:val="18"/>
                <w:szCs w:val="18"/>
                <w:lang w:val="en-ES" w:eastAsia="en-GB"/>
              </w:rPr>
            </w:pPr>
            <w:r w:rsidRPr="00C92A1A">
              <w:rPr>
                <w:rFonts w:ascii="Calibri" w:hAnsi="Calibri" w:cs="Calibri"/>
                <w:b/>
                <w:bCs/>
                <w:sz w:val="18"/>
                <w:szCs w:val="18"/>
                <w:lang w:val="en-ES" w:eastAsia="en-GB"/>
              </w:rPr>
              <w:t>Case / Project</w:t>
            </w:r>
          </w:p>
        </w:tc>
        <w:tc>
          <w:tcPr>
            <w:tcW w:w="0" w:type="auto"/>
            <w:hideMark/>
          </w:tcPr>
          <w:p w14:paraId="64FE0F1D" w14:textId="77777777" w:rsidR="002F75A7" w:rsidRPr="00C92A1A" w:rsidRDefault="002F75A7" w:rsidP="002F75A7">
            <w:pPr>
              <w:rPr>
                <w:rFonts w:ascii="Calibri" w:hAnsi="Calibri" w:cs="Calibri"/>
                <w:b/>
                <w:bCs/>
                <w:sz w:val="18"/>
                <w:szCs w:val="18"/>
                <w:lang w:val="en-ES" w:eastAsia="en-GB"/>
              </w:rPr>
            </w:pPr>
            <w:r w:rsidRPr="00C92A1A">
              <w:rPr>
                <w:rFonts w:ascii="Calibri" w:hAnsi="Calibri" w:cs="Calibri"/>
                <w:b/>
                <w:bCs/>
                <w:sz w:val="18"/>
                <w:szCs w:val="18"/>
                <w:lang w:val="en-ES" w:eastAsia="en-GB"/>
              </w:rPr>
              <w:t>Dominant scale</w:t>
            </w:r>
          </w:p>
        </w:tc>
        <w:tc>
          <w:tcPr>
            <w:tcW w:w="0" w:type="auto"/>
            <w:hideMark/>
          </w:tcPr>
          <w:p w14:paraId="0196B69D" w14:textId="77777777" w:rsidR="002F75A7" w:rsidRPr="00C92A1A" w:rsidRDefault="002F75A7" w:rsidP="002F75A7">
            <w:pPr>
              <w:rPr>
                <w:rFonts w:ascii="Calibri" w:hAnsi="Calibri" w:cs="Calibri"/>
                <w:b/>
                <w:bCs/>
                <w:sz w:val="18"/>
                <w:szCs w:val="18"/>
                <w:lang w:val="en-ES" w:eastAsia="en-GB"/>
              </w:rPr>
            </w:pPr>
            <w:r w:rsidRPr="00C92A1A">
              <w:rPr>
                <w:rFonts w:ascii="Calibri" w:hAnsi="Calibri" w:cs="Calibri"/>
                <w:b/>
                <w:bCs/>
                <w:sz w:val="18"/>
                <w:szCs w:val="18"/>
                <w:lang w:val="en-ES" w:eastAsia="en-GB"/>
              </w:rPr>
              <w:t>Observable pillar(s)</w:t>
            </w:r>
          </w:p>
        </w:tc>
        <w:tc>
          <w:tcPr>
            <w:tcW w:w="0" w:type="auto"/>
            <w:hideMark/>
          </w:tcPr>
          <w:p w14:paraId="0DE847CE" w14:textId="77777777" w:rsidR="002F75A7" w:rsidRPr="00C92A1A" w:rsidRDefault="002F75A7" w:rsidP="002F75A7">
            <w:pPr>
              <w:rPr>
                <w:rFonts w:ascii="Calibri" w:hAnsi="Calibri" w:cs="Calibri"/>
                <w:b/>
                <w:bCs/>
                <w:sz w:val="18"/>
                <w:szCs w:val="18"/>
                <w:lang w:val="en-ES" w:eastAsia="en-GB"/>
              </w:rPr>
            </w:pPr>
            <w:r w:rsidRPr="00C92A1A">
              <w:rPr>
                <w:rFonts w:ascii="Calibri" w:hAnsi="Calibri" w:cs="Calibri"/>
                <w:b/>
                <w:bCs/>
                <w:sz w:val="18"/>
                <w:szCs w:val="18"/>
                <w:lang w:val="en-ES" w:eastAsia="en-GB"/>
              </w:rPr>
              <w:t>Observable metric (per Metrics Matrix)</w:t>
            </w:r>
          </w:p>
        </w:tc>
      </w:tr>
      <w:tr w:rsidR="002F75A7" w:rsidRPr="00C92A1A" w14:paraId="28FE12AF" w14:textId="77777777" w:rsidTr="002F75A7">
        <w:tc>
          <w:tcPr>
            <w:tcW w:w="745" w:type="pct"/>
            <w:hideMark/>
          </w:tcPr>
          <w:p w14:paraId="5401909D"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Bas-Saint-Laurent, Canada</w:t>
            </w:r>
          </w:p>
        </w:tc>
        <w:tc>
          <w:tcPr>
            <w:tcW w:w="0" w:type="auto"/>
            <w:hideMark/>
          </w:tcPr>
          <w:p w14:paraId="5B15AD17"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Region / Bioregion</w:t>
            </w:r>
          </w:p>
        </w:tc>
        <w:tc>
          <w:tcPr>
            <w:tcW w:w="0" w:type="auto"/>
            <w:hideMark/>
          </w:tcPr>
          <w:p w14:paraId="699E299D"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Environmental, Economic</w:t>
            </w:r>
          </w:p>
        </w:tc>
        <w:tc>
          <w:tcPr>
            <w:tcW w:w="0" w:type="auto"/>
            <w:hideMark/>
          </w:tcPr>
          <w:p w14:paraId="73AF5934" w14:textId="428A7806"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 xml:space="preserve">% theoretical autonomy in bio-food and energy; regional infrastructure coordination (energy, mobility) </w:t>
            </w:r>
          </w:p>
        </w:tc>
      </w:tr>
      <w:tr w:rsidR="002F75A7" w:rsidRPr="00C92A1A" w14:paraId="390362EB" w14:textId="77777777" w:rsidTr="002F75A7">
        <w:tc>
          <w:tcPr>
            <w:tcW w:w="745" w:type="pct"/>
            <w:hideMark/>
          </w:tcPr>
          <w:p w14:paraId="361F818A"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Fab City Hamburg — Fab City OS</w:t>
            </w:r>
          </w:p>
        </w:tc>
        <w:tc>
          <w:tcPr>
            <w:tcW w:w="0" w:type="auto"/>
            <w:hideMark/>
          </w:tcPr>
          <w:p w14:paraId="71B96D49"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City / Region</w:t>
            </w:r>
          </w:p>
        </w:tc>
        <w:tc>
          <w:tcPr>
            <w:tcW w:w="0" w:type="auto"/>
            <w:hideMark/>
          </w:tcPr>
          <w:p w14:paraId="71A287C5"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Governance, Economic</w:t>
            </w:r>
          </w:p>
        </w:tc>
        <w:tc>
          <w:tcPr>
            <w:tcW w:w="0" w:type="auto"/>
            <w:hideMark/>
          </w:tcPr>
          <w:p w14:paraId="033F9352" w14:textId="552B4729"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 xml:space="preserve">Shared digital commons infrastructure; value creation tracked via digital product passport </w:t>
            </w:r>
          </w:p>
        </w:tc>
      </w:tr>
      <w:tr w:rsidR="002F75A7" w:rsidRPr="00C92A1A" w14:paraId="6AB011C2" w14:textId="77777777" w:rsidTr="002F75A7">
        <w:tc>
          <w:tcPr>
            <w:tcW w:w="745" w:type="pct"/>
            <w:hideMark/>
          </w:tcPr>
          <w:p w14:paraId="51F698B4"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Fab City Hamburg — Maker Challenge</w:t>
            </w:r>
          </w:p>
        </w:tc>
        <w:tc>
          <w:tcPr>
            <w:tcW w:w="0" w:type="auto"/>
            <w:hideMark/>
          </w:tcPr>
          <w:p w14:paraId="7C4D1F3B"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City</w:t>
            </w:r>
          </w:p>
        </w:tc>
        <w:tc>
          <w:tcPr>
            <w:tcW w:w="0" w:type="auto"/>
            <w:hideMark/>
          </w:tcPr>
          <w:p w14:paraId="35B42594"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Social, Governance</w:t>
            </w:r>
          </w:p>
        </w:tc>
        <w:tc>
          <w:tcPr>
            <w:tcW w:w="0" w:type="auto"/>
            <w:hideMark/>
          </w:tcPr>
          <w:p w14:paraId="5B125E14"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Participation in making activities (voters, submitted ideas); legitimacy and participation motives</w:t>
            </w:r>
          </w:p>
        </w:tc>
      </w:tr>
      <w:tr w:rsidR="002F75A7" w:rsidRPr="00C92A1A" w14:paraId="0C7408B5" w14:textId="77777777" w:rsidTr="002F75A7">
        <w:tc>
          <w:tcPr>
            <w:tcW w:w="745" w:type="pct"/>
            <w:hideMark/>
          </w:tcPr>
          <w:p w14:paraId="7FA64046"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Veberd, Sweden (Digital Twin)</w:t>
            </w:r>
          </w:p>
        </w:tc>
        <w:tc>
          <w:tcPr>
            <w:tcW w:w="0" w:type="auto"/>
            <w:hideMark/>
          </w:tcPr>
          <w:p w14:paraId="27FCC6DA"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Community</w:t>
            </w:r>
          </w:p>
        </w:tc>
        <w:tc>
          <w:tcPr>
            <w:tcW w:w="0" w:type="auto"/>
            <w:hideMark/>
          </w:tcPr>
          <w:p w14:paraId="2765519E"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Governance, Environmental</w:t>
            </w:r>
          </w:p>
        </w:tc>
        <w:tc>
          <w:tcPr>
            <w:tcW w:w="0" w:type="auto"/>
            <w:hideMark/>
          </w:tcPr>
          <w:p w14:paraId="74F8EB9E" w14:textId="7855C695"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 xml:space="preserve">Local community rules and participation; live environmental data (noise, flooding, flows) </w:t>
            </w:r>
          </w:p>
        </w:tc>
      </w:tr>
      <w:tr w:rsidR="002F75A7" w:rsidRPr="00C92A1A" w14:paraId="1A93F7D0" w14:textId="77777777" w:rsidTr="002F75A7">
        <w:tc>
          <w:tcPr>
            <w:tcW w:w="745" w:type="pct"/>
            <w:hideMark/>
          </w:tcPr>
          <w:p w14:paraId="5A7EC86A"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Zagreb, Croatia (Adriatic Greenlab)</w:t>
            </w:r>
          </w:p>
        </w:tc>
        <w:tc>
          <w:tcPr>
            <w:tcW w:w="0" w:type="auto"/>
            <w:hideMark/>
          </w:tcPr>
          <w:p w14:paraId="4CDB8158"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Bioregion / City</w:t>
            </w:r>
          </w:p>
        </w:tc>
        <w:tc>
          <w:tcPr>
            <w:tcW w:w="0" w:type="auto"/>
            <w:hideMark/>
          </w:tcPr>
          <w:p w14:paraId="1BFDE9F5"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Environmental</w:t>
            </w:r>
          </w:p>
        </w:tc>
        <w:tc>
          <w:tcPr>
            <w:tcW w:w="0" w:type="auto"/>
            <w:hideMark/>
          </w:tcPr>
          <w:p w14:paraId="77051F70" w14:textId="0DB0486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 xml:space="preserve">Tourism-driven ecological pressure; ecosystem services and nature-based interventions </w:t>
            </w:r>
          </w:p>
        </w:tc>
      </w:tr>
      <w:tr w:rsidR="002F75A7" w:rsidRPr="00C92A1A" w14:paraId="65B13386" w14:textId="77777777" w:rsidTr="002F75A7">
        <w:tc>
          <w:tcPr>
            <w:tcW w:w="745" w:type="pct"/>
            <w:hideMark/>
          </w:tcPr>
          <w:p w14:paraId="39969E3C"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Serangan, Bali (Fab Lab Bali)</w:t>
            </w:r>
          </w:p>
        </w:tc>
        <w:tc>
          <w:tcPr>
            <w:tcW w:w="0" w:type="auto"/>
            <w:hideMark/>
          </w:tcPr>
          <w:p w14:paraId="62413C10"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Community / Bioregion</w:t>
            </w:r>
          </w:p>
        </w:tc>
        <w:tc>
          <w:tcPr>
            <w:tcW w:w="0" w:type="auto"/>
            <w:hideMark/>
          </w:tcPr>
          <w:p w14:paraId="7BAA0A99" w14:textId="77777777"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Environmental, Social, Governance</w:t>
            </w:r>
          </w:p>
        </w:tc>
        <w:tc>
          <w:tcPr>
            <w:tcW w:w="0" w:type="auto"/>
            <w:hideMark/>
          </w:tcPr>
          <w:p w14:paraId="45659926" w14:textId="3ED65E13" w:rsidR="002F75A7" w:rsidRPr="00C92A1A" w:rsidRDefault="002F75A7" w:rsidP="002F75A7">
            <w:pPr>
              <w:rPr>
                <w:rFonts w:ascii="Calibri" w:hAnsi="Calibri" w:cs="Calibri"/>
                <w:sz w:val="18"/>
                <w:szCs w:val="18"/>
                <w:lang w:val="en-ES" w:eastAsia="en-GB"/>
              </w:rPr>
            </w:pPr>
            <w:r w:rsidRPr="00C92A1A">
              <w:rPr>
                <w:rFonts w:ascii="Calibri" w:hAnsi="Calibri" w:cs="Calibri"/>
                <w:sz w:val="18"/>
                <w:szCs w:val="18"/>
                <w:lang w:val="en-ES" w:eastAsia="en-GB"/>
              </w:rPr>
              <w:t xml:space="preserve">Land impermeability %, water quality (open-source buoy), community workshop participation, local governance (banjar) </w:t>
            </w:r>
          </w:p>
        </w:tc>
      </w:tr>
    </w:tbl>
    <w:p w14:paraId="3489252B" w14:textId="77777777" w:rsidR="002F75A7" w:rsidRPr="00C92A1A" w:rsidRDefault="002F75A7" w:rsidP="00EA7067">
      <w:pPr>
        <w:pStyle w:val="Text"/>
        <w:rPr>
          <w:rFonts w:cs="Calibri"/>
        </w:rPr>
      </w:pPr>
    </w:p>
    <w:p w14:paraId="1FC29C5A" w14:textId="230D5297" w:rsidR="00FF439A" w:rsidRPr="00C92A1A" w:rsidRDefault="008409A0" w:rsidP="00EA7067">
      <w:pPr>
        <w:pStyle w:val="Text"/>
        <w:rPr>
          <w:rFonts w:cs="Calibri"/>
        </w:rPr>
      </w:pPr>
      <w:r w:rsidRPr="00C92A1A">
        <w:rPr>
          <w:rFonts w:cs="Calibri"/>
        </w:rPr>
        <w:t>Several conclusions follow from the framework and its implementation logic. First, the framework can be applied in Fab Labs and Fab City hubs without reducing its theoretical architecture. The critical move is to begin at community scale and to treat higher scales as interpretive and aggregation horizons rather than immediate reporting units.</w:t>
      </w:r>
    </w:p>
    <w:p w14:paraId="07F4F8B9" w14:textId="77777777" w:rsidR="00FF439A" w:rsidRPr="00C92A1A" w:rsidRDefault="00000000" w:rsidP="00EA7067">
      <w:pPr>
        <w:pStyle w:val="Text"/>
        <w:rPr>
          <w:rFonts w:cs="Calibri"/>
        </w:rPr>
      </w:pPr>
      <w:r w:rsidRPr="00C92A1A">
        <w:rPr>
          <w:rFonts w:cs="Calibri"/>
        </w:rPr>
        <w:t>Second, usability improves significantly when indicators are filtered through feasibility criteria. A compact first-phase indicator set is methodologically stronger than a broad and weakly maintained one.</w:t>
      </w:r>
    </w:p>
    <w:p w14:paraId="5BF68462" w14:textId="77777777" w:rsidR="00FF439A" w:rsidRPr="00C92A1A" w:rsidRDefault="00000000" w:rsidP="00EA7067">
      <w:pPr>
        <w:pStyle w:val="Text"/>
        <w:rPr>
          <w:rFonts w:cs="Calibri"/>
        </w:rPr>
      </w:pPr>
      <w:r w:rsidRPr="00C92A1A">
        <w:rPr>
          <w:rFonts w:cs="Calibri"/>
        </w:rPr>
        <w:t xml:space="preserve">Third, governance metrics are structurally necessary. Without regular meetings, clear responsibilities, transparent protocols, and documented knowledge sharing, environmental, social, and economic metrics </w:t>
      </w:r>
      <w:r w:rsidRPr="00C92A1A">
        <w:rPr>
          <w:rFonts w:cs="Calibri"/>
        </w:rPr>
        <w:lastRenderedPageBreak/>
        <w:t>cannot be maintained consistently. Governance is therefore both a pillar of assessment and a condition for measurement itself.</w:t>
      </w:r>
    </w:p>
    <w:p w14:paraId="1B417FC4" w14:textId="77777777" w:rsidR="00FF439A" w:rsidRPr="00C92A1A" w:rsidRDefault="00000000" w:rsidP="00EA7067">
      <w:pPr>
        <w:pStyle w:val="Text"/>
        <w:rPr>
          <w:rFonts w:cs="Calibri"/>
        </w:rPr>
      </w:pPr>
      <w:r w:rsidRPr="00C92A1A">
        <w:rPr>
          <w:rFonts w:cs="Calibri"/>
        </w:rPr>
        <w:t>Fourth, implementation benefits from being staged. Deferring lower-feasibility indicators allows organisations to stabilise core routines before expanding the scope of measurement.</w:t>
      </w:r>
    </w:p>
    <w:p w14:paraId="3ACF45B7" w14:textId="77777777" w:rsidR="00FF439A" w:rsidRPr="00C92A1A" w:rsidRDefault="00000000" w:rsidP="00EA7067">
      <w:pPr>
        <w:pStyle w:val="Heading2"/>
        <w:keepLines w:val="0"/>
        <w:tabs>
          <w:tab w:val="center" w:pos="4393"/>
        </w:tabs>
        <w:spacing w:before="600" w:after="80" w:line="240" w:lineRule="auto"/>
        <w:rPr>
          <w:rFonts w:ascii="Calibri" w:eastAsia="Times New Roman" w:hAnsi="Calibri" w:cs="Calibri"/>
          <w:color w:val="auto"/>
          <w:spacing w:val="-6"/>
          <w:sz w:val="28"/>
          <w:szCs w:val="20"/>
          <w:lang w:val="en-GB" w:eastAsia="de-DE"/>
        </w:rPr>
      </w:pPr>
      <w:r w:rsidRPr="00C92A1A">
        <w:rPr>
          <w:rFonts w:ascii="Calibri" w:eastAsia="Times New Roman" w:hAnsi="Calibri" w:cs="Calibri"/>
          <w:color w:val="auto"/>
          <w:spacing w:val="-6"/>
          <w:sz w:val="28"/>
          <w:szCs w:val="20"/>
          <w:lang w:val="en-GB" w:eastAsia="de-DE"/>
        </w:rPr>
        <w:t>7 Discussion</w:t>
      </w:r>
    </w:p>
    <w:p w14:paraId="3CB24A35" w14:textId="77777777" w:rsidR="00FF439A" w:rsidRPr="00C92A1A" w:rsidRDefault="00000000" w:rsidP="00EA7067">
      <w:pPr>
        <w:pStyle w:val="Text"/>
        <w:rPr>
          <w:rFonts w:cs="Calibri"/>
        </w:rPr>
      </w:pPr>
      <w:r w:rsidRPr="00C92A1A">
        <w:rPr>
          <w:rFonts w:cs="Calibri"/>
        </w:rPr>
        <w:t>The main contribution of the framework lies in showing that impact measurement for Fab Labs and Fab City hubs depends less on generating more indicators than on organising metrics within a coherent systems architecture. The issue is not metric proliferation; it is metric governance.</w:t>
      </w:r>
    </w:p>
    <w:p w14:paraId="1ED5AD18" w14:textId="77777777" w:rsidR="00FF439A" w:rsidRPr="00C92A1A" w:rsidRDefault="00000000" w:rsidP="00EA7067">
      <w:pPr>
        <w:pStyle w:val="Text"/>
        <w:rPr>
          <w:rFonts w:cs="Calibri"/>
        </w:rPr>
      </w:pPr>
      <w:r w:rsidRPr="00C92A1A">
        <w:rPr>
          <w:rFonts w:cs="Calibri"/>
        </w:rPr>
        <w:t>The framework should be understood as a layered evaluation model rather than as a flat list of indicators. Its strength lies in connecting local evidence to wider urban, regional, ecological, and planetary contexts without collapsing the distinction between them. That distinction is especially important in design research and sustainability transitions, where local experimentation is often over-interpreted as systemic change.</w:t>
      </w:r>
    </w:p>
    <w:p w14:paraId="065E4365" w14:textId="77777777" w:rsidR="00FF439A" w:rsidRPr="00C92A1A" w:rsidRDefault="00000000" w:rsidP="00EA7067">
      <w:pPr>
        <w:pStyle w:val="Text"/>
        <w:rPr>
          <w:rFonts w:cs="Calibri"/>
        </w:rPr>
      </w:pPr>
      <w:r w:rsidRPr="00C92A1A">
        <w:rPr>
          <w:rFonts w:cs="Calibri"/>
        </w:rPr>
        <w:t>The methodology is actionable because it is calibrated to implementation conditions. It does not require organisations to measure everything at once; it asks them to establish a stable practice of evidence generation, grounded in theory and adjusted to actual capacity. This makes the framework adaptable across different institutional settings while preserving comparability. It also clarifies the institutional role of Fab Labs and Fab City hubs: they are not only sites of technical production, but nodes of learning, repair, coordination, innovation, and governance.</w:t>
      </w:r>
    </w:p>
    <w:p w14:paraId="694C2CB7" w14:textId="77777777" w:rsidR="00FF439A" w:rsidRPr="00C92A1A" w:rsidRDefault="00000000" w:rsidP="00EA7067">
      <w:pPr>
        <w:pStyle w:val="Text"/>
        <w:rPr>
          <w:rFonts w:cs="Calibri"/>
        </w:rPr>
      </w:pPr>
      <w:r w:rsidRPr="00C92A1A">
        <w:rPr>
          <w:rFonts w:cs="Calibri"/>
        </w:rPr>
        <w:t>The concept of planetary computation (Vivanco, 2025) deepens this understanding. Metrics within the Full Stack framework do not merely describe performance; when embedded in distributed observation and open-data routines, they enact a form of planetary computation — local data collected in a Fab Lab or hub becomes part of a globally shared intelligence that steers collective action toward regenerative outcomes. This reframes measurement not as reporting but as active participation in a planetary feedback system.</w:t>
      </w:r>
    </w:p>
    <w:p w14:paraId="2A5C5D12" w14:textId="77777777" w:rsidR="00FF439A" w:rsidRPr="00C92A1A" w:rsidRDefault="00000000" w:rsidP="00EA7067">
      <w:pPr>
        <w:pStyle w:val="Heading2"/>
        <w:keepLines w:val="0"/>
        <w:tabs>
          <w:tab w:val="center" w:pos="4393"/>
        </w:tabs>
        <w:spacing w:before="600" w:after="80" w:line="240" w:lineRule="auto"/>
        <w:rPr>
          <w:rFonts w:ascii="Calibri" w:eastAsia="Times New Roman" w:hAnsi="Calibri" w:cs="Calibri"/>
          <w:color w:val="auto"/>
          <w:spacing w:val="-6"/>
          <w:sz w:val="28"/>
          <w:szCs w:val="20"/>
          <w:lang w:val="en-GB" w:eastAsia="de-DE"/>
        </w:rPr>
      </w:pPr>
      <w:r w:rsidRPr="00C92A1A">
        <w:rPr>
          <w:rFonts w:ascii="Calibri" w:eastAsia="Times New Roman" w:hAnsi="Calibri" w:cs="Calibri"/>
          <w:color w:val="auto"/>
          <w:spacing w:val="-6"/>
          <w:sz w:val="28"/>
          <w:szCs w:val="20"/>
          <w:lang w:val="en-GB" w:eastAsia="de-DE"/>
        </w:rPr>
        <w:t>8 Conclusion</w:t>
      </w:r>
    </w:p>
    <w:p w14:paraId="346B474B" w14:textId="7444440C" w:rsidR="00FF439A" w:rsidRPr="00C92A1A" w:rsidRDefault="002F75A7" w:rsidP="00EA7067">
      <w:pPr>
        <w:pStyle w:val="Text"/>
        <w:rPr>
          <w:rFonts w:cs="Calibri"/>
        </w:rPr>
      </w:pPr>
      <w:r w:rsidRPr="00C92A1A">
        <w:rPr>
          <w:rFonts w:cs="Calibri"/>
        </w:rPr>
        <w:t>Under these conditions, a feasible core indicator set, transparent data protocols, and regular governance review will allow Fab Labs and Fab City hubs to generate credible and comparable evidence. A workable implementation of the Fab City Full Stack Metrics Framework depends on conceptual clarity, feasible indicators, and stable organisational routines. The methodology developed here translates the framework into a clear sequence of boundary definition, activity mapping, indicator selection, data protocol design, and review.</w:t>
      </w:r>
    </w:p>
    <w:p w14:paraId="129AD43A" w14:textId="77777777" w:rsidR="00FF439A" w:rsidRPr="00C92A1A" w:rsidRDefault="00000000" w:rsidP="00EA7067">
      <w:pPr>
        <w:pStyle w:val="Text"/>
        <w:rPr>
          <w:rFonts w:cs="Calibri"/>
        </w:rPr>
      </w:pPr>
      <w:r w:rsidRPr="00C92A1A">
        <w:rPr>
          <w:rFonts w:cs="Calibri"/>
        </w:rPr>
        <w:t>Starting at the community scale makes implementation possible where attribution is strongest. Treating higher scales as analytical horizons preserves theoretical coherence without creating unrealistic reporting demands. A feasible core of indicators supports regular application, and review routines turn data collection into organisational learning rather than administrative burden.</w:t>
      </w:r>
    </w:p>
    <w:p w14:paraId="58CC6F97" w14:textId="77777777" w:rsidR="00FF439A" w:rsidRPr="00C92A1A" w:rsidRDefault="00000000" w:rsidP="00EA7067">
      <w:pPr>
        <w:pStyle w:val="Text"/>
        <w:rPr>
          <w:rFonts w:cs="Calibri"/>
        </w:rPr>
      </w:pPr>
      <w:r w:rsidRPr="00C92A1A">
        <w:rPr>
          <w:rFonts w:cs="Calibri"/>
        </w:rPr>
        <w:t>Under these conditions, Fab Labs and Fab City hubs can generate credible and comparable evidence of their contribution to distributed, circular, and regenerative transitions.</w:t>
      </w:r>
    </w:p>
    <w:p w14:paraId="35E1C860" w14:textId="77777777" w:rsidR="00FF439A" w:rsidRPr="00C92A1A" w:rsidRDefault="00000000" w:rsidP="00EA7067">
      <w:pPr>
        <w:pStyle w:val="SmallHeading"/>
        <w:rPr>
          <w:rFonts w:cs="Calibri"/>
        </w:rPr>
      </w:pPr>
      <w:r w:rsidRPr="00C92A1A">
        <w:rPr>
          <w:rFonts w:cs="Calibri"/>
        </w:rPr>
        <w:t>Acknowledgement</w:t>
      </w:r>
    </w:p>
    <w:p w14:paraId="13BB2883" w14:textId="4D6A71D9" w:rsidR="00EA7067" w:rsidRPr="00C92A1A" w:rsidRDefault="00000000" w:rsidP="00EA7067">
      <w:pPr>
        <w:pStyle w:val="Text"/>
        <w:rPr>
          <w:rFonts w:cs="Calibri"/>
          <w:sz w:val="20"/>
        </w:rPr>
      </w:pPr>
      <w:r w:rsidRPr="00C92A1A">
        <w:rPr>
          <w:rFonts w:cs="Calibri"/>
        </w:rPr>
        <w:t>Fab City Foundation</w:t>
      </w:r>
      <w:r w:rsidR="00C92A1A">
        <w:rPr>
          <w:rFonts w:cs="Calibri"/>
        </w:rPr>
        <w:t xml:space="preserve">, Fab City </w:t>
      </w:r>
      <w:r w:rsidRPr="00C92A1A">
        <w:rPr>
          <w:rFonts w:cs="Calibri"/>
        </w:rPr>
        <w:t>and Fab Lab Network</w:t>
      </w:r>
      <w:r w:rsidR="00C92A1A">
        <w:rPr>
          <w:rFonts w:cs="Calibri"/>
        </w:rPr>
        <w:t>s</w:t>
      </w:r>
      <w:r w:rsidRPr="00C92A1A">
        <w:rPr>
          <w:rFonts w:cs="Calibri"/>
        </w:rPr>
        <w:t xml:space="preserve">. </w:t>
      </w:r>
    </w:p>
    <w:p w14:paraId="35421965" w14:textId="77777777" w:rsidR="00FF439A" w:rsidRPr="00C92A1A" w:rsidRDefault="00000000" w:rsidP="00EA7067">
      <w:pPr>
        <w:pStyle w:val="SmallHeading"/>
        <w:rPr>
          <w:rFonts w:cs="Calibri"/>
        </w:rPr>
      </w:pPr>
      <w:r w:rsidRPr="00C92A1A">
        <w:rPr>
          <w:rFonts w:cs="Calibri"/>
        </w:rPr>
        <w:lastRenderedPageBreak/>
        <w:t>References</w:t>
      </w:r>
    </w:p>
    <w:p w14:paraId="43D511AE"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Beer, S. (1979). The heart of enterprise. Wiley.</w:t>
      </w:r>
    </w:p>
    <w:p w14:paraId="0BEF69EB" w14:textId="0B22AE83" w:rsidR="00A754A7" w:rsidRPr="00C92A1A" w:rsidRDefault="00A754A7">
      <w:pPr>
        <w:spacing w:after="40"/>
        <w:ind w:left="425" w:hanging="425"/>
        <w:rPr>
          <w:rFonts w:ascii="Calibri" w:hAnsi="Calibri" w:cs="Calibri"/>
          <w:sz w:val="20"/>
        </w:rPr>
      </w:pPr>
      <w:r w:rsidRPr="00C92A1A">
        <w:rPr>
          <w:rFonts w:ascii="Calibri" w:hAnsi="Calibri" w:cs="Calibri"/>
          <w:sz w:val="20"/>
        </w:rPr>
        <w:t xml:space="preserve">Bell, S., &amp; Morse, S. (2012). Sustainability indicators: Measuring the immeasurable? (2nd ed.). Routledge. </w:t>
      </w:r>
      <w:hyperlink r:id="rId8" w:history="1">
        <w:r w:rsidRPr="00C92A1A">
          <w:rPr>
            <w:rFonts w:ascii="Calibri" w:hAnsi="Calibri" w:cs="Calibri"/>
          </w:rPr>
          <w:t>https://doi.org/10.4324/9781849773065</w:t>
        </w:r>
      </w:hyperlink>
    </w:p>
    <w:p w14:paraId="57C8F5F5" w14:textId="30149A74" w:rsidR="00A754A7" w:rsidRPr="00C92A1A" w:rsidRDefault="00A754A7">
      <w:pPr>
        <w:spacing w:after="40"/>
        <w:ind w:left="425" w:hanging="425"/>
        <w:rPr>
          <w:rFonts w:ascii="Calibri" w:hAnsi="Calibri" w:cs="Calibri"/>
          <w:sz w:val="20"/>
        </w:rPr>
      </w:pPr>
      <w:r w:rsidRPr="00C92A1A">
        <w:rPr>
          <w:rFonts w:ascii="Calibri" w:hAnsi="Calibri" w:cs="Calibri"/>
          <w:sz w:val="20"/>
        </w:rPr>
        <w:t xml:space="preserve">Bjørn, A., Fanning, A., Branny, A., Birgisdottir, H., Clausen, C., Fetzer, I., Francart, N., </w:t>
      </w:r>
      <w:proofErr w:type="spellStart"/>
      <w:r w:rsidRPr="00C92A1A">
        <w:rPr>
          <w:rFonts w:ascii="Calibri" w:hAnsi="Calibri" w:cs="Calibri"/>
          <w:sz w:val="20"/>
        </w:rPr>
        <w:t>Grcheva</w:t>
      </w:r>
      <w:proofErr w:type="spellEnd"/>
      <w:r w:rsidRPr="00C92A1A">
        <w:rPr>
          <w:rFonts w:ascii="Calibri" w:hAnsi="Calibri" w:cs="Calibri"/>
          <w:sz w:val="20"/>
        </w:rPr>
        <w:t>, L., Heide, M., Lassen, E., Leonardsen, J., Moberg, F., Nørgaard, R., Pham, D., Kjørup Rasmussen, K., Raworth, K., Ryberg, M., Hill-Hansen, D., &amp; Guldager Jensen, K. (2023). Doughnut for urban development: A manual. Danish Architectural Press. ISBN 9788774078326.</w:t>
      </w:r>
    </w:p>
    <w:p w14:paraId="4FDC61D6" w14:textId="589FCA93" w:rsidR="00A754A7" w:rsidRPr="00C92A1A" w:rsidRDefault="00A754A7">
      <w:pPr>
        <w:spacing w:after="40"/>
        <w:ind w:left="425" w:hanging="425"/>
        <w:rPr>
          <w:rFonts w:ascii="Calibri" w:hAnsi="Calibri" w:cs="Calibri"/>
          <w:sz w:val="20"/>
        </w:rPr>
      </w:pPr>
      <w:r w:rsidRPr="00C92A1A">
        <w:rPr>
          <w:rFonts w:ascii="Calibri" w:hAnsi="Calibri" w:cs="Calibri"/>
          <w:sz w:val="20"/>
        </w:rPr>
        <w:t xml:space="preserve">Boeing, N. (2024). The Fab City Index: A toolkit for measuring progress towards a circular economy. In M. Moritz, T. Redlich, S. Buxbaum-Conradi, &amp; J. P. </w:t>
      </w:r>
      <w:proofErr w:type="spellStart"/>
      <w:r w:rsidRPr="00C92A1A">
        <w:rPr>
          <w:rFonts w:ascii="Calibri" w:hAnsi="Calibri" w:cs="Calibri"/>
          <w:sz w:val="20"/>
        </w:rPr>
        <w:t>Wulfsberg</w:t>
      </w:r>
      <w:proofErr w:type="spellEnd"/>
      <w:r w:rsidRPr="00C92A1A">
        <w:rPr>
          <w:rFonts w:ascii="Calibri" w:hAnsi="Calibri" w:cs="Calibri"/>
          <w:sz w:val="20"/>
        </w:rPr>
        <w:t xml:space="preserve"> (Eds.), Global collaboration, local production. Springer Nature. </w:t>
      </w:r>
      <w:hyperlink r:id="rId9" w:history="1">
        <w:r w:rsidRPr="00C92A1A">
          <w:rPr>
            <w:rFonts w:ascii="Calibri" w:hAnsi="Calibri" w:cs="Calibri"/>
          </w:rPr>
          <w:t>https://doi.org/10.1007/978-3-658-44114-2_9</w:t>
        </w:r>
      </w:hyperlink>
    </w:p>
    <w:p w14:paraId="78B973A9" w14:textId="1DD357CF" w:rsidR="00FF439A" w:rsidRPr="00C92A1A" w:rsidRDefault="00000000">
      <w:pPr>
        <w:spacing w:after="40"/>
        <w:ind w:left="425" w:hanging="425"/>
        <w:rPr>
          <w:rFonts w:ascii="Calibri" w:hAnsi="Calibri" w:cs="Calibri"/>
          <w:sz w:val="20"/>
        </w:rPr>
      </w:pPr>
      <w:r w:rsidRPr="00C92A1A">
        <w:rPr>
          <w:rFonts w:ascii="Calibri" w:hAnsi="Calibri" w:cs="Calibri"/>
          <w:sz w:val="20"/>
        </w:rPr>
        <w:t>Brenner, N. (Ed.). (2014). Implosions/explosions: Towards a study of planetary urbanization. Jovis.</w:t>
      </w:r>
    </w:p>
    <w:p w14:paraId="09518D3E" w14:textId="4F9F2D81" w:rsidR="00A754A7" w:rsidRPr="00C92A1A" w:rsidRDefault="00A754A7">
      <w:pPr>
        <w:spacing w:after="40"/>
        <w:ind w:left="425" w:hanging="425"/>
        <w:rPr>
          <w:rFonts w:ascii="Calibri" w:hAnsi="Calibri" w:cs="Calibri"/>
          <w:sz w:val="20"/>
        </w:rPr>
      </w:pPr>
      <w:r w:rsidRPr="00C92A1A">
        <w:rPr>
          <w:rFonts w:ascii="Calibri" w:hAnsi="Calibri" w:cs="Calibri"/>
          <w:sz w:val="20"/>
        </w:rPr>
        <w:t xml:space="preserve">Bucci Ancapi, F., Van Bueren, E., &amp; Van den Berghe, K. (2022). Circular cities. In R.C. Brears (Ed.), The </w:t>
      </w:r>
      <w:proofErr w:type="spellStart"/>
      <w:r w:rsidRPr="00C92A1A">
        <w:rPr>
          <w:rFonts w:ascii="Calibri" w:hAnsi="Calibri" w:cs="Calibri"/>
          <w:sz w:val="20"/>
        </w:rPr>
        <w:t>palgrave</w:t>
      </w:r>
      <w:proofErr w:type="spellEnd"/>
      <w:r w:rsidRPr="00C92A1A">
        <w:rPr>
          <w:rFonts w:ascii="Calibri" w:hAnsi="Calibri" w:cs="Calibri"/>
          <w:sz w:val="20"/>
        </w:rPr>
        <w:t xml:space="preserve"> encyclopedia of urban and regional futures (pp. 1–12). Springer International Publishing. </w:t>
      </w:r>
      <w:hyperlink r:id="rId10" w:history="1">
        <w:r w:rsidRPr="00C92A1A">
          <w:rPr>
            <w:rFonts w:ascii="Calibri" w:hAnsi="Calibri" w:cs="Calibri"/>
            <w:sz w:val="20"/>
          </w:rPr>
          <w:t>https://doi.org/10.1007/978-3-030-51812-7_125-1</w:t>
        </w:r>
      </w:hyperlink>
    </w:p>
    <w:p w14:paraId="25B995CD" w14:textId="6C22ACF1" w:rsidR="00FF439A" w:rsidRPr="00C92A1A" w:rsidRDefault="00000000">
      <w:pPr>
        <w:spacing w:after="40"/>
        <w:ind w:left="425" w:hanging="425"/>
        <w:rPr>
          <w:rFonts w:ascii="Calibri" w:hAnsi="Calibri" w:cs="Calibri"/>
          <w:sz w:val="20"/>
        </w:rPr>
      </w:pPr>
      <w:r w:rsidRPr="00C92A1A">
        <w:rPr>
          <w:rFonts w:ascii="Calibri" w:hAnsi="Calibri" w:cs="Calibri"/>
          <w:sz w:val="20"/>
        </w:rPr>
        <w:t>Chen, X., Lian, X., &amp; Visbeck, M. (2021). Downscaling planetary boundaries to urban contexts. Ecological Indicators, 126, 107695. https://doi.org/10.1016/j.ecolind.2021.107695</w:t>
      </w:r>
    </w:p>
    <w:p w14:paraId="5BB49EC8"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Chester, M., Pincetl, S., &amp; Allenby, B. (2012). Avoiding unintended tradeoffs by integrating life-cycle impact assessment with urban metabolism. Current Opinion in Environmental Sustainability, 4(4), 451–457. https://doi.org/10.1016/j.cosust.2012.09.004</w:t>
      </w:r>
    </w:p>
    <w:p w14:paraId="3B3C392C"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Dal Poz, M. E., de Brito Cruz, C. H., &amp; Bonacelli, M. B. (2022). Governance and institutional capacity for sustainability transitions. Environmental Science &amp; Policy, 132, 151–160. https://doi.org/10.1016/j.envsci.2022.02.024</w:t>
      </w:r>
    </w:p>
    <w:p w14:paraId="106A10A6"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 xml:space="preserve">Diez, T., Charny, D., &amp; </w:t>
      </w:r>
      <w:proofErr w:type="spellStart"/>
      <w:r w:rsidRPr="00C92A1A">
        <w:rPr>
          <w:rFonts w:ascii="Calibri" w:hAnsi="Calibri" w:cs="Calibri"/>
          <w:sz w:val="20"/>
        </w:rPr>
        <w:t>Kohtala</w:t>
      </w:r>
      <w:proofErr w:type="spellEnd"/>
      <w:r w:rsidRPr="00C92A1A">
        <w:rPr>
          <w:rFonts w:ascii="Calibri" w:hAnsi="Calibri" w:cs="Calibri"/>
          <w:sz w:val="20"/>
        </w:rPr>
        <w:t>, C. (2024). The Fab City full stack: Locally productive, globally connected. Fab City Foundation. https://doi.org/10.5281/zenodo.10492629</w:t>
      </w:r>
    </w:p>
    <w:p w14:paraId="500D649B"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Dor, A., &amp; Kissinger, M. (2017). A multi-scale environmental assessment framework for evaluating urban sustainability. Journal of Environmental Management, 193, 337–346. https://doi.org/10.1016/j.jenvman.2017.02.036</w:t>
      </w:r>
    </w:p>
    <w:p w14:paraId="2CD95FE8"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Eurostat. (2019). Sustainable development in the European Union: Monitoring report on progress towards the SDGs in an EU context. Publications Office of the European Union. https://doi.org/10.2785/259286</w:t>
      </w:r>
    </w:p>
    <w:p w14:paraId="2A4119B4"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Freitag, C. G., Berger, M., &amp; Finkbeiner, M. (2017). Environmental assessment of urban governance: A framework for integrated impact assessment. Journal of Environmental Policy &amp; Planning, 19(5), 584–597. https://doi.org/10.1080/1523908X.2016.1224344</w:t>
      </w:r>
    </w:p>
    <w:p w14:paraId="1E83E0BD"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Geels, F. W. (2002). Technological transitions as evolutionary reconfiguration processes: A multi-level perspective and a case-study. Research Policy, 31(8–9), 1257–1274. https://doi.org/10.1016/S0048-7333(02)00062-8</w:t>
      </w:r>
    </w:p>
    <w:p w14:paraId="44517E0A"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International Organization for Standardization. (2006). ISO 14040: Environmental management – Life cycle assessment – Principles and framework. ISO.</w:t>
      </w:r>
    </w:p>
    <w:p w14:paraId="055D1523"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Ioppolo, G., Cucurachi, S., Salomone, R., Saija, G., &amp; Ciraolo, L. (2019). Integrating strategic environmental assessment and material flow accounting. Environmental Impact Assessment Review, 74, 11–20. https://doi.org/10.1016/j.eiar.2018.09.003</w:t>
      </w:r>
    </w:p>
    <w:p w14:paraId="23143D2C" w14:textId="6C4C13C1" w:rsidR="00A754A7" w:rsidRPr="00C92A1A" w:rsidRDefault="00A754A7">
      <w:pPr>
        <w:spacing w:after="40"/>
        <w:ind w:left="425" w:hanging="425"/>
        <w:rPr>
          <w:rFonts w:ascii="Calibri" w:hAnsi="Calibri" w:cs="Calibri"/>
          <w:sz w:val="20"/>
        </w:rPr>
      </w:pPr>
      <w:r w:rsidRPr="00C92A1A">
        <w:rPr>
          <w:rFonts w:ascii="Calibri" w:hAnsi="Calibri" w:cs="Calibri"/>
          <w:sz w:val="20"/>
        </w:rPr>
        <w:t xml:space="preserve">Jonas, A. E. G., Goetz, A. R., &amp; Bhattacharjee, S. (2014). City-regionalism as a politics of collective provision: Regional transport infrastructure in Denver, USA. Urban Studies, 51(11), 2444–2465. </w:t>
      </w:r>
      <w:hyperlink r:id="rId11" w:history="1">
        <w:r w:rsidRPr="00C92A1A">
          <w:rPr>
            <w:rFonts w:ascii="Calibri" w:hAnsi="Calibri" w:cs="Calibri"/>
          </w:rPr>
          <w:t>https://doi.org/10.1177/0042098013494427</w:t>
        </w:r>
      </w:hyperlink>
    </w:p>
    <w:p w14:paraId="328082F8" w14:textId="3B89732C" w:rsidR="00FF439A" w:rsidRPr="00C92A1A" w:rsidRDefault="00000000">
      <w:pPr>
        <w:spacing w:after="40"/>
        <w:ind w:left="425" w:hanging="425"/>
        <w:rPr>
          <w:rFonts w:ascii="Calibri" w:hAnsi="Calibri" w:cs="Calibri"/>
          <w:sz w:val="20"/>
        </w:rPr>
      </w:pPr>
      <w:proofErr w:type="spellStart"/>
      <w:r w:rsidRPr="00C92A1A">
        <w:rPr>
          <w:rFonts w:ascii="Calibri" w:hAnsi="Calibri" w:cs="Calibri"/>
          <w:sz w:val="20"/>
        </w:rPr>
        <w:lastRenderedPageBreak/>
        <w:t>Kalmykova</w:t>
      </w:r>
      <w:proofErr w:type="spellEnd"/>
      <w:r w:rsidRPr="00C92A1A">
        <w:rPr>
          <w:rFonts w:ascii="Calibri" w:hAnsi="Calibri" w:cs="Calibri"/>
          <w:sz w:val="20"/>
        </w:rPr>
        <w:t>, Y., &amp; Rosado, L. (2015). Circular economy: From review of theories and practices to development of implementation tools. Resources, Conservation and Recycling, 135, 190–201. https://doi.org/10.1016/j.resconrec.2017.10.034</w:t>
      </w:r>
    </w:p>
    <w:p w14:paraId="072D24FC"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Kennedy, C., Cuddihy, J., &amp; Engel-Yan, J. (2007). The changing metabolism of cities. Journal of Industrial Ecology, 11(2), 43–59. https://doi.org/10.1162/jie.2007.1107</w:t>
      </w:r>
    </w:p>
    <w:p w14:paraId="69F0968F"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Kennedy, C., Stewart, I., Facchini, A., Cersosimo, I., Mele, R., Chen, B., Uda, M., Kansal, A., Chiu, A., Kim, K., Dubeux, C., Lebre La Rovere, E., Cunha, B., &amp; Pincetl, S. (2015). Energy and material flows of megacities. Proceedings of the National Academy of Sciences, 112(19), 5985–5990. https://doi.org/10.1073/pnas.1504315112</w:t>
      </w:r>
    </w:p>
    <w:p w14:paraId="4DCCE2EF"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Lucertini, G., &amp; Musco, F. (2020). Circular urban metabolism framework. One Earth, 2(2), 138–142. https://doi.org/10.1016/j.oneear.2020.02.004</w:t>
      </w:r>
    </w:p>
    <w:p w14:paraId="482AD5BF"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McGinnis, M. V. (Ed.). (1999). Bioregionalism. Routledge.</w:t>
      </w:r>
    </w:p>
    <w:p w14:paraId="2E56E1F2"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Meadows, D. H. (2008). Thinking in systems: A primer. Chelsea Green Publishing.</w:t>
      </w:r>
    </w:p>
    <w:p w14:paraId="2C08C072" w14:textId="48292D2B" w:rsidR="00A754A7" w:rsidRPr="00C92A1A" w:rsidRDefault="00A754A7">
      <w:pPr>
        <w:spacing w:after="40"/>
        <w:ind w:left="425" w:hanging="425"/>
        <w:rPr>
          <w:rFonts w:ascii="Calibri" w:hAnsi="Calibri" w:cs="Calibri"/>
          <w:sz w:val="20"/>
        </w:rPr>
      </w:pPr>
      <w:r w:rsidRPr="00C92A1A">
        <w:rPr>
          <w:rFonts w:ascii="Calibri" w:hAnsi="Calibri" w:cs="Calibri"/>
          <w:sz w:val="20"/>
        </w:rPr>
        <w:t xml:space="preserve">OECD. (2008). Handbook on constructing composite indicators: Methodology and user guide. OECD Publishing. </w:t>
      </w:r>
      <w:hyperlink r:id="rId12" w:history="1">
        <w:r w:rsidRPr="00C92A1A">
          <w:rPr>
            <w:rFonts w:ascii="Calibri" w:hAnsi="Calibri" w:cs="Calibri"/>
          </w:rPr>
          <w:t>https://doi.org/10.1787/9789264043466-en</w:t>
        </w:r>
      </w:hyperlink>
    </w:p>
    <w:p w14:paraId="3318993B" w14:textId="0D81D664" w:rsidR="00A754A7" w:rsidRPr="00C92A1A" w:rsidRDefault="00A754A7">
      <w:pPr>
        <w:spacing w:after="40"/>
        <w:ind w:left="425" w:hanging="425"/>
        <w:rPr>
          <w:rFonts w:ascii="Calibri" w:hAnsi="Calibri" w:cs="Calibri"/>
          <w:sz w:val="20"/>
        </w:rPr>
      </w:pPr>
      <w:r w:rsidRPr="00C92A1A">
        <w:rPr>
          <w:rFonts w:ascii="Calibri" w:hAnsi="Calibri" w:cs="Calibri"/>
          <w:sz w:val="20"/>
        </w:rPr>
        <w:t xml:space="preserve">Peuckert, J., </w:t>
      </w:r>
      <w:proofErr w:type="spellStart"/>
      <w:r w:rsidRPr="00C92A1A">
        <w:rPr>
          <w:rFonts w:ascii="Calibri" w:hAnsi="Calibri" w:cs="Calibri"/>
          <w:sz w:val="20"/>
        </w:rPr>
        <w:t>Wenzelmann</w:t>
      </w:r>
      <w:proofErr w:type="spellEnd"/>
      <w:r w:rsidRPr="00C92A1A">
        <w:rPr>
          <w:rFonts w:ascii="Calibri" w:hAnsi="Calibri" w:cs="Calibri"/>
          <w:sz w:val="20"/>
        </w:rPr>
        <w:t xml:space="preserve">, V., &amp; </w:t>
      </w:r>
      <w:proofErr w:type="spellStart"/>
      <w:r w:rsidRPr="00C92A1A">
        <w:rPr>
          <w:rFonts w:ascii="Calibri" w:hAnsi="Calibri" w:cs="Calibri"/>
          <w:sz w:val="20"/>
        </w:rPr>
        <w:t>Rüdebusch</w:t>
      </w:r>
      <w:proofErr w:type="spellEnd"/>
      <w:r w:rsidRPr="00C92A1A">
        <w:rPr>
          <w:rFonts w:ascii="Calibri" w:hAnsi="Calibri" w:cs="Calibri"/>
          <w:sz w:val="20"/>
        </w:rPr>
        <w:t xml:space="preserve">, G. (2025). Measuring the impacts of Fab Labs: A review of quantitative research and evidence. In FAB25 Czechia – Bridge the Gap. </w:t>
      </w:r>
      <w:proofErr w:type="spellStart"/>
      <w:r w:rsidRPr="00C92A1A">
        <w:rPr>
          <w:rFonts w:ascii="Calibri" w:hAnsi="Calibri" w:cs="Calibri"/>
          <w:sz w:val="20"/>
        </w:rPr>
        <w:t>Zenodo</w:t>
      </w:r>
      <w:proofErr w:type="spellEnd"/>
      <w:r w:rsidRPr="00C92A1A">
        <w:rPr>
          <w:rFonts w:ascii="Calibri" w:hAnsi="Calibri" w:cs="Calibri"/>
          <w:sz w:val="20"/>
        </w:rPr>
        <w:t>. https://doi.org/10.5281/zenodo.16211909</w:t>
      </w:r>
    </w:p>
    <w:p w14:paraId="28BD5127" w14:textId="3114A7BA" w:rsidR="00FF439A" w:rsidRPr="00C92A1A" w:rsidRDefault="00000000">
      <w:pPr>
        <w:spacing w:after="40"/>
        <w:ind w:left="425" w:hanging="425"/>
        <w:rPr>
          <w:rFonts w:ascii="Calibri" w:hAnsi="Calibri" w:cs="Calibri"/>
          <w:sz w:val="20"/>
        </w:rPr>
      </w:pPr>
      <w:r w:rsidRPr="00C92A1A">
        <w:rPr>
          <w:rFonts w:ascii="Calibri" w:hAnsi="Calibri" w:cs="Calibri"/>
          <w:sz w:val="20"/>
        </w:rPr>
        <w:t xml:space="preserve">Pomponi, F., &amp; Moncaster, A. (2017). Circular economy for the built environment: A research framework. Journal of Cleaner Production, 143, 710–718. </w:t>
      </w:r>
      <w:hyperlink r:id="rId13" w:history="1">
        <w:r w:rsidR="00A754A7" w:rsidRPr="00C92A1A">
          <w:rPr>
            <w:rFonts w:ascii="Calibri" w:hAnsi="Calibri" w:cs="Calibri"/>
          </w:rPr>
          <w:t>https://doi.org/10.1016/j.jclepro.2016.12.055</w:t>
        </w:r>
      </w:hyperlink>
    </w:p>
    <w:p w14:paraId="465F3AF1" w14:textId="6DCA2DAC" w:rsidR="00A754A7" w:rsidRPr="00C92A1A" w:rsidRDefault="00A754A7">
      <w:pPr>
        <w:spacing w:after="40"/>
        <w:ind w:left="425" w:hanging="425"/>
        <w:rPr>
          <w:rFonts w:ascii="Calibri" w:hAnsi="Calibri" w:cs="Calibri"/>
          <w:sz w:val="20"/>
        </w:rPr>
      </w:pPr>
      <w:r w:rsidRPr="00C92A1A">
        <w:rPr>
          <w:rFonts w:ascii="Calibri" w:hAnsi="Calibri" w:cs="Calibri"/>
          <w:sz w:val="20"/>
        </w:rPr>
        <w:t>Raworth, K. (2017). Doughnut economics: Seven ways to think like a 21st-century economist. Chelsea Green Publishing.</w:t>
      </w:r>
    </w:p>
    <w:p w14:paraId="01DF139F"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Richardson, K., Steffen, W., Lucht, W., Bendtsen, J., Cornell, S. E., Donges, J. F., Drüke, M., Fetzer, I., Bala, G., von Bloh, W., Feulner, G., Fiedler, S., Gerten, D., Gleeson, T., Hofmann, M., Huiskamp, W., Kummu, M., Mohan, C., Nogués-Bravo, D., … Rockström, J. (2023). Earth beyond six of nine planetary boundaries. Science Advances, 9(37), eadh2458. https://doi.org/10.1126/sciadv.adh2458</w:t>
      </w:r>
    </w:p>
    <w:p w14:paraId="6600750E"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https://doi.org/10.1038/461472a</w:t>
      </w:r>
    </w:p>
    <w:p w14:paraId="3A978011"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https://doi.org/10.1126/science.1259855</w:t>
      </w:r>
    </w:p>
    <w:p w14:paraId="6118DED2"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Stiglitz, J. E., Sen, A., &amp; Fitoussi, J.-P. (2009). Report by the Commission on the Measurement of Economic Performance and Social Progress. Commission on the Measurement of Economic Performance and Social Progress.</w:t>
      </w:r>
    </w:p>
    <w:p w14:paraId="1229058B"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United Nations Department of Economic and Social Affairs. (2007). Indicators of sustainable development: Guidelines and methodologies (3rd ed.). United Nations. https://sustainabledevelopment.un.org/content/documents/guidelines.pdf</w:t>
      </w:r>
    </w:p>
    <w:p w14:paraId="4AC66483"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t>Van Bueren, E., Beerepoot, M., &amp; van Timmeren, A. (2022). Circular value creation in the built environment. Sustainability, 14(3), 1827. https://doi.org/10.3390/su14031827</w:t>
      </w:r>
    </w:p>
    <w:p w14:paraId="380AC637" w14:textId="77777777" w:rsidR="00FF439A" w:rsidRPr="00C92A1A" w:rsidRDefault="00000000">
      <w:pPr>
        <w:spacing w:after="40"/>
        <w:ind w:left="425" w:hanging="425"/>
        <w:rPr>
          <w:rFonts w:ascii="Calibri" w:hAnsi="Calibri" w:cs="Calibri"/>
          <w:sz w:val="20"/>
        </w:rPr>
      </w:pPr>
      <w:r w:rsidRPr="00C92A1A">
        <w:rPr>
          <w:rFonts w:ascii="Calibri" w:hAnsi="Calibri" w:cs="Calibri"/>
          <w:sz w:val="20"/>
        </w:rPr>
        <w:lastRenderedPageBreak/>
        <w:t>Vivanco, T. (2025). Hacia una computación planetaria regenerativa para enfrentar las novel entities / Towards regenerative planetary computing to tackle novel entities (Doctoral thesis). Universidad del Desarrollo, Facultad de Diseño. https://hdl.handle.net/11447/10038</w:t>
      </w:r>
    </w:p>
    <w:p w14:paraId="6D49E71A" w14:textId="0FB5BFD7" w:rsidR="00EA496F" w:rsidRPr="00C92A1A" w:rsidRDefault="002F75A7">
      <w:pPr>
        <w:rPr>
          <w:rFonts w:ascii="Calibri" w:eastAsiaTheme="majorEastAsia" w:hAnsi="Calibri" w:cs="Calibri"/>
          <w:b/>
          <w:bCs/>
          <w:color w:val="4F81BD" w:themeColor="accent1"/>
          <w:sz w:val="24"/>
          <w:szCs w:val="26"/>
          <w:lang w:val="es-ES"/>
        </w:rPr>
      </w:pPr>
      <w:r w:rsidRPr="00C92A1A">
        <w:rPr>
          <w:rFonts w:ascii="Calibri" w:hAnsi="Calibri" w:cs="Calibri"/>
          <w:sz w:val="24"/>
          <w:lang w:val="es-ES"/>
        </w:rPr>
        <w:br w:type="page"/>
      </w:r>
    </w:p>
    <w:sectPr w:rsidR="00EA496F" w:rsidRPr="00C92A1A" w:rsidSect="005A27F6">
      <w:headerReference w:type="default" r:id="rId14"/>
      <w:footerReference w:type="default" r:id="rId15"/>
      <w:footerReference w:type="first" r:id="rId16"/>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F39E7B" w14:textId="77777777" w:rsidR="00C4015D" w:rsidRDefault="00C4015D" w:rsidP="00274B03">
      <w:pPr>
        <w:spacing w:after="0" w:line="240" w:lineRule="auto"/>
      </w:pPr>
      <w:r>
        <w:separator/>
      </w:r>
    </w:p>
  </w:endnote>
  <w:endnote w:type="continuationSeparator" w:id="0">
    <w:p w14:paraId="650448E5" w14:textId="77777777" w:rsidR="00C4015D" w:rsidRDefault="00C4015D" w:rsidP="00274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030DF" w14:textId="77777777" w:rsidR="00274B03" w:rsidRPr="00274B03" w:rsidRDefault="00274B03" w:rsidP="00274B03">
    <w:pPr>
      <w:pStyle w:val="Footer"/>
      <w:jc w:val="center"/>
      <w:rPr>
        <w:rFonts w:asciiTheme="majorHAnsi" w:hAnsiTheme="majorHAnsi" w:cstheme="majorHAnsi"/>
      </w:rPr>
    </w:pPr>
    <w:r w:rsidRPr="00274B03">
      <w:rPr>
        <w:rStyle w:val="PageNumber"/>
        <w:rFonts w:asciiTheme="majorHAnsi" w:hAnsiTheme="majorHAnsi" w:cstheme="majorHAnsi"/>
      </w:rPr>
      <w:fldChar w:fldCharType="begin"/>
    </w:r>
    <w:r w:rsidRPr="00274B03">
      <w:rPr>
        <w:rStyle w:val="PageNumber"/>
        <w:rFonts w:asciiTheme="majorHAnsi" w:hAnsiTheme="majorHAnsi" w:cstheme="majorHAnsi"/>
      </w:rPr>
      <w:instrText xml:space="preserve"> PAGE </w:instrText>
    </w:r>
    <w:r w:rsidRPr="00274B03">
      <w:rPr>
        <w:rStyle w:val="PageNumber"/>
        <w:rFonts w:asciiTheme="majorHAnsi" w:hAnsiTheme="majorHAnsi" w:cstheme="majorHAnsi"/>
      </w:rPr>
      <w:fldChar w:fldCharType="separate"/>
    </w:r>
    <w:r w:rsidRPr="00274B03">
      <w:rPr>
        <w:rStyle w:val="PageNumber"/>
        <w:rFonts w:asciiTheme="majorHAnsi" w:hAnsiTheme="majorHAnsi" w:cstheme="majorHAnsi"/>
      </w:rPr>
      <w:t>2</w:t>
    </w:r>
    <w:r w:rsidRPr="00274B03">
      <w:rPr>
        <w:rStyle w:val="PageNumber"/>
        <w:rFonts w:asciiTheme="majorHAnsi" w:hAnsiTheme="majorHAnsi" w:cstheme="majorHAnsi"/>
      </w:rPr>
      <w:fldChar w:fldCharType="end"/>
    </w:r>
    <w:r w:rsidRPr="00274B03">
      <w:rPr>
        <w:rStyle w:val="PageNumber"/>
        <w:rFonts w:asciiTheme="majorHAnsi" w:hAnsiTheme="majorHAnsi" w:cstheme="majorHAnsi"/>
      </w:rPr>
      <w:tab/>
    </w:r>
    <w:r w:rsidRPr="00274B03">
      <w:rPr>
        <w:rFonts w:asciiTheme="majorHAnsi" w:hAnsiTheme="majorHAnsi" w:cstheme="majorHAnsi"/>
      </w:rPr>
      <w:t>Paper presented at Fab26, Cambridge, MA, 27-31 July 2026</w:t>
    </w:r>
    <w:r w:rsidRPr="00274B03">
      <w:rPr>
        <w:rFonts w:asciiTheme="majorHAnsi" w:hAnsiTheme="majorHAnsi" w:cstheme="majorHAnsi"/>
      </w:rPr>
      <w:tab/>
    </w:r>
  </w:p>
  <w:p w14:paraId="436EE65B" w14:textId="77777777" w:rsidR="00274B03" w:rsidRPr="00274B03" w:rsidRDefault="00274B03" w:rsidP="00274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F5A49A" w14:textId="77777777" w:rsidR="00274B03" w:rsidRPr="00274B03" w:rsidRDefault="00274B03" w:rsidP="00274B03">
    <w:pPr>
      <w:pStyle w:val="Footer"/>
      <w:jc w:val="center"/>
      <w:rPr>
        <w:rFonts w:asciiTheme="majorHAnsi" w:hAnsiTheme="majorHAnsi" w:cstheme="majorHAnsi"/>
      </w:rPr>
    </w:pPr>
    <w:r w:rsidRPr="00274B03">
      <w:rPr>
        <w:rFonts w:asciiTheme="majorHAnsi" w:hAnsiTheme="majorHAnsi" w:cstheme="majorHAnsi"/>
      </w:rPr>
      <w:t>DOI: 10.5281/</w:t>
    </w:r>
    <w:proofErr w:type="spellStart"/>
    <w:r w:rsidRPr="00274B03">
      <w:rPr>
        <w:rFonts w:asciiTheme="majorHAnsi" w:hAnsiTheme="majorHAnsi" w:cstheme="majorHAnsi"/>
      </w:rPr>
      <w:t>zenodo.xxx</w:t>
    </w:r>
    <w:proofErr w:type="spellEnd"/>
    <w:r w:rsidRPr="00274B03">
      <w:rPr>
        <w:rFonts w:asciiTheme="majorHAnsi" w:hAnsiTheme="majorHAnsi" w:cstheme="majorHAnsi"/>
      </w:rPr>
      <w:t xml:space="preserve"> </w:t>
    </w:r>
    <w:r w:rsidRPr="00274B03">
      <w:rPr>
        <w:rFonts w:asciiTheme="majorHAnsi" w:hAnsiTheme="majorHAnsi" w:cstheme="majorHAnsi"/>
      </w:rPr>
      <w:tab/>
      <w:t>© 2026 – cc-by</w:t>
    </w:r>
    <w:r w:rsidRPr="00274B03">
      <w:rPr>
        <w:rFonts w:asciiTheme="majorHAnsi" w:hAnsiTheme="majorHAnsi" w:cstheme="majorHAnsi"/>
      </w:rPr>
      <w:tab/>
    </w:r>
    <w:r w:rsidRPr="00274B03">
      <w:rPr>
        <w:rStyle w:val="PageNumber"/>
        <w:rFonts w:asciiTheme="majorHAnsi" w:hAnsiTheme="majorHAnsi" w:cstheme="majorHAnsi"/>
      </w:rPr>
      <w:fldChar w:fldCharType="begin"/>
    </w:r>
    <w:r w:rsidRPr="00274B03">
      <w:rPr>
        <w:rStyle w:val="PageNumber"/>
        <w:rFonts w:asciiTheme="majorHAnsi" w:hAnsiTheme="majorHAnsi" w:cstheme="majorHAnsi"/>
      </w:rPr>
      <w:instrText xml:space="preserve"> PAGE </w:instrText>
    </w:r>
    <w:r w:rsidRPr="00274B03">
      <w:rPr>
        <w:rStyle w:val="PageNumber"/>
        <w:rFonts w:asciiTheme="majorHAnsi" w:hAnsiTheme="majorHAnsi" w:cstheme="majorHAnsi"/>
      </w:rPr>
      <w:fldChar w:fldCharType="separate"/>
    </w:r>
    <w:r w:rsidRPr="00274B03">
      <w:rPr>
        <w:rStyle w:val="PageNumber"/>
        <w:rFonts w:asciiTheme="majorHAnsi" w:hAnsiTheme="majorHAnsi" w:cstheme="majorHAnsi"/>
      </w:rPr>
      <w:t>1</w:t>
    </w:r>
    <w:r w:rsidRPr="00274B03">
      <w:rPr>
        <w:rStyle w:val="PageNumber"/>
        <w:rFonts w:asciiTheme="majorHAnsi" w:hAnsiTheme="majorHAnsi" w:cstheme="majorHAnsi"/>
      </w:rPr>
      <w:fldChar w:fldCharType="end"/>
    </w:r>
  </w:p>
  <w:p w14:paraId="521C7664" w14:textId="77777777" w:rsidR="00274B03" w:rsidRPr="00274B03" w:rsidRDefault="00274B03" w:rsidP="00274B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FB01B" w14:textId="77777777" w:rsidR="00C4015D" w:rsidRDefault="00C4015D" w:rsidP="00274B03">
      <w:pPr>
        <w:spacing w:after="0" w:line="240" w:lineRule="auto"/>
      </w:pPr>
      <w:r>
        <w:separator/>
      </w:r>
    </w:p>
  </w:footnote>
  <w:footnote w:type="continuationSeparator" w:id="0">
    <w:p w14:paraId="7236430C" w14:textId="77777777" w:rsidR="00C4015D" w:rsidRDefault="00C4015D" w:rsidP="00274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48B06" w14:textId="520455A6" w:rsidR="00274B03" w:rsidRPr="00274B03" w:rsidRDefault="00274B03" w:rsidP="00274B03">
    <w:pPr>
      <w:tabs>
        <w:tab w:val="center" w:pos="4536"/>
        <w:tab w:val="right" w:pos="9072"/>
      </w:tabs>
      <w:spacing w:after="80" w:line="240" w:lineRule="auto"/>
      <w:jc w:val="center"/>
      <w:rPr>
        <w:rFonts w:asciiTheme="majorHAnsi" w:eastAsia="Times New Roman" w:hAnsiTheme="majorHAnsi" w:cstheme="majorHAnsi"/>
        <w:spacing w:val="-3"/>
        <w:szCs w:val="20"/>
        <w:lang w:val="en-GB" w:eastAsia="de-DE"/>
      </w:rPr>
    </w:pPr>
    <w:r w:rsidRPr="00274B03">
      <w:rPr>
        <w:rFonts w:asciiTheme="majorHAnsi" w:eastAsia="Times New Roman" w:hAnsiTheme="majorHAnsi" w:cstheme="majorHAnsi"/>
        <w:spacing w:val="-3"/>
        <w:szCs w:val="20"/>
        <w:lang w:val="en-GB" w:eastAsia="de-DE"/>
      </w:rPr>
      <w:fldChar w:fldCharType="begin"/>
    </w:r>
    <w:r w:rsidRPr="00274B03">
      <w:rPr>
        <w:rFonts w:asciiTheme="majorHAnsi" w:eastAsia="Times New Roman" w:hAnsiTheme="majorHAnsi" w:cstheme="majorHAnsi"/>
        <w:spacing w:val="-3"/>
        <w:szCs w:val="20"/>
        <w:lang w:val="en-GB" w:eastAsia="de-DE"/>
      </w:rPr>
      <w:instrText xml:space="preserve"> STYLEREF "Author(s) Name(s)" \* MERGEFORMAT </w:instrText>
    </w:r>
    <w:r w:rsidRPr="00274B03">
      <w:rPr>
        <w:rFonts w:asciiTheme="majorHAnsi" w:eastAsia="Times New Roman" w:hAnsiTheme="majorHAnsi" w:cstheme="majorHAnsi"/>
        <w:spacing w:val="-3"/>
        <w:szCs w:val="20"/>
        <w:lang w:val="en-GB" w:eastAsia="de-DE"/>
      </w:rPr>
      <w:fldChar w:fldCharType="separate"/>
    </w:r>
    <w:r w:rsidR="00C92A1A">
      <w:rPr>
        <w:rFonts w:asciiTheme="majorHAnsi" w:eastAsia="Times New Roman" w:hAnsiTheme="majorHAnsi" w:cstheme="majorHAnsi"/>
        <w:noProof/>
        <w:spacing w:val="-3"/>
        <w:szCs w:val="20"/>
        <w:lang w:val="en-GB" w:eastAsia="de-DE"/>
      </w:rPr>
      <w:t>Tomas Vivanco</w:t>
    </w:r>
    <w:r w:rsidRPr="00274B03">
      <w:rPr>
        <w:rFonts w:asciiTheme="majorHAnsi" w:eastAsia="Times New Roman" w:hAnsiTheme="majorHAnsi" w:cstheme="majorHAnsi"/>
        <w:spacing w:val="-3"/>
        <w:szCs w:val="20"/>
        <w:lang w:val="en-GB" w:eastAsia="de-DE"/>
      </w:rPr>
      <w:fldChar w:fldCharType="end"/>
    </w:r>
    <w:r w:rsidRPr="00274B03">
      <w:rPr>
        <w:rFonts w:asciiTheme="majorHAnsi" w:eastAsia="Times New Roman" w:hAnsiTheme="majorHAnsi" w:cstheme="majorHAnsi"/>
        <w:spacing w:val="-3"/>
        <w:szCs w:val="20"/>
        <w:lang w:val="en-GB" w:eastAsia="de-DE"/>
      </w:rPr>
      <w:t xml:space="preserve">: </w:t>
    </w:r>
    <w:r w:rsidRPr="00274B03">
      <w:rPr>
        <w:rFonts w:asciiTheme="majorHAnsi" w:eastAsia="Times New Roman" w:hAnsiTheme="majorHAnsi" w:cstheme="majorHAnsi"/>
        <w:spacing w:val="-3"/>
        <w:szCs w:val="20"/>
        <w:lang w:val="en-GB" w:eastAsia="de-DE"/>
      </w:rPr>
      <w:fldChar w:fldCharType="begin"/>
    </w:r>
    <w:r w:rsidRPr="00274B03">
      <w:rPr>
        <w:rFonts w:asciiTheme="majorHAnsi" w:eastAsia="Times New Roman" w:hAnsiTheme="majorHAnsi" w:cstheme="majorHAnsi"/>
        <w:spacing w:val="-3"/>
        <w:szCs w:val="20"/>
        <w:lang w:val="en-GB" w:eastAsia="de-DE"/>
      </w:rPr>
      <w:instrText xml:space="preserve"> STYLEREF "Heading 1" \* MERGEFORMAT </w:instrText>
    </w:r>
    <w:r w:rsidRPr="00274B03">
      <w:rPr>
        <w:rFonts w:asciiTheme="majorHAnsi" w:eastAsia="Times New Roman" w:hAnsiTheme="majorHAnsi" w:cstheme="majorHAnsi"/>
        <w:spacing w:val="-3"/>
        <w:szCs w:val="20"/>
        <w:lang w:val="en-GB" w:eastAsia="de-DE"/>
      </w:rPr>
      <w:fldChar w:fldCharType="separate"/>
    </w:r>
    <w:r w:rsidR="00C92A1A">
      <w:rPr>
        <w:rFonts w:asciiTheme="majorHAnsi" w:eastAsia="Times New Roman" w:hAnsiTheme="majorHAnsi" w:cstheme="majorHAnsi"/>
        <w:noProof/>
        <w:spacing w:val="-3"/>
        <w:szCs w:val="20"/>
        <w:lang w:val="en-GB" w:eastAsia="de-DE"/>
      </w:rPr>
      <w:t>Fab City Full Stack Metrics Framework: An Actionable Methodology for Multi-Scalar Implementation</w:t>
    </w:r>
    <w:r w:rsidRPr="00274B03">
      <w:rPr>
        <w:rFonts w:asciiTheme="majorHAnsi" w:eastAsia="Times New Roman" w:hAnsiTheme="majorHAnsi" w:cstheme="majorHAnsi"/>
        <w:spacing w:val="-3"/>
        <w:szCs w:val="20"/>
        <w:lang w:val="en-GB" w:eastAsia="de-DE"/>
      </w:rPr>
      <w:fldChar w:fldCharType="end"/>
    </w:r>
  </w:p>
  <w:p w14:paraId="57D415F4" w14:textId="0A15E746" w:rsidR="00274B03" w:rsidRDefault="00274B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144138">
    <w:abstractNumId w:val="8"/>
  </w:num>
  <w:num w:numId="2" w16cid:durableId="1173178220">
    <w:abstractNumId w:val="6"/>
  </w:num>
  <w:num w:numId="3" w16cid:durableId="844125270">
    <w:abstractNumId w:val="5"/>
  </w:num>
  <w:num w:numId="4" w16cid:durableId="1524593803">
    <w:abstractNumId w:val="4"/>
  </w:num>
  <w:num w:numId="5" w16cid:durableId="1980108930">
    <w:abstractNumId w:val="7"/>
  </w:num>
  <w:num w:numId="6" w16cid:durableId="616520080">
    <w:abstractNumId w:val="3"/>
  </w:num>
  <w:num w:numId="7" w16cid:durableId="710304034">
    <w:abstractNumId w:val="2"/>
  </w:num>
  <w:num w:numId="8" w16cid:durableId="1607234307">
    <w:abstractNumId w:val="1"/>
  </w:num>
  <w:num w:numId="9" w16cid:durableId="9783884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E3D"/>
    <w:rsid w:val="0006063C"/>
    <w:rsid w:val="000F2AEE"/>
    <w:rsid w:val="0015074B"/>
    <w:rsid w:val="00274B03"/>
    <w:rsid w:val="0029639D"/>
    <w:rsid w:val="002F75A7"/>
    <w:rsid w:val="00326F90"/>
    <w:rsid w:val="00533387"/>
    <w:rsid w:val="0059794B"/>
    <w:rsid w:val="005A27F6"/>
    <w:rsid w:val="00634766"/>
    <w:rsid w:val="008409A0"/>
    <w:rsid w:val="00993DD4"/>
    <w:rsid w:val="009A48E7"/>
    <w:rsid w:val="00A754A7"/>
    <w:rsid w:val="00AA1D8D"/>
    <w:rsid w:val="00B47730"/>
    <w:rsid w:val="00C4015D"/>
    <w:rsid w:val="00C92A1A"/>
    <w:rsid w:val="00CB0664"/>
    <w:rsid w:val="00E64936"/>
    <w:rsid w:val="00EA496F"/>
    <w:rsid w:val="00EA7067"/>
    <w:rsid w:val="00EE1BAA"/>
    <w:rsid w:val="00FC693F"/>
    <w:rsid w:val="00FF43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D89645"/>
  <w14:defaultImageDpi w14:val="300"/>
  <w15:docId w15:val="{1CFD8E5A-EC3E-E546-A32C-F7F6C304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sNames">
    <w:name w:val="Author(s) Name(s)"/>
    <w:basedOn w:val="Normal"/>
    <w:next w:val="Normal"/>
    <w:rsid w:val="00EA7067"/>
    <w:pPr>
      <w:tabs>
        <w:tab w:val="center" w:pos="4393"/>
      </w:tabs>
      <w:spacing w:before="360" w:after="80" w:line="240" w:lineRule="auto"/>
      <w:jc w:val="both"/>
    </w:pPr>
    <w:rPr>
      <w:rFonts w:ascii="Calibri" w:eastAsia="Times New Roman" w:hAnsi="Calibri" w:cs="Times New Roman"/>
      <w:spacing w:val="-3"/>
      <w:szCs w:val="20"/>
      <w:lang w:val="fr-FR" w:eastAsia="de-DE"/>
    </w:rPr>
  </w:style>
  <w:style w:type="paragraph" w:customStyle="1" w:styleId="AuthorsAddresses">
    <w:name w:val="Author(s) Address(es)"/>
    <w:basedOn w:val="Normal"/>
    <w:next w:val="Normal"/>
    <w:rsid w:val="00EA7067"/>
    <w:pPr>
      <w:tabs>
        <w:tab w:val="center" w:pos="4393"/>
      </w:tabs>
      <w:spacing w:after="80" w:line="240" w:lineRule="auto"/>
      <w:jc w:val="right"/>
    </w:pPr>
    <w:rPr>
      <w:rFonts w:ascii="Calibri" w:eastAsia="Times New Roman" w:hAnsi="Calibri" w:cs="Times New Roman"/>
      <w:i/>
      <w:spacing w:val="-3"/>
      <w:szCs w:val="20"/>
      <w:lang w:val="fr-FR" w:eastAsia="de-DE"/>
    </w:rPr>
  </w:style>
  <w:style w:type="paragraph" w:customStyle="1" w:styleId="SmallText">
    <w:name w:val="Small Text"/>
    <w:basedOn w:val="Normal"/>
    <w:rsid w:val="00EA7067"/>
    <w:pPr>
      <w:spacing w:after="80" w:line="240" w:lineRule="auto"/>
      <w:jc w:val="both"/>
    </w:pPr>
    <w:rPr>
      <w:rFonts w:ascii="Calibri" w:eastAsia="Times New Roman" w:hAnsi="Calibri" w:cs="Times New Roman"/>
      <w:spacing w:val="-3"/>
      <w:sz w:val="20"/>
      <w:szCs w:val="20"/>
      <w:lang w:val="en-GB" w:eastAsia="de-DE"/>
    </w:rPr>
  </w:style>
  <w:style w:type="paragraph" w:customStyle="1" w:styleId="SmallHeading">
    <w:name w:val="Small Heading"/>
    <w:basedOn w:val="Normal"/>
    <w:next w:val="Normal"/>
    <w:rsid w:val="00EA7067"/>
    <w:pPr>
      <w:keepNext/>
      <w:spacing w:before="240" w:after="80" w:line="240" w:lineRule="auto"/>
      <w:jc w:val="both"/>
    </w:pPr>
    <w:rPr>
      <w:rFonts w:ascii="Calibri" w:eastAsia="Times New Roman" w:hAnsi="Calibri" w:cs="Times New Roman"/>
      <w:b/>
      <w:spacing w:val="-3"/>
      <w:sz w:val="20"/>
      <w:szCs w:val="20"/>
      <w:lang w:val="en-GB" w:eastAsia="de-DE"/>
    </w:rPr>
  </w:style>
  <w:style w:type="paragraph" w:customStyle="1" w:styleId="Text">
    <w:name w:val="Text"/>
    <w:basedOn w:val="Normal"/>
    <w:rsid w:val="00EA7067"/>
    <w:pPr>
      <w:spacing w:after="80" w:line="240" w:lineRule="auto"/>
      <w:jc w:val="both"/>
    </w:pPr>
    <w:rPr>
      <w:rFonts w:ascii="Calibri" w:eastAsia="Times New Roman" w:hAnsi="Calibri" w:cs="Times New Roman"/>
      <w:spacing w:val="-3"/>
      <w:szCs w:val="20"/>
      <w:lang w:val="en-GB" w:eastAsia="de-DE"/>
    </w:rPr>
  </w:style>
  <w:style w:type="table" w:styleId="PlainTable2">
    <w:name w:val="Plain Table 2"/>
    <w:basedOn w:val="TableNormal"/>
    <w:uiPriority w:val="99"/>
    <w:rsid w:val="00056E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line-block">
    <w:name w:val="inline-block"/>
    <w:basedOn w:val="DefaultParagraphFont"/>
    <w:rsid w:val="002F75A7"/>
  </w:style>
  <w:style w:type="character" w:styleId="PageNumber">
    <w:name w:val="page number"/>
    <w:uiPriority w:val="99"/>
    <w:semiHidden/>
    <w:unhideWhenUsed/>
    <w:rsid w:val="00274B03"/>
  </w:style>
  <w:style w:type="character" w:styleId="Hyperlink">
    <w:name w:val="Hyperlink"/>
    <w:basedOn w:val="DefaultParagraphFont"/>
    <w:uiPriority w:val="99"/>
    <w:unhideWhenUsed/>
    <w:rsid w:val="00A754A7"/>
    <w:rPr>
      <w:color w:val="0000FF" w:themeColor="hyperlink"/>
      <w:u w:val="single"/>
    </w:rPr>
  </w:style>
  <w:style w:type="character" w:styleId="UnresolvedMention">
    <w:name w:val="Unresolved Mention"/>
    <w:basedOn w:val="DefaultParagraphFont"/>
    <w:uiPriority w:val="99"/>
    <w:semiHidden/>
    <w:unhideWhenUsed/>
    <w:rsid w:val="00A754A7"/>
    <w:rPr>
      <w:color w:val="605E5C"/>
      <w:shd w:val="clear" w:color="auto" w:fill="E1DFDD"/>
    </w:rPr>
  </w:style>
  <w:style w:type="character" w:customStyle="1" w:styleId="citationsource-book">
    <w:name w:val="citation_source-book"/>
    <w:basedOn w:val="DefaultParagraphFont"/>
    <w:rsid w:val="00A7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849773065" TargetMode="External"/><Relationship Id="rId13" Type="http://schemas.openxmlformats.org/officeDocument/2006/relationships/hyperlink" Target="https://doi.org/10.1016/j.jclepro.2016.12.05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787/9789264043466-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042098013494427"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1007/978-3-030-51812-7_125-1" TargetMode="External"/><Relationship Id="rId4" Type="http://schemas.openxmlformats.org/officeDocument/2006/relationships/settings" Target="settings.xml"/><Relationship Id="rId9" Type="http://schemas.openxmlformats.org/officeDocument/2006/relationships/hyperlink" Target="https://doi.org/10.1007/978-3-658-44114-2_9"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5807</Words>
  <Characters>33102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Tomas Vivanco Larrain</cp:lastModifiedBy>
  <cp:revision>3</cp:revision>
  <dcterms:created xsi:type="dcterms:W3CDTF">2026-07-03T14:01:00Z</dcterms:created>
  <dcterms:modified xsi:type="dcterms:W3CDTF">2026-07-03T14:05:00Z</dcterms:modified>
  <cp:category/>
</cp:coreProperties>
</file>