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wniosku materiałowego KVV-8 dotyczącego zaworów kulowych BROEN - lista uwag.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planu zakupów materiałów.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wniosku materiałowego KVV-1 dotyczącego zaworów regulacyjnych POLNA - lista uwag.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wniosku materiałowego KVV-15 dotyczącego zaworów grzybkowych DEFT - lista uwag.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wniosku materiałowego KVV-12 dotyczącego zaworów szybkozamykających GAZOMET - lista uwag.</w:t>
            </w:r>
          </w:p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wniosku materiałowego KVV-13 dotyczącego zaworów zwrotnych DEFT - lista uwag.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Spotkanie z przedstawicielem firmy AUMA odnośnie doboru napędów elektrycznych zaworów.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Sprawdzanie wniosku materiałowego KVV-3 dotyczącego śluzy uniwersalnej nadawczo-odbiorczej DN1100/1000 ANSI600 z szybkozamknięciem  oraz sygnalizatorem przejścia tłoka.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osprzętu AKPiA dla filtroseparatorów FS-001 oraz FS-002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wniosku materiałowego dotyczącego zaworów kulowych Broen w zakresie uzupełnionych dokumentów.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Zakres odpowiedzialności protokoły PKiB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Weryfikacja przesłanych aktualizacji PZJ i PKiB w zakresie branży AKPiA oraz Teletechniki</w:t>
            </w:r>
          </w:p>
        </w:tc>
      </w:tr>
      <w:tr w:rsidR="00570B3A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70B3A" w:rsidRDefault="00570B3A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70B3A" w:rsidRPr="00C33D4C" w:rsidRDefault="00570B3A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70B3A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postępu prac na budowie - objazd.</w:t>
            </w:r>
          </w:p>
          <w:p w:rsidR="00570B3A" w:rsidRPr="003C77E0" w:rsidRDefault="00570B3A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Projektu Organizacji Robót WPG Lwówek oraz Projektu Organizacji Robót WPG Krobia.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570B3A">
              <w:rPr>
                <w:b/>
                <w:color w:val="FFFFFF" w:themeColor="background1"/>
                <w:sz w:val="20"/>
                <w:lang w:val="pl-PL"/>
              </w:rPr>
              <w:t>7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lastRenderedPageBreak/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B3A" w:rsidRDefault="00570B3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570B3A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570B3A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B3A" w:rsidRDefault="00570B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B3A" w:rsidRDefault="00570B3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570B3A">
        <w:t>KP/IA/05/2017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570B3A">
            <w:rPr>
              <w:i/>
              <w:sz w:val="16"/>
              <w:szCs w:val="16"/>
            </w:rPr>
            <w:t>Ekspert Nadzoru ds. automatyki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570B3A">
            <w:rPr>
              <w:i/>
              <w:sz w:val="16"/>
              <w:szCs w:val="16"/>
            </w:rPr>
            <w:t>Gajdzinski, Michal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B3A" w:rsidRDefault="00570B3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70B3A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5C5DA7F-B953-4157-85AF-8B537005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99EA2-DB32-40BD-9D67-CE1AEE9D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1537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Gajdzinski, Michal</vt:lpwstr>
  </property>
  <property fmtid="{D5CDD505-2E9C-101B-9397-08002B2CF9AE}" pid="3" name="_position_">
    <vt:lpwstr>Ekspert Nadzoru ds. automatyki</vt:lpwstr>
  </property>
  <property fmtid="{D5CDD505-2E9C-101B-9397-08002B2CF9AE}" pid="4" name="_cardNumber_">
    <vt:lpwstr>KP/IA/05/2017</vt:lpwstr>
  </property>
  <property fmtid="{D5CDD505-2E9C-101B-9397-08002B2CF9AE}" pid="5" name="_daysCount_">
    <vt:lpwstr>7</vt:lpwstr>
  </property>
</Properties>
</file>