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08.05.2017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Sprawdzanie i opiniowanie dokumentacji o zatwierdzenie podwykonawcy NDTEST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Sprawdzanie i opiniowanie dokumentacji o zatwierdzenie podwykonawcy NDTEST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Sprawdzanie i opiniowanie dokumentacji o zatwierdzenie podwykonawcy RAFAKO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2) Udział w Naradza Koordynacyjna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Notatka z narady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Sprawdzanie i opiniowanie dokumentacji o zatwierdzenie podwykonawcy RAFAKO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2) Sprawdzenie wniosku o zatwierdzenie mat. dodatkowych Elektroda Bohler BVD100 fi 4.0mm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3) Sprawdzenie oraz dopuszczenie Laboratorium DE-TECH do wykonywania badań na 6 łukach giętych na zimno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Załacznik: Protokół dopuszczenie laboratorium do badań (dot. łuków)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12.05.2017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Sprawdzenie Plan NDT łuków giętych na zimno Rev.1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2) Nadzór nad wykonywaniem badań NDT łuków na placu magazynowym w Bonikowo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15.05.2017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Udział w Rada Techniczna w GazSystem, Poznań ul.Grobla 15;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Sprawdzanie i opiniowanie dokumentacji o zatwierdzenie podwykonawcy NDTEST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Udział w Narada Koordynacyjna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Notatka z narady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18.05.2017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Weryfikacja oraz wydanie opinii dotyczącej odstępstw zawartych z PI-ID-I03 a dopuszczonych zgodnie z normą na badania RT.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Pismo z opinią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lastRenderedPageBreak/>
              <w:t>10.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Sprawdzenie wniosków o zatwierdzenie materiałów w zakresie Gazów technicznych (LindeGaz)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22.05.2017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Udział w Radzie technicznej. Poznań siedziba GazSystem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Protokół z Rady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2) Sprawdzenie dokumentacji o zatwierdzenie podwykonawcy w zakresie badań niszczących na budowie złącz produkcyjnych firmy DE-TECH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23.05.2017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Sprawdzenie dokumentacji o zatwierdzenie podwykonawcy w zakresie badań niszczących na budowie złącz produkcyjnych firmy DE-TECH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2) Spotkanie z Kierownikiem Kontraktu dotyczący omówienia działań WNI przed rozpoczęciem prac na budowie.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24.05.2017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1) Udział w Rada Budowy .Biuro w Bonikowo 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Notatka z narady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25.05.2017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Weryfikacja wniosków dopuszczeń spawaczy cz.3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Przegląd i weryfikacja nieoficjalnej wersji Plan badań NDT przekazanej przez WRB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Sprawdzenie i weryfikacja Plan Spawania Rev.1, i IT Montażu i Spawania Rev.1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Noty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Sprawdzenie i weryfikacja Plan Badań NDT dla spoin części liniowej Nr. 5.2.11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Nota WNI</w:t>
            </w:r>
          </w:p>
        </w:tc>
      </w:tr>
      <w:tr w:rsidR="00DC0859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DC0859" w:rsidRDefault="00DC0859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18.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DC0859" w:rsidRPr="00C33D4C" w:rsidRDefault="00DC0859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1) Nadzór nad wykonywaniem spawania km+72.0</w:t>
            </w:r>
          </w:p>
          <w:p w:rsidR="00DC0859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2) Odbiór biura laboratorium badań NDTEST, dopuszczenie do prac laboratorium badań NDT dla części liniowej gazociągu. Kościan ul.Leśna</w:t>
            </w:r>
          </w:p>
          <w:p w:rsidR="00DC0859" w:rsidRPr="003C77E0" w:rsidRDefault="00DC0859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Załącznik: Protokół z dopuszczenia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DC0859">
              <w:rPr>
                <w:b/>
                <w:color w:val="FFFFFF" w:themeColor="background1"/>
                <w:sz w:val="20"/>
                <w:lang w:val="pl-PL"/>
              </w:rPr>
              <w:t>18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59" w:rsidRDefault="00DC085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DC0859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DC0859">
      <w:rPr>
        <w:rStyle w:val="Numerstrony"/>
        <w:rFonts w:asciiTheme="majorHAnsi" w:hAnsiTheme="majorHAnsi" w:cstheme="majorHAnsi"/>
        <w:noProof/>
        <w:szCs w:val="16"/>
        <w:lang w:val="pl-PL"/>
      </w:rPr>
      <w:t>3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59" w:rsidRDefault="00DC085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59" w:rsidRDefault="00DC085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DC0859">
        <w:t>KP/IN/05/2017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DC0859">
            <w:rPr>
              <w:i/>
              <w:sz w:val="16"/>
              <w:szCs w:val="16"/>
            </w:rPr>
            <w:t>Inspektor Nadzoru badań nieniszczących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DC0859">
            <w:rPr>
              <w:i/>
              <w:sz w:val="16"/>
              <w:szCs w:val="16"/>
            </w:rPr>
            <w:t>Manikowski, Rafal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859" w:rsidRDefault="00DC085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C0859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48328A41-6166-44AF-8B06-7234194E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1DB03-504E-406E-92EB-8463E3F3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3</Pages>
  <Words>428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2995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Manikowski, Rafal</vt:lpwstr>
  </property>
  <property fmtid="{D5CDD505-2E9C-101B-9397-08002B2CF9AE}" pid="3" name="_position_">
    <vt:lpwstr>Inspektor Nadzoru badań nieniszczących</vt:lpwstr>
  </property>
  <property fmtid="{D5CDD505-2E9C-101B-9397-08002B2CF9AE}" pid="4" name="_cardNumber_">
    <vt:lpwstr>KP/IN/05/2017</vt:lpwstr>
  </property>
  <property fmtid="{D5CDD505-2E9C-101B-9397-08002B2CF9AE}" pid="5" name="_daysCount_">
    <vt:lpwstr>18</vt:lpwstr>
  </property>
</Properties>
</file>