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4F4AC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4F4AC0" w:rsidRDefault="004F4AC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F4AC0" w:rsidRPr="00C33D4C" w:rsidRDefault="004F4AC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01.02.2017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4F4AC0" w:rsidRDefault="004F4AC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1.Sprawdzono i zapoznano si? z warunkami przetargowymi,SIWZ oraz pytaniami Oferentów podczas procedur zwi?zanych z wyborem Wykonawcy;</w:t>
            </w:r>
          </w:p>
          <w:p w:rsidR="004F4AC0" w:rsidRDefault="004F4AC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2.Udzia? w pierwszej naradzie koordynacyjnej budowy, za??cznik: notatka ze spotkania;</w:t>
            </w:r>
          </w:p>
          <w:p w:rsidR="004F4AC0" w:rsidRPr="003C77E0" w:rsidRDefault="004F4AC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3.Sprawdzenie PZJ i PKiB dostarczonego WRB, za??cznik: uwagi do noty</w:t>
            </w:r>
          </w:p>
        </w:tc>
      </w:tr>
      <w:tr w:rsidR="004F4AC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4F4AC0" w:rsidRDefault="004F4AC0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F4AC0" w:rsidRPr="00C33D4C" w:rsidRDefault="004F4AC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06.02.2017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4F4AC0" w:rsidRDefault="004F4AC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Przegl?d instrukcji technologicznych.</w:t>
            </w:r>
          </w:p>
          <w:p w:rsidR="004F4AC0" w:rsidRPr="003C77E0" w:rsidRDefault="004F4AC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Weryfikacja wspólnie z Wykonawc? Projektów wykonawczych i budowlanego pod k?tem realizacji robót ?elbetowych w ZZU Opalenica, ZZU Ko?cian, ZZU Krzemieniewo.</w:t>
            </w:r>
          </w:p>
        </w:tc>
      </w:tr>
      <w:tr w:rsidR="004F4AC0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4F4AC0" w:rsidRDefault="004F4AC0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4F4AC0" w:rsidRPr="00C33D4C" w:rsidRDefault="004F4AC0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07.02.2017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4F4AC0" w:rsidRPr="003C77E0" w:rsidRDefault="004F4AC0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Zapoznanie si? z przed?o?onym w pe?nym wydaniu Projektem Wykonawczym we wszystkich bran?ach w Rewizji nr 2.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4F4AC0">
              <w:rPr>
                <w:b/>
                <w:color w:val="FFFFFF" w:themeColor="background1"/>
                <w:sz w:val="20"/>
                <w:lang w:val="pl-PL"/>
              </w:rPr>
              <w:t>3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AC0" w:rsidRDefault="004F4AC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4F4AC0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4F4AC0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AC0" w:rsidRDefault="004F4AC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AC0" w:rsidRDefault="004F4AC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4F4AC0">
        <w:t>KP/IB/02/2017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4F4AC0">
            <w:rPr>
              <w:i/>
              <w:sz w:val="16"/>
              <w:szCs w:val="16"/>
            </w:rPr>
            <w:t>Inspektor Nadzoru Robót Konstrukcyjno-Budowlanych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4F4AC0">
            <w:rPr>
              <w:i/>
              <w:sz w:val="16"/>
              <w:szCs w:val="16"/>
            </w:rPr>
            <w:t>Surmacz, Andrzej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AC0" w:rsidRDefault="004F4AC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4F4AC0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B5CBC10-14A2-4CF2-9572-C8A20F8E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F8BD3-2A06-4BCB-9A12-C966D8DA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1</Pages>
  <Words>122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855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2017-02-28T14:45:00Z</dcterms:created>
  <dcterms:modified xsi:type="dcterms:W3CDTF">2017-02-28T14:45:00Z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Surmacz, Andrzej</vt:lpwstr>
  </property>
  <property fmtid="{D5CDD505-2E9C-101B-9397-08002B2CF9AE}" pid="3" name="_position_">
    <vt:lpwstr>Inspektor Nadzoru Robót Konstrukcyjno-Budowlanych</vt:lpwstr>
  </property>
  <property fmtid="{D5CDD505-2E9C-101B-9397-08002B2CF9AE}" pid="4" name="_cardNumber_">
    <vt:lpwstr>KP/IB/02/2017</vt:lpwstr>
  </property>
  <property fmtid="{D5CDD505-2E9C-101B-9397-08002B2CF9AE}" pid="5" name="_daysCount_">
    <vt:lpwstr>3</vt:lpwstr>
  </property>
</Properties>
</file>