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Weryfikacja projektu wykonawczego Firmy Rafako dla WPG Krobia.Załącznik: Uwagi do noty WNI.</w:t>
            </w:r>
          </w:p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Weryfikacja dokumentacji Podwykonawcy robót odwodnieniowych firmę Orina.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Udział w naradzie koordynacyjnej nr 10. Załącznik:Notatka ze narady.</w:t>
            </w:r>
          </w:p>
          <w:p w:rsidR="00B01B44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Weryfikacja dokumentacji podwykonawcy robót odwodnieniowych firmy Orina. załącznik: Uwagi do noty WNI.</w:t>
            </w:r>
          </w:p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Weryfikacja harmonogramu realizacji budowy z dnia 09.05.2017r.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Zapoznanie się z trasą rozpoczętych prac budolawnych od km 67+700 do km 70+ooo pod względem terenów zdrenowanych i przewidywanych prac melioracyjnych i odwodnieniowych.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Wizja lokalna na trasie gazociągu w Hm. 66+500 - 67+700,70+500 - 73+200. Załącznik: zdjęcia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Wizja lokalna na trasie gazociągu od Hm 70+500 do Hm 80+000. Załącznik: zdjęcia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Spotkanie organizacyjne inspektorów nadzoru z kierownikiem projektu.Zapoznanie się z trasą rozpoczętych prac budowlanych od km 70+500 do km 73+ooo pod względem terenów zdrenowanych i przewid7ywanych prac melioracyjnych i odwodnieniowych.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Wizja lokalna trasy gazociągu od km 67+700 do 79+930. załącznik zdjęcia w folderze Prace melioracyjne i odwodnieniowe serwera ILF.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Wizja lokalna trasy gazociągu od km 67+00 do km 85+300 stanu prac przy przekraczaniu przeszkód wodnych (rowy, cieki, kanały). Załącznik: zdjęcia na SharePoint w br. melioracyjnej km 70+000 do 80+000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Spotkanie organizacyjne inspektorów nadzoru z Kierownikiem Projektu. Przygotowywanie dokumentacji (mapa w skali 1:1000) kolizji z przeszkodami wodnymi na trasie gazociągu od km 70+500 do km 113+448</w:t>
            </w:r>
          </w:p>
        </w:tc>
      </w:tr>
      <w:tr w:rsidR="00B01B44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B01B44" w:rsidRDefault="00B01B44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10.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B01B44" w:rsidRPr="00C33D4C" w:rsidRDefault="00B01B44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B01B44" w:rsidRPr="003C77E0" w:rsidRDefault="00B01B44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Udział w naradzie koordynacyjnej.Załącznik: Notatka z narady. Wizja lokalna trasy gazociągu od km 67+00 do km 85+300 stanu prac przy przekraczaniu przeszkód wodnych (rowy, cieki, kanały). Załącznik: zdjęcia na SharePoint w br. melioracyjnej km 70+000 do 80+000.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lastRenderedPageBreak/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B01B44">
              <w:rPr>
                <w:b/>
                <w:color w:val="FFFFFF" w:themeColor="background1"/>
                <w:sz w:val="20"/>
                <w:lang w:val="pl-PL"/>
              </w:rPr>
              <w:t>10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4" w:rsidRDefault="00B01B4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B01B44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B01B44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4" w:rsidRDefault="00B01B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4" w:rsidRDefault="00B01B4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B01B44">
        <w:t>KP/IO/05/2017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B01B44">
            <w:rPr>
              <w:i/>
              <w:sz w:val="16"/>
              <w:szCs w:val="16"/>
            </w:rPr>
            <w:t>Inspektor Nadzoru Robót melioracyjnych i odwodn.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B01B44">
            <w:rPr>
              <w:i/>
              <w:sz w:val="16"/>
              <w:szCs w:val="16"/>
            </w:rPr>
            <w:t>Wlodarczyk, Jerzy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B44" w:rsidRDefault="00B01B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01B44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1245E1DC-B2C6-4945-A746-2BD9BDBA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FECF-1EA0-4565-951A-F5C2130D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304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2127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Wlodarczyk, Jerzy</vt:lpwstr>
  </property>
  <property fmtid="{D5CDD505-2E9C-101B-9397-08002B2CF9AE}" pid="3" name="_position_">
    <vt:lpwstr>Inspektor Nadzoru Robót melioracyjnych i odwodn.</vt:lpwstr>
  </property>
  <property fmtid="{D5CDD505-2E9C-101B-9397-08002B2CF9AE}" pid="4" name="_cardNumber_">
    <vt:lpwstr>KP/IO/05/2017</vt:lpwstr>
  </property>
  <property fmtid="{D5CDD505-2E9C-101B-9397-08002B2CF9AE}" pid="5" name="_daysCount_">
    <vt:lpwstr>10</vt:lpwstr>
  </property>
</Properties>
</file>