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1D6" w:rsidRDefault="00F601D6" w:rsidP="00FE0920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Bufory </w:t>
      </w:r>
      <w:proofErr w:type="spellStart"/>
      <w:r w:rsidR="00FE0920">
        <w:rPr>
          <w:rFonts w:eastAsiaTheme="minorEastAsia"/>
        </w:rPr>
        <w:t>pH</w:t>
      </w:r>
      <w:proofErr w:type="spellEnd"/>
      <w:r w:rsidR="00FE0920">
        <w:rPr>
          <w:rFonts w:eastAsiaTheme="minorEastAsia"/>
        </w:rPr>
        <w:t xml:space="preserve"> - definicja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Bufor jest to coś, co stabilizuje dany parametr układu, szczególnie bufory spotyka się w chemii i informatyce. W chemii możemy mieć </w:t>
      </w:r>
      <w:r w:rsidRPr="00370FC6">
        <w:rPr>
          <w:rFonts w:eastAsiaTheme="minorEastAsia"/>
        </w:rPr>
        <w:t xml:space="preserve">bufory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i bufory potencjału, matura szczególnie zwraca uwagę na bufory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>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Bufor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oczywiście stabilizuje wartość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roztworu, dodatek silnego kwasu lub silnej zasady niewiele zmienia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Z chemicznego punktu widzenia można powiedzieć, że bufor (mieszanina buforowa) jest mieszaniną słabego kwasu i </w:t>
      </w:r>
      <w:r w:rsidRPr="002B1D57">
        <w:rPr>
          <w:rFonts w:eastAsiaTheme="minorEastAsia"/>
        </w:rPr>
        <w:t>sprzężonej</w:t>
      </w:r>
      <w:r>
        <w:rPr>
          <w:rFonts w:eastAsiaTheme="minorEastAsia"/>
        </w:rPr>
        <w:t xml:space="preserve"> słabej zasady w sensownych stosunkach (zakres stężeń od 20-1 do 1-20). Bufory rozważamy tylko i </w:t>
      </w:r>
      <w:r w:rsidRPr="00632D86">
        <w:rPr>
          <w:rFonts w:eastAsiaTheme="minorEastAsia"/>
          <w:b/>
        </w:rPr>
        <w:t>wyłącznie jonowo</w:t>
      </w:r>
      <w:r>
        <w:rPr>
          <w:rFonts w:eastAsiaTheme="minorEastAsia"/>
        </w:rPr>
        <w:t xml:space="preserve">, czyli dysocjujemy na jony wszelkie </w:t>
      </w:r>
      <w:proofErr w:type="gramStart"/>
      <w:r>
        <w:rPr>
          <w:rFonts w:eastAsiaTheme="minorEastAsia"/>
        </w:rPr>
        <w:t>związki (ale</w:t>
      </w:r>
      <w:proofErr w:type="gramEnd"/>
      <w:r>
        <w:rPr>
          <w:rFonts w:eastAsiaTheme="minorEastAsia"/>
        </w:rPr>
        <w:t xml:space="preserve"> nie hydrolizujemy). Roztwór buforowy występuje, jeżeli jest </w:t>
      </w:r>
      <w:r w:rsidRPr="00632D86">
        <w:rPr>
          <w:rFonts w:eastAsiaTheme="minorEastAsia"/>
          <w:highlight w:val="yellow"/>
        </w:rPr>
        <w:t>słaba sprzężona para kwas- zasada</w:t>
      </w:r>
      <w:r>
        <w:rPr>
          <w:rFonts w:eastAsiaTheme="minorEastAsia"/>
        </w:rPr>
        <w:t>, nie ma znaczenia skąd się ona wzięła tzn. czy dodaliśmy bezpośrednio oba związki – kwas i zasadę czy otrzymaliśmy je przez reakcje.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Żeby powiedzieć czy jest bufor należy odpowiedzieć sobie na 3 pytania: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- czy występuje sprzężona para kwas – zasada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- czy ta para to jest słaba, tzn. czy kwas lub zasada jest słaba (wystarczy jedno)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- czy kwas i zasada są zmieszane w sensownym stosunku: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Rozważmy kilka roztworów zawierających mieszaniny różnych związków. Pisząc jony, z jakich zbudowany są dane związki widzimy łatwo, czy jest w układzie znajdują się dwie drobimy, które będą sprzężoną słabą parą kwas zasada: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i 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Cl→</m:t>
          </m:r>
          <m:r>
            <m:rPr>
              <m:sty m:val="bi"/>
            </m:rP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i </m:t>
          </m:r>
          <m:r>
            <m:rPr>
              <m:sty m:val="bi"/>
            </m:rP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 xml:space="preserve"> ;C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 OK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Amoniak to słaba zasada jon </w:t>
      </w:r>
      <w:r w:rsidRPr="00635F03">
        <w:rPr>
          <w:rFonts w:eastAsiaTheme="minorEastAsia"/>
          <w:b/>
          <w:i/>
        </w:rPr>
        <w:t>NH</w:t>
      </w:r>
      <w:r w:rsidRPr="00635F03">
        <w:rPr>
          <w:rFonts w:eastAsiaTheme="minorEastAsia"/>
          <w:b/>
          <w:i/>
          <w:vertAlign w:val="subscript"/>
        </w:rPr>
        <w:t>4</w:t>
      </w:r>
      <w:r w:rsidRPr="00635F03">
        <w:rPr>
          <w:rFonts w:eastAsiaTheme="minorEastAsia"/>
          <w:b/>
          <w:i/>
          <w:vertAlign w:val="superscript"/>
        </w:rPr>
        <w:t>+</w:t>
      </w:r>
      <w:r>
        <w:rPr>
          <w:rFonts w:eastAsiaTheme="minorEastAsia"/>
        </w:rPr>
        <w:t xml:space="preserve"> jest sprzężonym kwasem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KHC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i 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/>
            </w:rPr>
            <m:t>HC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 xml:space="preserve">   i   </m:t>
          </m:r>
          <m:r>
            <m:rPr>
              <m:sty m:val="bi"/>
            </m:rPr>
            <w:rPr>
              <w:rFonts w:ascii="Cambria Math" w:eastAsiaTheme="minorEastAsia" w:hAnsi="Cambria Math"/>
            </w:rPr>
            <m:t>C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    OK</m:t>
          </m:r>
        </m:oMath>
      </m:oMathPara>
    </w:p>
    <w:p w:rsidR="00F601D6" w:rsidRPr="00407BB3" w:rsidRDefault="00F601D6" w:rsidP="00F601D6">
      <w:pPr>
        <w:rPr>
          <w:rFonts w:eastAsiaTheme="minorEastAsia"/>
        </w:rPr>
      </w:pPr>
      <w:r>
        <w:rPr>
          <w:rFonts w:eastAsiaTheme="minorEastAsia"/>
        </w:rPr>
        <w:t>Jon wodorowęglanowy jest słabym kwasem, jon węglanowy – sprzężoną zasadą.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HF i NaF→</m:t>
          </m:r>
          <m:r>
            <m:rPr>
              <m:sty m:val="bi"/>
            </m:rPr>
            <w:rPr>
              <w:rFonts w:ascii="Cambria Math" w:eastAsiaTheme="minorEastAsia" w:hAnsi="Cambria Math"/>
            </w:rPr>
            <m:t>HF</m:t>
          </m:r>
          <m:r>
            <w:rPr>
              <w:rFonts w:ascii="Cambria Math" w:eastAsiaTheme="minorEastAsia" w:hAnsi="Cambria Math"/>
            </w:rPr>
            <m:t xml:space="preserve"> i 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→OK</m:t>
          </m:r>
        </m:oMath>
      </m:oMathPara>
    </w:p>
    <w:p w:rsidR="00F601D6" w:rsidRPr="00635F03" w:rsidRDefault="00F601D6" w:rsidP="00F601D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HF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to</w:t>
      </w:r>
      <w:proofErr w:type="gramEnd"/>
      <w:r>
        <w:rPr>
          <w:rFonts w:eastAsiaTheme="minorEastAsia"/>
        </w:rPr>
        <w:t xml:space="preserve"> słąby kwas, jon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to sprzężona zasada.</w:t>
      </w:r>
    </w:p>
    <w:p w:rsidR="00F601D6" w:rsidRPr="00B20882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HCl i NaCl→</m:t>
          </m:r>
          <m:r>
            <m:rPr>
              <m:sty m:val="bi"/>
            </m:rPr>
            <w:rPr>
              <w:rFonts w:ascii="Cambria Math" w:eastAsiaTheme="minorEastAsia" w:hAnsi="Cambria Math"/>
            </w:rPr>
            <m:t>HCl</m:t>
          </m:r>
          <m:r>
            <w:rPr>
              <w:rFonts w:ascii="Cambria Math" w:eastAsiaTheme="minorEastAsia" w:hAnsi="Cambria Math"/>
            </w:rPr>
            <m:t xml:space="preserve"> i </m:t>
          </m:r>
          <m:r>
            <m:rPr>
              <m:sty m:val="bi"/>
            </m:rP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; NIE OK,</m:t>
          </m:r>
        </m:oMath>
      </m:oMathPara>
    </w:p>
    <w:p w:rsidR="00F601D6" w:rsidRPr="00B20882" w:rsidRDefault="00F601D6" w:rsidP="00F601D6">
      <w:pPr>
        <w:rPr>
          <w:rFonts w:eastAsiaTheme="minorEastAsia"/>
        </w:rPr>
      </w:pPr>
      <w:r>
        <w:rPr>
          <w:rFonts w:eastAsiaTheme="minorEastAsia"/>
        </w:rPr>
        <w:t>Mimo, że obie drobiny są sprzężone to kwas solny jest silnym kwasem, a więc nie ma warunku słabości</w:t>
      </w:r>
    </w:p>
    <w:p w:rsidR="00F601D6" w:rsidRPr="00B20882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HP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 i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→2N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 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i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→Nie OK, </m:t>
          </m:r>
        </m:oMath>
      </m:oMathPara>
    </w:p>
    <w:p w:rsidR="00F601D6" w:rsidRPr="00B20882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Mimo, że obie drobiny są pochodzą z słabego kwasu (fosforowego (V)) , różnią się więcej niż jednym </w:t>
      </w:r>
      <w:proofErr w:type="spellStart"/>
      <w:r>
        <w:rPr>
          <w:rFonts w:eastAsiaTheme="minorEastAsia"/>
        </w:rPr>
        <w:t>wodorem</w:t>
      </w:r>
      <w:proofErr w:type="gramStart"/>
      <w:r>
        <w:rPr>
          <w:rFonts w:eastAsiaTheme="minorEastAsia"/>
        </w:rPr>
        <w:t>,a</w:t>
      </w:r>
      <w:proofErr w:type="spellEnd"/>
      <w:proofErr w:type="gramEnd"/>
      <w:r>
        <w:rPr>
          <w:rFonts w:eastAsiaTheme="minorEastAsia"/>
        </w:rPr>
        <w:t xml:space="preserve"> więc nie są sprzężone. Nie ma warunku sprzężenia. Nie znaczy to jednak, że drobiny te nie mogą przereagować, </w:t>
      </w:r>
      <w:proofErr w:type="gramStart"/>
      <w:r>
        <w:rPr>
          <w:rFonts w:eastAsiaTheme="minorEastAsia"/>
        </w:rPr>
        <w:t>tak aby</w:t>
      </w:r>
      <w:proofErr w:type="gramEnd"/>
      <w:r>
        <w:rPr>
          <w:rFonts w:eastAsiaTheme="minorEastAsia"/>
        </w:rPr>
        <w:t xml:space="preserve"> stworzyć bufor, jednak zależy to od ich proporcji.</w:t>
      </w:r>
    </w:p>
    <w:p w:rsidR="00F601D6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HP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 i Na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  i   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 xml:space="preserve">   OK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Te drobiny są sprzężone, różnią się jednym protonem i pochodzą od słabego kwasu – fosforowego. 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NaN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i 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→N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 xml:space="preserve">  i   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    NIE OK</m:t>
          </m:r>
        </m:oMath>
      </m:oMathPara>
    </w:p>
    <w:p w:rsidR="00F601D6" w:rsidRPr="002B758C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Pomimo, że drobiny są sprzężone, to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 w:rsidRPr="002B758C">
        <w:rPr>
          <w:rFonts w:eastAsiaTheme="minorEastAsia"/>
        </w:rPr>
        <w:t xml:space="preserve"> </w:t>
      </w:r>
      <w:r>
        <w:rPr>
          <w:rFonts w:eastAsiaTheme="minorEastAsia"/>
        </w:rPr>
        <w:t xml:space="preserve">w tej parze powinien pełnić funkcję kwasu, a jak wiemy jest zasadą w roztworze wodnym. Z kolei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jest silną zasadą. Nie ma spełnionego warunku słabości, a więc układ nie jest buforem.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Natomiast bufor można również otrzymać w reakcji, nie tylko przez proste zmieszanie odpowiednich jonów. Rozważmy przykład: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Przyrządzono roztwór przez rozpuszczenie 1.5 </w:t>
      </w:r>
      <w:proofErr w:type="gramStart"/>
      <w:r>
        <w:rPr>
          <w:rFonts w:eastAsiaTheme="minorEastAsia"/>
        </w:rPr>
        <w:t>mola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 xml:space="preserve"> 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i 2 mola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w wodzie. Czy jest bufor?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Oczywiście roztwór ten nie wygląda początkowo jak bufor, ale rozważając dysocjację obu związków dostajemy:</w:t>
      </w:r>
    </w:p>
    <w:p w:rsidR="00F601D6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→2N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+S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F601D6" w:rsidRPr="002F714E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NaOH→N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F601D6" w:rsidRPr="000B5FD2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Czyli ilość moli amonowych będzie dwukrotnością użytego siarczanu amonu, </w:t>
      </w:r>
      <w:proofErr w:type="gramStart"/>
      <w:r>
        <w:rPr>
          <w:rFonts w:eastAsiaTheme="minorEastAsia"/>
        </w:rPr>
        <w:t>ilość  moli</w:t>
      </w:r>
      <w:proofErr w:type="gramEnd"/>
      <w:r>
        <w:rPr>
          <w:rFonts w:eastAsiaTheme="minorEastAsia"/>
        </w:rPr>
        <w:t xml:space="preserve"> jonów </w:t>
      </w:r>
      <w:r w:rsidRPr="000B5FD2">
        <w:rPr>
          <w:rFonts w:eastAsiaTheme="minorEastAsia"/>
          <w:b/>
          <w:i/>
        </w:rPr>
        <w:t>OH</w:t>
      </w:r>
      <w:r w:rsidRPr="000B5FD2">
        <w:rPr>
          <w:rFonts w:eastAsiaTheme="minorEastAsia"/>
          <w:b/>
          <w:i/>
          <w:vertAlign w:val="superscript"/>
        </w:rPr>
        <w:t>-</w:t>
      </w:r>
      <w:r>
        <w:rPr>
          <w:rFonts w:eastAsiaTheme="minorEastAsia"/>
        </w:rPr>
        <w:t xml:space="preserve"> będzie równa ilości użytego </w:t>
      </w:r>
      <m:oMath>
        <m:r>
          <w:rPr>
            <w:rFonts w:ascii="Cambria Math" w:eastAsiaTheme="minorEastAsia" w:hAnsi="Cambria Math"/>
          </w:rPr>
          <m:t>NaOH</m:t>
        </m:r>
      </m:oMath>
    </w:p>
    <w:p w:rsidR="00F601D6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---2N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</m:oMath>
      </m:oMathPara>
    </w:p>
    <w:p w:rsidR="00F601D6" w:rsidRPr="002F714E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1-2</m:t>
          </m:r>
        </m:oMath>
      </m:oMathPara>
    </w:p>
    <w:p w:rsidR="00F601D6" w:rsidRPr="002F714E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1.5-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sub>
          </m:sSub>
        </m:oMath>
      </m:oMathPara>
    </w:p>
    <w:p w:rsidR="00F601D6" w:rsidRDefault="00466FE4" w:rsidP="00F601D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=3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Na pierwszy rzut oka nie wygląda, ale jak rozważymy </w:t>
      </w:r>
      <w:proofErr w:type="gramStart"/>
      <w:r>
        <w:rPr>
          <w:rFonts w:eastAsiaTheme="minorEastAsia"/>
        </w:rPr>
        <w:t xml:space="preserve">reakcje , </w:t>
      </w:r>
      <w:proofErr w:type="gramEnd"/>
      <w:r>
        <w:rPr>
          <w:rFonts w:eastAsiaTheme="minorEastAsia"/>
        </w:rPr>
        <w:t>widzimy, że otrzymujemy:</w:t>
      </w:r>
    </w:p>
    <w:p w:rsidR="00F601D6" w:rsidRPr="00407BB3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Możemy zrobić tabelkę, aby obliczyć końcową ilość drobin: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F601D6" w:rsidRPr="00302ED2" w:rsidRDefault="00F601D6" w:rsidP="00204A97">
            <w:pPr>
              <w:rPr>
                <w:rFonts w:eastAsiaTheme="minorEastAs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Pr="00302ED2" w:rsidRDefault="00F601D6" w:rsidP="00204A97">
            <w:pPr>
              <w:rPr>
                <w:rFonts w:eastAsiaTheme="minorEastAs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Pr="002B1D57" w:rsidRDefault="00F601D6" w:rsidP="00204A9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  <w:tc>
          <w:tcPr>
            <w:tcW w:w="2303" w:type="dxa"/>
          </w:tcPr>
          <w:p w:rsidR="00F601D6" w:rsidRPr="002B1D57" w:rsidRDefault="00F601D6" w:rsidP="00204A9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2303" w:type="dxa"/>
          </w:tcPr>
          <w:p w:rsidR="00F601D6" w:rsidRPr="002B1D57" w:rsidRDefault="00F601D6" w:rsidP="00204A9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Δn</m:t>
                </m:r>
              </m:oMath>
            </m:oMathPara>
          </w:p>
        </w:tc>
        <w:tc>
          <w:tcPr>
            <w:tcW w:w="2303" w:type="dxa"/>
          </w:tcPr>
          <w:p w:rsidR="00F601D6" w:rsidRPr="002B1D57" w:rsidRDefault="00F601D6" w:rsidP="00204A9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Pr="002B1D57" w:rsidRDefault="00F601D6" w:rsidP="00204A9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Pr="002B1D57" w:rsidRDefault="00F601D6" w:rsidP="00204A9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Pr="002B1D57" w:rsidRDefault="00F601D6" w:rsidP="00204A9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2303" w:type="dxa"/>
          </w:tcPr>
          <w:p w:rsidR="00F601D6" w:rsidRPr="002B1D57" w:rsidRDefault="00F601D6" w:rsidP="00204A9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F601D6" w:rsidRPr="002B1D57" w:rsidRDefault="00F601D6" w:rsidP="00204A97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</w:tr>
    </w:tbl>
    <w:p w:rsidR="00F601D6" w:rsidRDefault="00F601D6" w:rsidP="00F601D6">
      <w:pPr>
        <w:rPr>
          <w:rFonts w:eastAsiaTheme="minorEastAsia"/>
        </w:rPr>
      </w:pPr>
    </w:p>
    <w:p w:rsidR="00F601D6" w:rsidRPr="009B5039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Jak widać po reakcji otrzymano roztwór buforowy, bo mamy jednocześnie sprzężone drobiny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. </w:t>
      </w:r>
      <w:proofErr w:type="gramEnd"/>
      <w:r>
        <w:rPr>
          <w:rFonts w:eastAsiaTheme="minorEastAsia"/>
        </w:rPr>
        <w:t>Są one słabym kwasem i słabą zasadą, i jednocześnie występują w sensownej ilości.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Nie zawsze zmieszanie słabego kwasu i słabej zasady daje bufor, zależy to od proporcji, w których zmieszano reagenty, np.: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Przyrządzono roztwór przez rozpuszczenie 1.5 </w:t>
      </w:r>
      <w:proofErr w:type="gramStart"/>
      <w:r>
        <w:rPr>
          <w:rFonts w:eastAsiaTheme="minorEastAsia"/>
        </w:rPr>
        <w:t>mola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i 4 mola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w wodzie. Czy jest bufor?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Mimo użycia tych samych reagentów, w tym wypadku nie otrzymamy już buforu.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Rozważając tabelką ilość moli końcowych po reakcji analogicznej dostajemy: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Δn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</w:tr>
    </w:tbl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Widzimy, że całkowicie przereagowują jony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>
        <w:rPr>
          <w:rFonts w:eastAsiaTheme="minorEastAsia"/>
        </w:rPr>
        <w:t>. Nie będziemy wtedy mieli jednego z dwóch wymaganych składników buforu – sprzężonego kwasu, a więc również roztwór nie będzie buforem.</w:t>
      </w:r>
    </w:p>
    <w:p w:rsidR="00F601D6" w:rsidRPr="005A59B9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Dla słabych kwasów </w:t>
      </w:r>
      <w:proofErr w:type="spellStart"/>
      <w:r>
        <w:rPr>
          <w:rFonts w:eastAsiaTheme="minorEastAsia"/>
        </w:rPr>
        <w:t>wieloprotonowych</w:t>
      </w:r>
      <w:proofErr w:type="spellEnd"/>
      <w:r>
        <w:rPr>
          <w:rFonts w:eastAsiaTheme="minorEastAsia"/>
        </w:rPr>
        <w:t xml:space="preserve"> możemy mieć tyle różnych buforów, ile mamy kwaśnych protonów, gdyż każdy kwaśny wodór w słabym kwasie ma swoje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a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i będzie stabilizował inne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>. Inny słowy, każdy proton w słabym kwasie ma „swój” bufor, wynikający z jego urywania i przyłączania.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Czyli np. Dla kwasu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możemy mieć 3 różne bufory, opierające się na kolejnych protonach:</w:t>
      </w:r>
    </w:p>
    <w:p w:rsidR="00F601D6" w:rsidRPr="00BF3694" w:rsidRDefault="00466FE4" w:rsidP="00F601D6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 w:rsidR="00F601D6">
        <w:rPr>
          <w:rFonts w:eastAsiaTheme="minorEastAsia"/>
        </w:rPr>
        <w:t xml:space="preserve"> </w:t>
      </w:r>
      <w:proofErr w:type="gramStart"/>
      <w:r w:rsidR="00F601D6">
        <w:rPr>
          <w:rFonts w:eastAsiaTheme="minorEastAsia"/>
        </w:rPr>
        <w:t>i</w:t>
      </w:r>
      <w:proofErr w:type="gramEnd"/>
      <w:r w:rsidR="00F601D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-</m:t>
            </m:r>
          </m:sup>
        </m:sSubSup>
      </m:oMath>
      <w:r w:rsidR="00F601D6">
        <w:rPr>
          <w:rFonts w:eastAsiaTheme="minorEastAsia"/>
          <w:b/>
          <w:i/>
        </w:rPr>
        <w:t xml:space="preserve"> </w:t>
      </w:r>
      <w:r w:rsidR="00F601D6" w:rsidRPr="00723A6C">
        <w:rPr>
          <w:rFonts w:eastAsiaTheme="minorEastAsia"/>
        </w:rPr>
        <w:t>oraz</w:t>
      </w:r>
      <w:r w:rsidR="00F601D6">
        <w:rPr>
          <w:rFonts w:eastAsiaTheme="minorEastAsia"/>
          <w:b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-</m:t>
            </m:r>
          </m:sup>
        </m:sSubSup>
      </m:oMath>
      <w:r w:rsidR="00F601D6">
        <w:rPr>
          <w:rFonts w:eastAsiaTheme="minorEastAsia"/>
          <w:b/>
          <w:i/>
        </w:rPr>
        <w:t xml:space="preserve"> </w:t>
      </w:r>
      <w:r w:rsidR="00F601D6"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2-</m:t>
            </m:r>
          </m:sup>
        </m:sSubSup>
      </m:oMath>
      <w:r w:rsidR="00F601D6" w:rsidRPr="00723A6C">
        <w:rPr>
          <w:rFonts w:eastAsiaTheme="minorEastAsia"/>
        </w:rPr>
        <w:t>oraz</w:t>
      </w:r>
      <w:r w:rsidR="00F601D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2-</m:t>
            </m:r>
          </m:sup>
        </m:sSubSup>
      </m:oMath>
      <w:r w:rsidR="00F601D6">
        <w:rPr>
          <w:rFonts w:eastAsiaTheme="minorEastAsia"/>
          <w:b/>
          <w:i/>
        </w:rPr>
        <w:t xml:space="preserve"> </w:t>
      </w:r>
      <w:r w:rsidR="00F601D6"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3-</m:t>
            </m:r>
          </m:sup>
        </m:sSubSup>
      </m:oMath>
      <w:r w:rsidR="00F601D6">
        <w:rPr>
          <w:rFonts w:eastAsiaTheme="minorEastAsia"/>
          <w:b/>
          <w:i/>
          <w:vertAlign w:val="superscript"/>
        </w:rPr>
        <w:t>-</w:t>
      </w:r>
      <w:r w:rsidR="00F601D6">
        <w:rPr>
          <w:rFonts w:eastAsiaTheme="minorEastAsia"/>
        </w:rPr>
        <w:t xml:space="preserve">. Bufory oparte na kolejnych wodorach w kwasie </w:t>
      </w:r>
      <w:proofErr w:type="spellStart"/>
      <w:r w:rsidR="00F601D6">
        <w:rPr>
          <w:rFonts w:eastAsiaTheme="minorEastAsia"/>
        </w:rPr>
        <w:t>wieloprotonowym</w:t>
      </w:r>
      <w:proofErr w:type="spellEnd"/>
      <w:r w:rsidR="00F601D6">
        <w:rPr>
          <w:rFonts w:eastAsiaTheme="minorEastAsia"/>
        </w:rPr>
        <w:t xml:space="preserve"> stabilizują różne wartości </w:t>
      </w:r>
      <m:oMath>
        <m:r>
          <w:rPr>
            <w:rFonts w:ascii="Cambria Math" w:eastAsiaTheme="minorEastAsia" w:hAnsi="Cambria Math"/>
          </w:rPr>
          <m:t>pH</m:t>
        </m:r>
      </m:oMath>
      <w:r w:rsidR="00F601D6">
        <w:rPr>
          <w:rFonts w:eastAsiaTheme="minorEastAsia"/>
        </w:rPr>
        <w:t xml:space="preserve">. Rozpatrując uzyskanie buforu z kwasu </w:t>
      </w:r>
      <w:proofErr w:type="spellStart"/>
      <w:r w:rsidR="00F601D6">
        <w:rPr>
          <w:rFonts w:eastAsiaTheme="minorEastAsia"/>
        </w:rPr>
        <w:t>wieloprotonowego</w:t>
      </w:r>
      <w:proofErr w:type="spellEnd"/>
      <w:r w:rsidR="00F601D6">
        <w:rPr>
          <w:rFonts w:eastAsiaTheme="minorEastAsia"/>
        </w:rPr>
        <w:t xml:space="preserve"> wodory urywamy wodór po wodorze tzn. najpierw całkowicie urywamy pierwszy wodór i dopiero potem kolejny; nie wszystkie wodory na raz; aż do całkowitego wyczerpania wodorów. Analogicznie przyłączamy wodory, również wodór po wodorze, kolejną reakcję przyłączenia wodoru rozpatrujemy dopiero po całkowitym przyłączeniu poprzedniego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Sporządzono roztwór przez zmieszanie 1mola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 xml:space="preserve">i 2.2 </w:t>
      </w:r>
      <w:proofErr w:type="gramStart"/>
      <w:r>
        <w:rPr>
          <w:rFonts w:eastAsiaTheme="minorEastAsia"/>
        </w:rPr>
        <w:t>mola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w wodzie. Czy otrzymano bufor, a jeżeli tak </w:t>
      </w:r>
      <w:proofErr w:type="gramStart"/>
      <w:r>
        <w:rPr>
          <w:rFonts w:eastAsiaTheme="minorEastAsia"/>
        </w:rPr>
        <w:t>to jaki</w:t>
      </w:r>
      <w:proofErr w:type="gramEnd"/>
      <w:r>
        <w:rPr>
          <w:rFonts w:eastAsiaTheme="minorEastAsia"/>
        </w:rPr>
        <w:t>?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Rozpatrujemy urwanie pierwszego wodoru:</w:t>
      </w:r>
    </w:p>
    <w:p w:rsidR="00F601D6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</m:t>
          </m:r>
        </m:oMath>
      </m:oMathPara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bSup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2.2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Δn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1.2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</w:tr>
    </w:tbl>
    <w:p w:rsidR="00F601D6" w:rsidRPr="00DB495C" w:rsidRDefault="00F601D6" w:rsidP="00F601D6">
      <w:pPr>
        <w:rPr>
          <w:rFonts w:eastAsiaTheme="minorEastAsia"/>
          <w:b/>
          <w:i/>
        </w:rPr>
      </w:pPr>
      <w:r>
        <w:rPr>
          <w:rFonts w:eastAsiaTheme="minorEastAsia"/>
        </w:rPr>
        <w:t xml:space="preserve">Widzimy, że po reakcji mamy jeszcze nadmiar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, więc rozpatrujemy urwanie kolejnego wodoru od otrzymanego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>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b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2-</m:t>
                    </m:r>
                  </m:sup>
                </m:sSubSup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1.2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Δn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0.2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</w:tr>
    </w:tbl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Jak widać potrzebujemy rozpatrzeć kolejną </w:t>
      </w:r>
      <w:proofErr w:type="gramStart"/>
      <w:r>
        <w:rPr>
          <w:rFonts w:eastAsiaTheme="minorEastAsia"/>
        </w:rPr>
        <w:t>reakcję:</w:t>
      </w:r>
      <w:proofErr w:type="gramEnd"/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2-</m:t>
                    </m:r>
                  </m:sup>
                </m:sSub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3-</m:t>
                    </m:r>
                  </m:sup>
                </m:sSubSup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0.2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Δn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Pr="00E82DFC" w:rsidRDefault="00F601D6" w:rsidP="00204A97">
            <w:pPr>
              <w:rPr>
                <w:rFonts w:eastAsiaTheme="minorEastAs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0.8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F601D6" w:rsidRPr="00E82DFC" w:rsidRDefault="00F601D6" w:rsidP="00204A97">
            <w:pPr>
              <w:rPr>
                <w:rFonts w:eastAsiaTheme="minorEastAs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0.2</m:t>
                </m:r>
              </m:oMath>
            </m:oMathPara>
          </w:p>
        </w:tc>
      </w:tr>
    </w:tbl>
    <w:p w:rsidR="00F601D6" w:rsidRDefault="00F601D6" w:rsidP="00F601D6">
      <w:pPr>
        <w:rPr>
          <w:rFonts w:eastAsiaTheme="minorEastAsia"/>
        </w:rPr>
      </w:pP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Czyli mamy bufor oparty na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3-</m:t>
            </m:r>
          </m:sup>
        </m:sSubSup>
      </m:oMath>
      <w:r>
        <w:rPr>
          <w:rFonts w:eastAsiaTheme="minorEastAsia"/>
        </w:rPr>
        <w:t>drobiny te stanowią słabą sprzężoną parę kwas – zasada i są w sensownym stosunku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Użycie innej ilości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może spowodować powstanie innego buforu. Np. sporządzenie roztworu przez zmieszanie </w:t>
      </w:r>
      <w:r w:rsidRPr="00DB495C">
        <w:rPr>
          <w:rFonts w:eastAsiaTheme="minorEastAsia"/>
        </w:rPr>
        <w:t>1mol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oraz </w:t>
      </w:r>
      <w:r w:rsidRPr="00DB495C">
        <w:rPr>
          <w:rFonts w:eastAsiaTheme="minorEastAsia"/>
        </w:rPr>
        <w:t>0.8 mola</w:t>
      </w:r>
      <w:proofErr w:type="gramEnd"/>
      <w:r w:rsidRPr="00DB495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prowadzi do: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Rozpatrując urwanie pierwszego wodoru dostajemy:</w:t>
      </w:r>
    </w:p>
    <w:p w:rsidR="00F601D6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F601D6" w:rsidRPr="00DB495C" w:rsidRDefault="00F601D6" w:rsidP="00F601D6">
      <w:pPr>
        <w:rPr>
          <w:rFonts w:eastAsiaTheme="minorEastAsia"/>
        </w:rPr>
      </w:pPr>
    </w:p>
    <w:tbl>
      <w:tblPr>
        <w:tblStyle w:val="Tabela-Siatka"/>
        <w:tblW w:w="9212" w:type="dxa"/>
        <w:tblLook w:val="04A0"/>
      </w:tblPr>
      <w:tblGrid>
        <w:gridCol w:w="1951"/>
        <w:gridCol w:w="2655"/>
        <w:gridCol w:w="2303"/>
        <w:gridCol w:w="2303"/>
      </w:tblGrid>
      <w:tr w:rsidR="00F601D6" w:rsidTr="00204A97">
        <w:tc>
          <w:tcPr>
            <w:tcW w:w="1951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  <w:tc>
          <w:tcPr>
            <w:tcW w:w="2655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bSup>
              </m:oMath>
            </m:oMathPara>
          </w:p>
        </w:tc>
      </w:tr>
      <w:tr w:rsidR="00F601D6" w:rsidTr="00204A97">
        <w:tc>
          <w:tcPr>
            <w:tcW w:w="1951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655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0.8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F601D6" w:rsidTr="00204A97">
        <w:tc>
          <w:tcPr>
            <w:tcW w:w="1951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Δn</m:t>
                </m:r>
              </m:oMath>
            </m:oMathPara>
          </w:p>
        </w:tc>
        <w:tc>
          <w:tcPr>
            <w:tcW w:w="2655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601D6" w:rsidTr="00204A97">
        <w:tc>
          <w:tcPr>
            <w:tcW w:w="1951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655" w:type="dxa"/>
          </w:tcPr>
          <w:p w:rsidR="00F601D6" w:rsidRPr="00B72BDE" w:rsidRDefault="00F601D6" w:rsidP="00204A97">
            <w:pPr>
              <w:rPr>
                <w:rFonts w:eastAsiaTheme="minorEastAs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0.2</m:t>
                </m:r>
              </m:oMath>
            </m:oMathPara>
          </w:p>
        </w:tc>
        <w:tc>
          <w:tcPr>
            <w:tcW w:w="2303" w:type="dxa"/>
          </w:tcPr>
          <w:p w:rsidR="00F601D6" w:rsidRPr="00B72BDE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0.8-x=0→</m:t>
                </m:r>
              </m:oMath>
            </m:oMathPara>
          </w:p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x=0.8</m:t>
                </m:r>
              </m:oMath>
            </m:oMathPara>
          </w:p>
        </w:tc>
        <w:tc>
          <w:tcPr>
            <w:tcW w:w="2303" w:type="dxa"/>
          </w:tcPr>
          <w:p w:rsidR="00F601D6" w:rsidRPr="00B72BDE" w:rsidRDefault="00F601D6" w:rsidP="00204A97">
            <w:pPr>
              <w:rPr>
                <w:rFonts w:eastAsiaTheme="minorEastAs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0.8</m:t>
                </m:r>
              </m:oMath>
            </m:oMathPara>
          </w:p>
        </w:tc>
      </w:tr>
    </w:tbl>
    <w:p w:rsidR="00F601D6" w:rsidRDefault="00F601D6" w:rsidP="00F601D6">
      <w:pPr>
        <w:rPr>
          <w:rFonts w:eastAsiaTheme="minorEastAsia"/>
          <w:b/>
          <w:i/>
          <w:vertAlign w:val="superscript"/>
        </w:rPr>
      </w:pPr>
      <w:r>
        <w:rPr>
          <w:rFonts w:eastAsiaTheme="minorEastAsia"/>
        </w:rPr>
        <w:t xml:space="preserve">Widać, iż w tym wypadku nie ma potrzeby rozpatrywać urywania kolejnych wodorów, gdyż całkowicie wyczerpaliśmy jony </w:t>
      </w:r>
      <w:r>
        <w:rPr>
          <w:rFonts w:ascii="Cambria Math" w:eastAsiaTheme="minorEastAsia" w:hAnsi="Cambria Math"/>
        </w:rPr>
        <w:br/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podczas pierwszej reakcji. W tym wypadku otrzymaliśmy bufor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</w:p>
    <w:p w:rsidR="00F601D6" w:rsidRDefault="00F601D6" w:rsidP="00FE0920">
      <w:pPr>
        <w:pStyle w:val="Nagwek1"/>
        <w:rPr>
          <w:rFonts w:eastAsiaTheme="minorEastAsia"/>
        </w:rPr>
      </w:pPr>
      <w:r>
        <w:rPr>
          <w:rFonts w:eastAsiaTheme="minorEastAsia"/>
        </w:rPr>
        <w:t>Działanie buforu: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Możemy powiedzieć, że każdym buforze występują dwie drobiny: sprzężonego kwasu i sprzężonej zasady; inaczej bufor składa się z formy kwaśnej (tej drobiny w parze, która ma wodór więcej) i formę zasadową (tej, co ma wodór mniej). Jeżeli dodajesz kwasu (czyli źródła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>, np</w:t>
      </w:r>
      <w:proofErr w:type="gramStart"/>
      <w:r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>)to</w:t>
      </w:r>
      <w:proofErr w:type="gramEnd"/>
      <w:r>
        <w:rPr>
          <w:rFonts w:eastAsiaTheme="minorEastAsia"/>
        </w:rPr>
        <w:t xml:space="preserve"> ten kwas zżera formę zasadową tworząc z niej formę kwasową buforu. Natomiast dodając </w:t>
      </w:r>
      <w:proofErr w:type="gramStart"/>
      <w:r>
        <w:rPr>
          <w:rFonts w:eastAsiaTheme="minorEastAsia"/>
        </w:rPr>
        <w:t>zasady (np</w:t>
      </w:r>
      <w:proofErr w:type="gramEnd"/>
      <w:r>
        <w:rPr>
          <w:rFonts w:eastAsiaTheme="minorEastAsia"/>
        </w:rPr>
        <w:t>. jonów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) to zżera ona formę kwasową i robiąc formę zasadową (oraz wodę). Można to przedstawić na schemacie: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1568348" cy="1664688"/>
            <wp:effectExtent l="19050" t="0" r="0" b="0"/>
            <wp:docPr id="4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998" cy="1665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Podczas pracy buforu zostają te same formy buforu – kwaśna i zasadowa, różnią się one tylko stosunkiem obu form, a więc mamy ten sam bufor, czyli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nie zmienia się znacznie.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Np. Mamy bufor fosforanowy oparty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.Do jednej próbki zawierającej ten bufor </w:t>
      </w:r>
      <w:proofErr w:type="spellStart"/>
      <w:r>
        <w:rPr>
          <w:rFonts w:eastAsiaTheme="minorEastAsia"/>
        </w:rPr>
        <w:t>odajemy</w:t>
      </w:r>
      <w:proofErr w:type="spellEnd"/>
      <w:r>
        <w:rPr>
          <w:rFonts w:eastAsiaTheme="minorEastAsia"/>
        </w:rPr>
        <w:t xml:space="preserve"> mocnego kwasu (np.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>), a do drugiej mocnej zasady (np</w:t>
      </w:r>
      <w:proofErr w:type="gramStart"/>
      <w:r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>). Jakie</w:t>
      </w:r>
      <w:proofErr w:type="gramEnd"/>
      <w:r>
        <w:rPr>
          <w:rFonts w:eastAsiaTheme="minorEastAsia"/>
        </w:rPr>
        <w:t xml:space="preserve"> reakcje zajdą??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Na początku musimy zobaczyć, który z jonów fosforanowych jest formą kwaśną, a który zasadową buforu. Widzimy, że wśród jonów sprzężonych stanowiących bufor więcej wodorów </w:t>
      </w:r>
      <w:proofErr w:type="gramStart"/>
      <w:r>
        <w:rPr>
          <w:rFonts w:eastAsiaTheme="minorEastAsia"/>
        </w:rPr>
        <w:t>ma</w:t>
      </w:r>
      <w:r w:rsidRPr="00A12E04"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więc</w:t>
      </w:r>
      <w:proofErr w:type="gramEnd"/>
      <w:r>
        <w:rPr>
          <w:rFonts w:eastAsiaTheme="minorEastAsia"/>
        </w:rPr>
        <w:t xml:space="preserve"> jest on formą kwaśną, natomiast jon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 ma o jeden wodór mniej, a więc jest formą zasadową. Możemy to przedstawić na schemacie: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1839010" cy="1651525"/>
            <wp:effectExtent l="19050" t="0" r="884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116" cy="165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1D6" w:rsidRPr="00A12E04" w:rsidRDefault="00F601D6" w:rsidP="00F601D6">
      <w:pPr>
        <w:rPr>
          <w:rFonts w:eastAsiaTheme="minorEastAsia"/>
        </w:rPr>
      </w:pPr>
      <w:r>
        <w:rPr>
          <w:rFonts w:eastAsiaTheme="minorEastAsia"/>
        </w:rPr>
        <w:t>Widzimy, że reakcja zachodząca po dodatku kwasu to: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Natomiast po dodatku zasady:</w:t>
      </w:r>
    </w:p>
    <w:p w:rsidR="00F601D6" w:rsidRPr="00714E05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Czy można dodać wielką ilość kwasu lub zasady, a bufor wytrzyma?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Nie, w pewnym momencie dodając dużo ilość np. kwasu przekroczymy ilość formy zasadowej, wówczas ta forma zasadowa ona przereaguje do końca i już buforu nie będzie. Dostateczna ilość kwasu zwyczajnie zeżre całą formę zasadową. Proces taki nazywa sie przepełnieniem buforu i powoduje on, że nie mamy wtedy jednego ze składników buforu, a więc nie mamy początkowego buforu. Możemy mieć wówczas inny bufor, oparty na innym wodorze niż wyjściowy, szczególnie dla kwasów </w:t>
      </w:r>
      <w:proofErr w:type="spellStart"/>
      <w:r>
        <w:rPr>
          <w:rFonts w:eastAsiaTheme="minorEastAsia"/>
        </w:rPr>
        <w:t>wieloprotonowych</w:t>
      </w:r>
      <w:proofErr w:type="spellEnd"/>
      <w:r>
        <w:rPr>
          <w:rFonts w:eastAsiaTheme="minorEastAsia"/>
        </w:rPr>
        <w:t>, a może być tak, że w ogóle nie mamy buforu, mamy nadmiar mocnego kwasu lub zasady.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Mieliśmy bufor, w którym znajdował się 1 mol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i 1 mol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. Dodaliśmy 1.5 </w:t>
      </w:r>
      <w:proofErr w:type="gramStart"/>
      <w:r>
        <w:rPr>
          <w:rFonts w:eastAsiaTheme="minorEastAsia"/>
        </w:rPr>
        <w:t>mola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  <w:b/>
          <w:i/>
        </w:rPr>
        <w:t>.</w:t>
      </w:r>
      <w:r>
        <w:rPr>
          <w:rFonts w:eastAsiaTheme="minorEastAsia"/>
        </w:rPr>
        <w:t xml:space="preserve"> Czy będziemy mieli bufor, a jeżeli tak </w:t>
      </w:r>
      <w:proofErr w:type="gramStart"/>
      <w:r>
        <w:rPr>
          <w:rFonts w:eastAsiaTheme="minorEastAsia"/>
        </w:rPr>
        <w:t>to jaki</w:t>
      </w:r>
      <w:proofErr w:type="gramEnd"/>
      <w:r>
        <w:rPr>
          <w:rFonts w:eastAsiaTheme="minorEastAsia"/>
        </w:rPr>
        <w:t>?</w:t>
      </w:r>
    </w:p>
    <w:p w:rsidR="00F601D6" w:rsidRPr="0009601D" w:rsidRDefault="00F601D6" w:rsidP="00F601D6">
      <w:pPr>
        <w:rPr>
          <w:rFonts w:eastAsiaTheme="minorEastAsia"/>
        </w:rPr>
      </w:pPr>
      <w:r>
        <w:rPr>
          <w:rFonts w:eastAsiaTheme="minorEastAsia"/>
        </w:rPr>
        <w:t>Zgodnie z schematem możemy zapisać, iż najpierw zachodzi reakcja przyłączenia wodoru do formy zasadowej buforu</w:t>
      </w:r>
      <w:r w:rsidRPr="00666155">
        <w:rPr>
          <w:rFonts w:eastAsiaTheme="minorEastAsia"/>
          <w:b/>
          <w:i/>
        </w:rPr>
        <w:t xml:space="preserve">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  <w:i/>
        </w:rPr>
        <w:t>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Robimy tabelkę dla powyższej reakcji:</w:t>
      </w:r>
    </w:p>
    <w:tbl>
      <w:tblPr>
        <w:tblStyle w:val="Tabela-Siatka"/>
        <w:tblW w:w="0" w:type="auto"/>
        <w:tblLook w:val="04A0"/>
      </w:tblPr>
      <w:tblGrid>
        <w:gridCol w:w="1384"/>
        <w:gridCol w:w="2300"/>
        <w:gridCol w:w="1842"/>
        <w:gridCol w:w="1843"/>
        <w:gridCol w:w="1843"/>
      </w:tblGrid>
      <w:tr w:rsidR="00F601D6" w:rsidTr="00204A97">
        <w:tc>
          <w:tcPr>
            <w:tcW w:w="1384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  <w:tc>
          <w:tcPr>
            <w:tcW w:w="2300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2-</m:t>
                    </m:r>
                  </m:sup>
                </m:sSubSup>
              </m:oMath>
            </m:oMathPara>
          </w:p>
        </w:tc>
        <w:tc>
          <w:tcPr>
            <w:tcW w:w="1842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184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bSup>
              </m:oMath>
            </m:oMathPara>
          </w:p>
        </w:tc>
        <w:tc>
          <w:tcPr>
            <w:tcW w:w="184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F601D6" w:rsidTr="00204A97">
        <w:tc>
          <w:tcPr>
            <w:tcW w:w="1384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0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184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1.5</m:t>
                </m:r>
              </m:oMath>
            </m:oMathPara>
          </w:p>
        </w:tc>
        <w:tc>
          <w:tcPr>
            <w:tcW w:w="184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1843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</w:tr>
      <w:tr w:rsidR="00F601D6" w:rsidTr="00204A97">
        <w:tc>
          <w:tcPr>
            <w:tcW w:w="1384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Δn</m:t>
                </m:r>
              </m:oMath>
            </m:oMathPara>
          </w:p>
        </w:tc>
        <w:tc>
          <w:tcPr>
            <w:tcW w:w="2300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184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601D6" w:rsidTr="00204A97">
        <w:tc>
          <w:tcPr>
            <w:tcW w:w="1384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0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1-x=0→x=1</m:t>
                </m:r>
              </m:oMath>
            </m:oMathPara>
          </w:p>
        </w:tc>
        <w:tc>
          <w:tcPr>
            <w:tcW w:w="184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1.5-x=</m:t>
                </m:r>
                <m:r>
                  <w:rPr>
                    <w:rFonts w:ascii="Cambria Math" w:eastAsiaTheme="minorEastAsia" w:hAnsi="Cambria Math"/>
                    <w:highlight w:val="cyan"/>
                  </w:rPr>
                  <m:t>0.5</m:t>
                </m:r>
              </m:oMath>
            </m:oMathPara>
          </w:p>
        </w:tc>
        <w:tc>
          <w:tcPr>
            <w:tcW w:w="184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1+x→</m:t>
                </m:r>
                <m:r>
                  <w:rPr>
                    <w:rFonts w:ascii="Cambria Math" w:eastAsiaTheme="minorEastAsia" w:hAnsi="Cambria Math"/>
                    <w:highlight w:val="green"/>
                  </w:rPr>
                  <m:t>2</m:t>
                </m:r>
              </m:oMath>
            </m:oMathPara>
          </w:p>
        </w:tc>
        <w:tc>
          <w:tcPr>
            <w:tcW w:w="184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</w:tbl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lastRenderedPageBreak/>
        <w:t>Widzimy, iż w tym wypadku całkowicie przereagowuje forma zasadowa buforu (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), a więc mamy przepełnieni buforu, ilość tej formy spada do zera. Kolejno nadmiarowe jony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przyłączają się do jonu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>, bo jest to jedyny jon, do którego można przyłączyć wodór, w myśl reakcji:</w:t>
      </w:r>
    </w:p>
    <w:p w:rsidR="00F601D6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F601D6" w:rsidRPr="00EB0383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Ilość drobin po reakcji rozważamy tabelką, oczywiście początkowa ilość </w:t>
      </w:r>
      <w:proofErr w:type="gramStart"/>
      <w:r>
        <w:rPr>
          <w:rFonts w:eastAsiaTheme="minorEastAsia"/>
        </w:rPr>
        <w:t xml:space="preserve">jonów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  <w:b/>
          <w:i/>
          <w:vertAlign w:val="superscript"/>
        </w:rPr>
        <w:t xml:space="preserve"> </w:t>
      </w:r>
      <w:r w:rsidRPr="00EB0383">
        <w:rPr>
          <w:rFonts w:eastAsiaTheme="minorEastAsia"/>
        </w:rPr>
        <w:t xml:space="preserve"> </w:t>
      </w:r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jest taka jak końcowa po rozpatrzeniu poprzedniej reakcji:</w:t>
      </w:r>
    </w:p>
    <w:tbl>
      <w:tblPr>
        <w:tblStyle w:val="Tabela-Siatka"/>
        <w:tblW w:w="0" w:type="auto"/>
        <w:tblLook w:val="04A0"/>
      </w:tblPr>
      <w:tblGrid>
        <w:gridCol w:w="1842"/>
        <w:gridCol w:w="1842"/>
        <w:gridCol w:w="1842"/>
        <w:gridCol w:w="1843"/>
        <w:gridCol w:w="1843"/>
      </w:tblGrid>
      <w:tr w:rsidR="00F601D6" w:rsidTr="00204A97">
        <w:tc>
          <w:tcPr>
            <w:tcW w:w="1842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bSup>
              </m:oMath>
            </m:oMathPara>
          </w:p>
        </w:tc>
        <w:tc>
          <w:tcPr>
            <w:tcW w:w="1842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184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sup>
                </m:sSubSup>
              </m:oMath>
            </m:oMathPara>
          </w:p>
        </w:tc>
        <w:tc>
          <w:tcPr>
            <w:tcW w:w="184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F601D6" w:rsidTr="00204A97">
        <w:tc>
          <w:tcPr>
            <w:tcW w:w="1842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green"/>
                  </w:rPr>
                  <m:t>2</m:t>
                </m:r>
              </m:oMath>
            </m:oMathPara>
          </w:p>
        </w:tc>
        <w:tc>
          <w:tcPr>
            <w:tcW w:w="184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cyan"/>
                  </w:rPr>
                  <m:t>0.5</m:t>
                </m:r>
              </m:oMath>
            </m:oMathPara>
          </w:p>
        </w:tc>
        <w:tc>
          <w:tcPr>
            <w:tcW w:w="184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1843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</w:tr>
      <w:tr w:rsidR="00F601D6" w:rsidTr="00204A97">
        <w:tc>
          <w:tcPr>
            <w:tcW w:w="184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Δn</m:t>
                </m:r>
              </m:oMath>
            </m:oMathPara>
          </w:p>
        </w:tc>
        <w:tc>
          <w:tcPr>
            <w:tcW w:w="184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184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601D6" w:rsidTr="00204A97">
        <w:tc>
          <w:tcPr>
            <w:tcW w:w="1842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2-x=1.5</m:t>
                </m:r>
              </m:oMath>
            </m:oMathPara>
          </w:p>
        </w:tc>
        <w:tc>
          <w:tcPr>
            <w:tcW w:w="184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0.5-x=0</m:t>
                </m:r>
              </m:oMath>
            </m:oMathPara>
          </w:p>
        </w:tc>
        <w:tc>
          <w:tcPr>
            <w:tcW w:w="184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0+x→0.5</m:t>
                </m:r>
              </m:oMath>
            </m:oMathPara>
          </w:p>
        </w:tc>
        <w:tc>
          <w:tcPr>
            <w:tcW w:w="184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</w:tbl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 tej reakcji ulegają całkowitemu przereagowaniu jony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, mamy po reakcji bufor oparty na </w:t>
      </w:r>
      <w:r>
        <w:rPr>
          <w:rFonts w:ascii="Cambria Math" w:eastAsiaTheme="minorEastAsia" w:hAnsi="Cambria Math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bSup>
      </m:oMath>
      <w:r>
        <w:rPr>
          <w:rFonts w:eastAsiaTheme="minorEastAsia"/>
        </w:rPr>
        <w:t xml:space="preserve">, ale to jest zupełnie inny bufor niż ten bufor startowy, a więc ma totalnie inne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>.</w:t>
      </w:r>
    </w:p>
    <w:p w:rsidR="00F601D6" w:rsidRDefault="00F601D6" w:rsidP="00F601D6">
      <w:pPr>
        <w:rPr>
          <w:rFonts w:eastAsiaTheme="minorEastAsia"/>
        </w:rPr>
      </w:pPr>
    </w:p>
    <w:p w:rsidR="00F601D6" w:rsidRDefault="00FE0920" w:rsidP="00FE0920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Wzór na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buforu, obliczenia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Najczęściej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buforu jest w okolicach lekko kwaśne – lekko zasadowe, a więc w roztworze występuje małe 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. Przedstawione dalej rozważania są dla takiego buforu, bufor mocno kwaśny albo mocno zasadowy należy liczyć tabelką dotyczącą reakcji hydrolizy, o czym dalej. Są to jednak skrajnie nietypowe układy i wydaje się, że autorzy zadań i podręczników sami o nim nie do końca wiedzą. Wyprowadzone wzory można stosować dla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w zakresie od około 2 – 3 do około 11 – 12, zależnie od stężenia związków stanowiących formy buforu. </w:t>
      </w:r>
    </w:p>
    <w:p w:rsidR="00F601D6" w:rsidRPr="005D6799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Wyprowadzenie wzoru na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buforu rozpoczynamy od zapisania wyrażenia na stałą dysocjacji kwasowej, dla typowego buforu znamy stężenie formy kwasowej </w:t>
      </w:r>
      <m:oMath>
        <m:r>
          <w:rPr>
            <w:rFonts w:ascii="Cambria Math" w:eastAsiaTheme="minorEastAsia" w:hAnsi="Cambria Math"/>
          </w:rPr>
          <m:t>HA</m:t>
        </m:r>
      </m:oMath>
      <w:r>
        <w:rPr>
          <w:rFonts w:eastAsiaTheme="minorEastAsia"/>
        </w:rPr>
        <w:t xml:space="preserve"> i zasadowej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</w:p>
    <w:p w:rsidR="00F601D6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HA</m:t>
                  </m:r>
                </m:e>
              </m:d>
            </m:den>
          </m:f>
        </m:oMath>
      </m:oMathPara>
    </w:p>
    <w:p w:rsidR="00F601D6" w:rsidRPr="002F4E8B" w:rsidRDefault="00F601D6" w:rsidP="00F601D6">
      <w:pPr>
        <w:rPr>
          <w:rFonts w:eastAsiaTheme="minorEastAsia"/>
        </w:rPr>
      </w:pPr>
      <w:r>
        <w:rPr>
          <w:rFonts w:eastAsiaTheme="minorEastAsia"/>
        </w:rPr>
        <w:t>Po zlogarytmowaniu dostaniemy:</w:t>
      </w:r>
    </w:p>
    <w:p w:rsidR="00F601D6" w:rsidRDefault="00466FE4" w:rsidP="00F601D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HA</m:t>
                      </m:r>
                    </m:e>
                  </m:d>
                </m:den>
              </m:f>
            </m:e>
          </m:func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Z prawa działań na logarytmach:</w:t>
      </w:r>
    </w:p>
    <w:p w:rsidR="00F601D6" w:rsidRDefault="00466FE4" w:rsidP="00F601D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]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HA</m:t>
                      </m:r>
                    </m:e>
                  </m:d>
                </m:den>
              </m:f>
            </m:e>
          </m:func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Przenosząc odpowiednie człony stronami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cyan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cyan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  <w:highlight w:val="cyan"/>
                </w:rPr>
                <m:t>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cyan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  <w:highlight w:val="cyan"/>
                </w:rPr>
                <m:t>]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green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green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a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HA</m:t>
                      </m:r>
                    </m:e>
                  </m:d>
                </m:den>
              </m:f>
            </m:e>
          </m:func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Dostajemy wzór na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buforu: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highlight w:val="yellow"/>
            </w:rPr>
            <w:lastRenderedPageBreak/>
            <m:t xml:space="preserve"> </m:t>
          </m:r>
          <m:r>
            <w:rPr>
              <w:rFonts w:ascii="Cambria Math" w:eastAsiaTheme="minorEastAsia" w:hAnsi="Cambria Math"/>
              <w:highlight w:val="cyan"/>
            </w:rPr>
            <m:t>pH</m:t>
          </m:r>
          <m:r>
            <w:rPr>
              <w:rFonts w:ascii="Cambria Math" w:eastAsiaTheme="minorEastAsia" w:hAnsi="Cambria Math"/>
              <w:highlight w:val="yellow"/>
            </w:rPr>
            <m:t>=</m:t>
          </m:r>
          <m:r>
            <w:rPr>
              <w:rFonts w:ascii="Cambria Math" w:eastAsiaTheme="minorEastAsia" w:hAnsi="Cambria Math"/>
              <w:highlight w:val="green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a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-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HA</m:t>
                      </m:r>
                    </m:e>
                  </m:d>
                </m:den>
              </m:f>
            </m:e>
          </m:func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Gdzie: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roztworu;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to stała hydrolizy kwasowej drobiny </w:t>
      </w:r>
      <m:oMath>
        <m:r>
          <w:rPr>
            <w:rFonts w:ascii="Cambria Math" w:eastAsiaTheme="minorEastAsia" w:hAnsi="Cambria Math"/>
          </w:rPr>
          <m:t>HA</m:t>
        </m:r>
      </m:oMath>
      <w:r>
        <w:rPr>
          <w:rFonts w:eastAsiaTheme="minorEastAsia"/>
        </w:rPr>
        <w:t xml:space="preserve">;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p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i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HA</m:t>
            </m:r>
          </m:e>
        </m:d>
      </m:oMath>
      <w:r>
        <w:rPr>
          <w:rFonts w:eastAsiaTheme="minorEastAsia"/>
        </w:rPr>
        <w:t xml:space="preserve"> to stężenia molowe odpowiednio formy zasadowej i kwasowej </w:t>
      </w:r>
      <w:proofErr w:type="gramStart"/>
      <w:r>
        <w:rPr>
          <w:rFonts w:eastAsiaTheme="minorEastAsia"/>
        </w:rPr>
        <w:t xml:space="preserve">buforu. </w:t>
      </w:r>
      <w:proofErr w:type="gramEnd"/>
      <w:r>
        <w:rPr>
          <w:rFonts w:eastAsiaTheme="minorEastAsia"/>
        </w:rPr>
        <w:t xml:space="preserve">Oczywiście stała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Pr="002B1D57">
        <w:rPr>
          <w:rFonts w:eastAsiaTheme="minorEastAsia"/>
        </w:rPr>
        <w:t xml:space="preserve"> /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to ta stała hydrolizy kwasowej, która mówi o równowadze pomiędzy formą kwasową i zasadową w buforze. Na przykład dla buforu fosforanowego opartego na jonach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 w:rsidRPr="002B1D57">
        <w:rPr>
          <w:rFonts w:eastAsiaTheme="minorEastAsia"/>
        </w:rPr>
        <w:t>/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to używamy drugą stałą równowagi kwasowej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A2</m:t>
            </m:r>
          </m:sub>
        </m:sSub>
      </m:oMath>
      <w:r>
        <w:rPr>
          <w:rFonts w:eastAsiaTheme="minorEastAsia"/>
        </w:rPr>
        <w:t xml:space="preserve">dla kwasu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, ponieważ ta stała mówi o równowadze pomiędzy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>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Z roztworami jest trochę jak z rzesza w 39. W 39 pewien Niemiec z wąsem powiedzi</w:t>
      </w:r>
      <w:r w:rsidRPr="004C1DFB">
        <w:rPr>
          <w:rFonts w:eastAsiaTheme="minorEastAsia" w:cstheme="minorHAnsi"/>
        </w:rPr>
        <w:t xml:space="preserve">ał: </w:t>
      </w:r>
      <w:r>
        <w:rPr>
          <w:rFonts w:eastAsiaTheme="minorEastAsia" w:cstheme="minorHAnsi"/>
        </w:rPr>
        <w:t>„</w:t>
      </w:r>
      <w:proofErr w:type="spellStart"/>
      <w:r w:rsidRPr="004C1DFB">
        <w:rPr>
          <w:rFonts w:cstheme="minorHAnsi"/>
          <w:color w:val="040C28"/>
        </w:rPr>
        <w:t>Ein</w:t>
      </w:r>
      <w:proofErr w:type="spellEnd"/>
      <w:r w:rsidRPr="004C1DFB">
        <w:rPr>
          <w:rFonts w:cstheme="minorHAnsi"/>
          <w:color w:val="040C28"/>
        </w:rPr>
        <w:t xml:space="preserve"> </w:t>
      </w:r>
      <w:proofErr w:type="spellStart"/>
      <w:r w:rsidRPr="004C1DFB">
        <w:rPr>
          <w:rFonts w:cstheme="minorHAnsi"/>
          <w:color w:val="040C28"/>
        </w:rPr>
        <w:t>Volk</w:t>
      </w:r>
      <w:proofErr w:type="spellEnd"/>
      <w:r w:rsidRPr="004C1DFB">
        <w:rPr>
          <w:rFonts w:cstheme="minorHAnsi"/>
          <w:color w:val="040C28"/>
        </w:rPr>
        <w:t xml:space="preserve">, </w:t>
      </w:r>
      <w:proofErr w:type="spellStart"/>
      <w:r w:rsidRPr="004C1DFB">
        <w:rPr>
          <w:rFonts w:cstheme="minorHAnsi"/>
          <w:color w:val="040C28"/>
        </w:rPr>
        <w:t>ein</w:t>
      </w:r>
      <w:proofErr w:type="spellEnd"/>
      <w:r w:rsidRPr="004C1DFB">
        <w:rPr>
          <w:rFonts w:cstheme="minorHAnsi"/>
          <w:color w:val="040C28"/>
        </w:rPr>
        <w:t xml:space="preserve"> Reich, </w:t>
      </w:r>
      <w:proofErr w:type="spellStart"/>
      <w:r w:rsidRPr="004C1DFB">
        <w:rPr>
          <w:rFonts w:cstheme="minorHAnsi"/>
          <w:color w:val="040C28"/>
        </w:rPr>
        <w:t>ein</w:t>
      </w:r>
      <w:proofErr w:type="spellEnd"/>
      <w:r w:rsidRPr="004C1DFB">
        <w:rPr>
          <w:rFonts w:cstheme="minorHAnsi"/>
          <w:color w:val="040C28"/>
        </w:rPr>
        <w:t xml:space="preserve"> </w:t>
      </w:r>
      <w:proofErr w:type="spellStart"/>
      <w:r w:rsidRPr="004C1DFB">
        <w:rPr>
          <w:rFonts w:cstheme="minorHAnsi"/>
          <w:color w:val="040C28"/>
        </w:rPr>
        <w:t>Führer</w:t>
      </w:r>
      <w:proofErr w:type="spellEnd"/>
      <w:r w:rsidRPr="004C1DFB">
        <w:rPr>
          <w:rFonts w:cstheme="minorHAnsi"/>
          <w:color w:val="040C28"/>
        </w:rPr>
        <w:t>” (pol</w:t>
      </w:r>
      <w:r>
        <w:rPr>
          <w:rFonts w:cstheme="minorHAnsi"/>
          <w:color w:val="040C28"/>
        </w:rPr>
        <w:t>.</w:t>
      </w:r>
      <w:r w:rsidRPr="004C1DFB">
        <w:rPr>
          <w:rFonts w:cstheme="minorHAnsi"/>
          <w:color w:val="040C28"/>
        </w:rPr>
        <w:t xml:space="preserve"> „Jeden Naród, jedna Rzesza, jeden Wódz”</w:t>
      </w:r>
      <w:r>
        <w:rPr>
          <w:rFonts w:cstheme="minorHAnsi"/>
          <w:color w:val="040C28"/>
        </w:rPr>
        <w:t>). Parafrazując słowa tego wielkiego przedstawiciela narodu niemieckiego możemy o roztworach powiedzieć:</w:t>
      </w:r>
      <w:r w:rsidRPr="004C1DFB">
        <w:rPr>
          <w:rFonts w:eastAsiaTheme="minorEastAsia" w:cstheme="minorHAnsi"/>
        </w:rPr>
        <w:t xml:space="preserve"> </w:t>
      </w:r>
      <w:r w:rsidRPr="00B455D0">
        <w:rPr>
          <w:rFonts w:eastAsiaTheme="minorEastAsia"/>
          <w:highlight w:val="green"/>
        </w:rPr>
        <w:t xml:space="preserve">Jeden roztwór, jedna objętość, jedno </w:t>
      </w:r>
      <m:oMath>
        <m:r>
          <w:rPr>
            <w:rFonts w:ascii="Cambria Math" w:eastAsiaTheme="minorEastAsia" w:hAnsi="Cambria Math"/>
            <w:highlight w:val="green"/>
          </w:rPr>
          <m:t>pH</m:t>
        </m:r>
      </m:oMath>
      <w:r>
        <w:rPr>
          <w:rFonts w:eastAsiaTheme="minorEastAsia"/>
        </w:rPr>
        <w:t xml:space="preserve">, co znaczy, że dany roztwór ma zawsze tą samą objętość – w danej chwili człon musi być taki sam i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– a więc wszelkie jony występujące muszą dostosować, „dogadać” swoje formy </w:t>
      </w:r>
      <w:proofErr w:type="spellStart"/>
      <w:r>
        <w:rPr>
          <w:rFonts w:eastAsiaTheme="minorEastAsia"/>
        </w:rPr>
        <w:t>protonowania</w:t>
      </w:r>
      <w:proofErr w:type="spellEnd"/>
      <w:r>
        <w:rPr>
          <w:rFonts w:eastAsiaTheme="minorEastAsia"/>
        </w:rPr>
        <w:t xml:space="preserve">, aby ustalić jedno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>.</w:t>
      </w:r>
    </w:p>
    <w:p w:rsidR="00F601D6" w:rsidRDefault="00F601D6" w:rsidP="00F601D6">
      <w:pPr>
        <w:rPr>
          <w:rFonts w:eastAsiaTheme="minorEastAsia"/>
        </w:rPr>
      </w:pPr>
      <w:r w:rsidRPr="00045EDB">
        <w:rPr>
          <w:noProof/>
          <w:lang w:eastAsia="pl-PL"/>
        </w:rPr>
        <w:drawing>
          <wp:inline distT="0" distB="0" distL="0" distR="0">
            <wp:extent cx="1077370" cy="1425882"/>
            <wp:effectExtent l="19050" t="0" r="8480" b="0"/>
            <wp:docPr id="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297" cy="1431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Wstawiając do wyprowadzony wcześniej wzoru na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buforu, zależność, że stężenie molowe danego reagenta jest ilością moli tego reagenta podzieloną na roztworu objętość dostajemy: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HA</m:t>
                      </m:r>
                    </m:e>
                  </m:d>
                </m:den>
              </m:f>
            </m:e>
          </m:func>
        </m:oMath>
      </m:oMathPara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</m:sup>
                          </m:sSup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den>
                  </m:f>
                </m:den>
              </m:f>
            </m:e>
          </m:func>
        </m:oMath>
      </m:oMathPara>
    </w:p>
    <w:p w:rsidR="00F601D6" w:rsidRPr="00B455D0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Objętości ulegają skróceniu, ostatecznie dając wzór na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 buforowego: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a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n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-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HA</m:t>
                      </m:r>
                    </m:sub>
                  </m:sSub>
                </m:den>
              </m:f>
            </m:e>
          </m:func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Gdzie: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roztworu;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A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 w:rsidRPr="004C1DFB">
        <w:rPr>
          <w:rFonts w:eastAsiaTheme="minorEastAsia"/>
        </w:rPr>
        <w:t xml:space="preserve"> </w:t>
      </w:r>
      <w:r>
        <w:rPr>
          <w:rFonts w:eastAsiaTheme="minorEastAsia"/>
        </w:rPr>
        <w:t xml:space="preserve">stała hydrolizy kwasowej drobiny </w:t>
      </w:r>
      <m:oMath>
        <m:r>
          <w:rPr>
            <w:rFonts w:ascii="Cambria Math" w:eastAsiaTheme="minorEastAsia" w:hAnsi="Cambria Math"/>
          </w:rPr>
          <m:t>HA</m:t>
        </m:r>
      </m:oMath>
      <w:r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p>
          </m:sub>
        </m:sSub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HA</m:t>
            </m:r>
          </m:sub>
        </m:sSub>
      </m:oMath>
      <w:r>
        <w:rPr>
          <w:rFonts w:eastAsiaTheme="minorEastAsia"/>
        </w:rPr>
        <w:t xml:space="preserve"> to ilości moli odpowiednio formy zasadowej i kwasowej </w:t>
      </w:r>
      <w:proofErr w:type="gramStart"/>
      <w:r>
        <w:rPr>
          <w:rFonts w:eastAsiaTheme="minorEastAsia"/>
        </w:rPr>
        <w:t xml:space="preserve">buforu. </w:t>
      </w:r>
      <w:proofErr w:type="gramEnd"/>
      <w:r>
        <w:rPr>
          <w:rFonts w:eastAsiaTheme="minorEastAsia"/>
        </w:rPr>
        <w:t xml:space="preserve">Oczywiście stała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m:rPr>
            <m:nor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to ta stała hydrolizy kwasowej, która mówi o równowadze pomiędzy formą kwasową i zasadową w buforze. </w:t>
      </w:r>
      <w:r w:rsidRPr="00666155">
        <w:rPr>
          <w:rFonts w:eastAsiaTheme="minorEastAsia"/>
          <w:b/>
          <w:i/>
          <w:vertAlign w:val="superscript"/>
        </w:rPr>
        <w:t>-</w:t>
      </w:r>
      <w:r>
        <w:rPr>
          <w:rFonts w:eastAsiaTheme="minorEastAsia"/>
        </w:rPr>
        <w:t>.</w:t>
      </w:r>
    </w:p>
    <w:p w:rsidR="00F601D6" w:rsidRPr="00B455D0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Z przedstawionego wzoru wynika jeszcze jedna rzecz – rozcieńczanie buforu nie powinno powodować zmiany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tego roztworu, ponieważ stosunek </w:t>
      </w:r>
      <m:oMath>
        <m:f>
          <m:f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</m:t>
                    </m:r>
                  </m:sup>
                </m:sSup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HA</m:t>
                </m:r>
              </m:sub>
            </m:sSub>
          </m:den>
        </m:f>
      </m:oMath>
      <w:r>
        <w:rPr>
          <w:rFonts w:eastAsiaTheme="minorEastAsia"/>
        </w:rPr>
        <w:t xml:space="preserve"> jest niezależny od objętości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Te dwa wyprowadzone wzory umożliwiają obliczenie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 buforowego działającego w zakresie umiarkowanych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>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Zobaczmy jak działają: Oblicz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 buforowego otrzymanego przez zmieszanie 1.5 </w:t>
      </w:r>
      <w:proofErr w:type="gramStart"/>
      <w:r>
        <w:rPr>
          <w:rFonts w:eastAsiaTheme="minorEastAsia"/>
        </w:rPr>
        <w:t>mola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i 2 mola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w wodzie: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Po dysocjacji widzimy, że mamy 3 mole jonów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>
        <w:rPr>
          <w:rFonts w:eastAsiaTheme="minorEastAsia"/>
        </w:rPr>
        <w:t xml:space="preserve"> oraz 2mole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Rozważamy najpierw reakcję między jonami:</w:t>
      </w:r>
    </w:p>
    <w:p w:rsidR="00F601D6" w:rsidRPr="00407BB3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Możemy używając tabelki obliczyć końcowe ilości moli drobin uczestniczących w reakcji w myśl: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F601D6" w:rsidRPr="00B72BDE" w:rsidRDefault="00F601D6" w:rsidP="00204A97">
            <w:pPr>
              <w:rPr>
                <w:rFonts w:eastAsiaTheme="minorEastAs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Pr="00B72BDE" w:rsidRDefault="00F601D6" w:rsidP="00204A97">
            <w:pPr>
              <w:rPr>
                <w:rFonts w:eastAsiaTheme="minorEastAs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Δn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2-x=0=&gt;x=2 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</w:tr>
    </w:tbl>
    <w:p w:rsidR="00F601D6" w:rsidRPr="00400A8F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 analizowanym przypadku wpierw wykończą się jony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, po ich przereagowaniu pozostają w roztworze zarówno jony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+</m:t>
            </m:r>
          </m:sup>
        </m:sSubSup>
      </m:oMath>
      <w:r>
        <w:rPr>
          <w:rFonts w:eastAsiaTheme="minorEastAsia"/>
        </w:rPr>
        <w:t xml:space="preserve"> i drobiny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>.Jest to niewątpliwie roztwór buforowy, w celu obliczenia pH tego roztworu stosujemy wzór na pH buforu. Wygodniejszym wariantem jest stosowanie wzoru na opartego na molach: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a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n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-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HA</m:t>
                      </m:r>
                    </m:sub>
                  </m:sSub>
                </m:den>
              </m:f>
            </m:e>
          </m:func>
        </m:oMath>
      </m:oMathPara>
    </w:p>
    <w:p w:rsidR="00F601D6" w:rsidRPr="008165A6" w:rsidRDefault="00F601D6" w:rsidP="00F601D6">
      <w:pPr>
        <w:rPr>
          <w:rFonts w:eastAsiaTheme="minorEastAsia"/>
        </w:rPr>
      </w:pPr>
      <w:r>
        <w:rPr>
          <w:rFonts w:eastAsiaTheme="minorEastAsia"/>
        </w:rPr>
        <w:t>Formą zasadową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) w buforze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+</m:t>
            </m:r>
          </m:sup>
        </m:sSubSup>
      </m:oMath>
      <w:r>
        <w:rPr>
          <w:rFonts w:eastAsiaTheme="minorEastAsia"/>
        </w:rPr>
        <w:t xml:space="preserve">/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jest drobina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>, natomiast formą kwasową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HA</m:t>
            </m:r>
          </m:sub>
        </m:sSub>
      </m:oMath>
      <w:r>
        <w:rPr>
          <w:rFonts w:eastAsiaTheme="minorEastAsia"/>
        </w:rPr>
        <w:t xml:space="preserve">) jest jon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+</m:t>
            </m:r>
          </m:sup>
        </m:sSubSup>
      </m:oMath>
      <w:r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natomiast</w:t>
      </w:r>
      <w:proofErr w:type="gramEnd"/>
      <w:r>
        <w:rPr>
          <w:rFonts w:eastAsiaTheme="minorEastAsia"/>
        </w:rPr>
        <w:t xml:space="preserve"> dotyczy stałej dysocjacji kwasowej drobiny będącej formą kwasową, a więc jonu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+</m:t>
            </m:r>
          </m:sup>
        </m:sSubSup>
      </m:oMath>
      <w:r>
        <w:rPr>
          <w:rFonts w:eastAsiaTheme="minorEastAsia"/>
        </w:rPr>
        <w:t>.Możemy</w:t>
      </w:r>
      <w:proofErr w:type="gramStart"/>
      <w:r>
        <w:rPr>
          <w:rFonts w:eastAsiaTheme="minorEastAsia"/>
        </w:rPr>
        <w:t>,w</w:t>
      </w:r>
      <w:proofErr w:type="gramEnd"/>
      <w:r>
        <w:rPr>
          <w:rFonts w:eastAsiaTheme="minorEastAsia"/>
        </w:rPr>
        <w:t xml:space="preserve"> tym wypadku ten wzór zapisać w postaci: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bSup>
                    </m:sub>
                  </m:sSub>
                </m:den>
              </m:f>
            </m:e>
          </m:func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Mole mamy dane w tabelce, potrzebujemy wartości stałej dysocjacji kwasowej dla formy kwasowej buforu (w tym wypadku jest to jon</w:t>
      </w:r>
      <w:r w:rsidRPr="008165A6">
        <w:rPr>
          <w:rFonts w:eastAsiaTheme="minorEastAsia"/>
          <w:b/>
          <w:i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+</m:t>
            </m:r>
          </m:sup>
        </m:sSubSup>
      </m:oMath>
      <w:r>
        <w:rPr>
          <w:rFonts w:eastAsiaTheme="minorEastAsia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bSup>
          </m:sup>
        </m:sSubSup>
      </m:oMath>
      <w:r>
        <w:rPr>
          <w:rFonts w:eastAsiaTheme="minorEastAsia"/>
        </w:rPr>
        <w:t xml:space="preserve">. W tablicach mamy tylko stałą dysocjacji zasadowej dla amoniaku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>=4.75</m:t>
        </m:r>
      </m:oMath>
      <w:r>
        <w:rPr>
          <w:rFonts w:eastAsiaTheme="minorEastAsia"/>
        </w:rPr>
        <w:t>. Z uwagi, na to, że są to sprzężone pary kwas</w:t>
      </w:r>
      <w:proofErr w:type="gramStart"/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+</m:t>
            </m:r>
          </m:sup>
        </m:sSubSup>
        <m:r>
          <w:rPr>
            <w:rFonts w:ascii="Cambria Math" w:eastAsiaTheme="minorEastAsia" w:hAnsi="Cambria Math"/>
            <w:vertAlign w:val="subscript"/>
          </w:rPr>
          <m:t>)-</m:t>
        </m:r>
      </m:oMath>
      <w:r>
        <w:rPr>
          <w:rFonts w:eastAsiaTheme="minorEastAsia"/>
        </w:rPr>
        <w:t>zasada</w:t>
      </w:r>
      <w:proofErr w:type="gramEnd"/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)spełniają one zależność: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+p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25C</m:t>
              </m:r>
            </m:sup>
          </m:sSup>
          <m:r>
            <w:rPr>
              <w:rFonts w:ascii="Cambria Math" w:eastAsiaTheme="minorEastAsia" w:hAnsi="Cambria Math"/>
            </w:rPr>
            <m:t>=14</m:t>
          </m:r>
        </m:oMath>
      </m:oMathPara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+p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=14→p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=14-4.75=9.25</m:t>
          </m:r>
        </m:oMath>
      </m:oMathPara>
    </w:p>
    <w:p w:rsidR="00F601D6" w:rsidRPr="00B455D0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Kolejno obliczamy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wstawiając dane do wyprowadzonego uprzednio wzoru, gdyż mamy już wszelkie potrzebne wartości: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bSup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/>
            </w:rPr>
            <m:t>=9.25+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=9.551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Zobaczmy jak zmieni się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 powyższego roztworu buforowego po dodaniu 1.5 </w:t>
      </w:r>
      <w:proofErr w:type="gramStart"/>
      <w:r>
        <w:rPr>
          <w:rFonts w:eastAsiaTheme="minorEastAsia"/>
        </w:rPr>
        <w:t>mola</w:t>
      </w:r>
      <w:proofErr w:type="gramEnd"/>
      <w:r>
        <w:rPr>
          <w:rFonts w:eastAsiaTheme="minorEastAsia"/>
        </w:rPr>
        <w:t xml:space="preserve"> kwasu solnego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>.</w:t>
      </w:r>
    </w:p>
    <w:p w:rsidR="00F601D6" w:rsidRPr="00550051" w:rsidRDefault="00F601D6" w:rsidP="00F601D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Na początku musimy zobaczyć, jaka w ogóle reakcja zachodzi po dodaniu kwasu do danego roztworu. Bufor zbudowany oparty jest na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+</m:t>
            </m:r>
          </m:sup>
        </m:sSubSup>
      </m:oMath>
      <w:r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. Proton więcej w tej parze ma jon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+</m:t>
            </m:r>
          </m:sup>
        </m:sSubSup>
      </m:oMath>
      <w:r>
        <w:rPr>
          <w:rFonts w:eastAsiaTheme="minorEastAsia"/>
        </w:rPr>
        <w:t>, a więc jest to sprzężony kwas. Możemy, więc sporządzić graf, z którego łatwo odczytamy zachodzącą reakcję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1451016" cy="1631950"/>
            <wp:effectExtent l="19050" t="0" r="0" b="0"/>
            <wp:docPr id="7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016" cy="163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1D6" w:rsidRPr="0082278C" w:rsidRDefault="00F601D6" w:rsidP="00F601D6">
      <w:pPr>
        <w:rPr>
          <w:rFonts w:eastAsiaTheme="minorEastAsia"/>
        </w:rPr>
      </w:pPr>
      <w:r>
        <w:rPr>
          <w:rFonts w:eastAsiaTheme="minorEastAsia"/>
        </w:rPr>
        <w:t>W tym wypadku reaguje forma zasadowa (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) z kwasem (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>) dając formę kwasową buforu (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+</m:t>
            </m:r>
          </m:sup>
        </m:sSubSup>
      </m:oMath>
      <w:r>
        <w:rPr>
          <w:rFonts w:eastAsiaTheme="minorEastAsia"/>
        </w:rPr>
        <w:t>)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Dla tej reakcji początkowe ilości moli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+</m:t>
            </m:r>
          </m:sup>
        </m:sSubSup>
      </m:oMath>
      <w:r>
        <w:rPr>
          <w:rFonts w:eastAsiaTheme="minorEastAsia"/>
        </w:rPr>
        <w:t xml:space="preserve">są równe tym molom po przyrządzeniu buforu. Początkowa ilość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jest równe molom użytego kwasu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>.</w:t>
      </w:r>
    </w:p>
    <w:p w:rsidR="00F601D6" w:rsidRPr="0018416A" w:rsidRDefault="00F601D6" w:rsidP="00F601D6">
      <w:pPr>
        <w:rPr>
          <w:rFonts w:eastAsiaTheme="minorEastAsia"/>
        </w:rPr>
      </w:pP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1.5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Δn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0.5</m:t>
                </m:r>
              </m:oMath>
            </m:oMathPara>
          </w:p>
        </w:tc>
        <w:tc>
          <w:tcPr>
            <w:tcW w:w="2303" w:type="dxa"/>
          </w:tcPr>
          <w:p w:rsidR="00F601D6" w:rsidRPr="0018416A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1.5-x=0→</m:t>
                </m:r>
              </m:oMath>
            </m:oMathPara>
          </w:p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x=1.5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2.5</m:t>
                </m:r>
              </m:oMath>
            </m:oMathPara>
          </w:p>
        </w:tc>
      </w:tr>
    </w:tbl>
    <w:p w:rsidR="00F601D6" w:rsidRPr="0018416A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Widzimy, że w tym wypadku użyte w niedomiarze są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>, ilość ich spada praktycznie do zera. Mając obliczone mole końcowe drobin amoniaku i jonów amonowych możemy wykorzystać obliczoną wcześniej zależność: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bSup>
                    </m:sub>
                  </m:sSub>
                </m:den>
              </m:f>
            </m:e>
          </m:func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Wstawiając dane liczbowe dostajemy:</w:t>
      </w:r>
    </w:p>
    <w:p w:rsidR="00F601D6" w:rsidRPr="00B455D0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pH=9.25+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2.5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=8.551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Czyli na skutek dodania takiej ilości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 spada o jednostkę wobec wyjściowego roztworu (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= 9.551)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Natomiast dodanie większej ilości moli kwasu niż początkowo znajdowało się formy zasadowej buforu powoduje jego przepełnienie, a więc skokową zmianę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. </w:t>
      </w:r>
    </w:p>
    <w:p w:rsidR="00F601D6" w:rsidRPr="00C948A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Do uprzednio otrzymanego roztworu buforowego, o ilościach moli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oraz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>
        <w:rPr>
          <w:rFonts w:eastAsiaTheme="minorEastAsia"/>
        </w:rPr>
        <w:t xml:space="preserve"> równych odpowiednio 2 i 1mol dodano 2.5 </w:t>
      </w:r>
      <w:proofErr w:type="gramStart"/>
      <w:r>
        <w:rPr>
          <w:rFonts w:eastAsiaTheme="minorEastAsia"/>
        </w:rPr>
        <w:t>mola</w:t>
      </w:r>
      <w:proofErr w:type="gramEnd"/>
      <w:r>
        <w:rPr>
          <w:rFonts w:eastAsiaTheme="minorEastAsia"/>
        </w:rPr>
        <w:t xml:space="preserve"> kwasu solnego (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 xml:space="preserve">). Jak zmieni się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roztworu? Objętość roztworu końcowego wynosiła </w:t>
      </w:r>
      <m:oMath>
        <m:r>
          <w:rPr>
            <w:rFonts w:ascii="Cambria Math" w:eastAsiaTheme="minorEastAsia" w:hAnsi="Cambria Math"/>
          </w:rPr>
          <m:t>10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>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Oczywiście analogicznie do powyższego przypadku zachodzi reakcja:</w:t>
      </w:r>
    </w:p>
    <w:p w:rsidR="00F601D6" w:rsidRPr="00B455D0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</m:oMath>
      </m:oMathPara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2.5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Δn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2-x=0→x=2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2.5-x=0.5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</w:tr>
    </w:tbl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 tym wypadku widać, iż całkowicie ulega reakcji amoniak, jest on użyty w niedomiarze. Pozostaje nadmiar użytych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>. Oczywiście układ ten nie jest buforem, nie mamy w nim formy zasadowej - mieliśmy przepełnienie.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W związku, z czym stężenia jonów po dodaniu kwasu solnego wynoszą:</w:t>
      </w:r>
    </w:p>
    <w:p w:rsidR="00F601D6" w:rsidRPr="00B455D0" w:rsidRDefault="00466FE4" w:rsidP="00F601D6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0.5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=0.05</m:t>
          </m:r>
        </m:oMath>
      </m:oMathPara>
    </w:p>
    <w:p w:rsidR="00F601D6" w:rsidRPr="00B455D0" w:rsidRDefault="00466FE4" w:rsidP="00F601D6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=0.3</m:t>
          </m:r>
        </m:oMath>
      </m:oMathPara>
    </w:p>
    <w:p w:rsidR="00F601D6" w:rsidRPr="00C948A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 tym zachodzi równowaga związana z stałą dysocjacji kwasowej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jonu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>
        <w:rPr>
          <w:rFonts w:eastAsiaTheme="minorEastAsia"/>
        </w:rPr>
        <w:t xml:space="preserve"> opisana równowagą</w:t>
      </w:r>
    </w:p>
    <w:p w:rsidR="00F601D6" w:rsidRPr="008E6A99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⇄N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Możemy w tym wypadku albo zrobić tabelkę, ale samo założenie, że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pochodzą tylko z mocnego kwasu prowadzi do obliczenia przybliżonej wartości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>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0.05</m:t>
              </m:r>
            </m:e>
          </m:func>
          <m:r>
            <w:rPr>
              <w:rFonts w:ascii="Cambria Math" w:eastAsiaTheme="minorEastAsia" w:hAnsi="Cambria Math"/>
            </w:rPr>
            <m:t>=1.3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Oczywiście poprawna wartość jest trochę bardziej kwaśna – jest więcej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>, gdyż dodatkowo hydrolizuje jon amonowy: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⇄N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F601D6" w:rsidRDefault="00F601D6" w:rsidP="00F601D6">
      <w:pPr>
        <w:rPr>
          <w:rFonts w:eastAsiaTheme="minorEastAsia"/>
          <w:b/>
          <w:i/>
          <w:vertAlign w:val="superscript"/>
        </w:rPr>
      </w:pPr>
      <w:r>
        <w:rPr>
          <w:rFonts w:eastAsiaTheme="minorEastAsia"/>
        </w:rPr>
        <w:t xml:space="preserve">Używając stężeń obliczonych uprzednio, po reakcji pomiędzy kwasem i jonem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F601D6" w:rsidRPr="00C36DE8" w:rsidRDefault="00F601D6" w:rsidP="00F601D6">
      <w:pPr>
        <w:rPr>
          <w:rFonts w:eastAsiaTheme="minorEastAsia"/>
        </w:rPr>
      </w:pPr>
      <w:r>
        <w:rPr>
          <w:rFonts w:eastAsiaTheme="minorEastAsia"/>
        </w:rPr>
        <w:t>Dokładne obliczenia prowadzą do:</w:t>
      </w:r>
    </w:p>
    <w:tbl>
      <w:tblPr>
        <w:tblStyle w:val="Tabela-Siatka"/>
        <w:tblW w:w="0" w:type="auto"/>
        <w:tblLook w:val="04A0"/>
      </w:tblPr>
      <w:tblGrid>
        <w:gridCol w:w="2302"/>
        <w:gridCol w:w="2302"/>
        <w:gridCol w:w="2303"/>
        <w:gridCol w:w="2303"/>
      </w:tblGrid>
      <w:tr w:rsidR="00F601D6" w:rsidTr="00204A97">
        <w:tc>
          <w:tcPr>
            <w:tcW w:w="2302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  <w:tc>
          <w:tcPr>
            <w:tcW w:w="230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</w:tr>
      <w:tr w:rsidR="00F601D6" w:rsidTr="00204A97">
        <w:tc>
          <w:tcPr>
            <w:tcW w:w="2302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0.3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0.05</m:t>
                </m:r>
              </m:oMath>
            </m:oMathPara>
          </w:p>
        </w:tc>
      </w:tr>
      <w:tr w:rsidR="00F601D6" w:rsidTr="00204A97">
        <w:tc>
          <w:tcPr>
            <w:tcW w:w="230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Δc</m:t>
                </m:r>
              </m:oMath>
            </m:oMathPara>
          </w:p>
        </w:tc>
        <w:tc>
          <w:tcPr>
            <w:tcW w:w="230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601D6" w:rsidTr="00204A97">
        <w:tc>
          <w:tcPr>
            <w:tcW w:w="2302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2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0.3-x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0.05+x</m:t>
                </m:r>
              </m:oMath>
            </m:oMathPara>
          </w:p>
        </w:tc>
      </w:tr>
    </w:tbl>
    <w:p w:rsidR="00F601D6" w:rsidRPr="00C948A6" w:rsidRDefault="00466FE4" w:rsidP="00F601D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:rsidR="00F601D6" w:rsidRPr="00C36DE8" w:rsidRDefault="00466FE4" w:rsidP="00F601D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1.78</m:t>
          </m:r>
          <m:r>
            <w:rPr>
              <w:rFonts w:ascii="Cambria Math" w:eastAsiaTheme="minorEastAsia" w:hAnsi="Cambria Math"/>
              <w:i/>
            </w:rPr>
            <w:sym w:font="Symbol" w:char="F0D7"/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F601D6" w:rsidRPr="00C36DE8" w:rsidRDefault="00466FE4" w:rsidP="00F601D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=5.61</m:t>
          </m:r>
          <m:r>
            <w:rPr>
              <w:rFonts w:ascii="Cambria Math" w:eastAsiaTheme="minorEastAsia" w:hAnsi="Cambria Math"/>
              <w:i/>
            </w:rPr>
            <w:sym w:font="Symbol" w:char="F0D7"/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-10</m:t>
              </m:r>
            </m:sup>
          </m:sSup>
        </m:oMath>
      </m:oMathPara>
    </w:p>
    <w:p w:rsidR="00F601D6" w:rsidRDefault="00466FE4" w:rsidP="00F601D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i/>
                </w:rPr>
                <w:sym w:font="Symbol" w:char="F0D7"/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bSup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  <w:i/>
                </w:rPr>
                <w:sym w:font="Symbol" w:char="F0D7"/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0.05+x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0.3-x</m:t>
              </m:r>
            </m:den>
          </m:f>
          <m:r>
            <w:rPr>
              <w:rFonts w:ascii="Cambria Math" w:eastAsiaTheme="minorEastAsia" w:hAnsi="Cambria Math"/>
            </w:rPr>
            <m:t>=5.61</m:t>
          </m:r>
          <m:r>
            <w:rPr>
              <w:rFonts w:ascii="Cambria Math" w:eastAsiaTheme="minorEastAsia" w:hAnsi="Cambria Math"/>
              <w:i/>
            </w:rPr>
            <w:sym w:font="Symbol" w:char="F0D7"/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-10</m:t>
              </m:r>
            </m:sup>
          </m:sSup>
        </m:oMath>
      </m:oMathPara>
    </w:p>
    <w:p w:rsidR="00F601D6" w:rsidRPr="00C36DE8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x=3.37*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</m:oMath>
      </m:oMathPara>
    </w:p>
    <w:p w:rsidR="00F601D6" w:rsidRPr="00C36DE8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A więc rzeczywiście hydroliza jonu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>
        <w:rPr>
          <w:rFonts w:eastAsiaTheme="minorEastAsia"/>
        </w:rPr>
        <w:t xml:space="preserve"> ma skrajnie pomijalną wartość.</w:t>
      </w:r>
    </w:p>
    <w:p w:rsidR="00F601D6" w:rsidRPr="00FE0920" w:rsidRDefault="00F601D6" w:rsidP="00F601D6">
      <w:pPr>
        <w:rPr>
          <w:rFonts w:eastAsiaTheme="minorEastAsia"/>
          <w:b/>
          <w:i/>
        </w:rPr>
      </w:pPr>
      <w:r>
        <w:rPr>
          <w:rFonts w:eastAsiaTheme="minorEastAsia"/>
        </w:rPr>
        <w:lastRenderedPageBreak/>
        <w:t xml:space="preserve">Przypominam, że dla buforów opartych na kwasach </w:t>
      </w:r>
      <w:proofErr w:type="spellStart"/>
      <w:r>
        <w:rPr>
          <w:rFonts w:eastAsiaTheme="minorEastAsia"/>
        </w:rPr>
        <w:t>wieloprotonowych</w:t>
      </w:r>
      <w:proofErr w:type="spellEnd"/>
      <w:r>
        <w:rPr>
          <w:rFonts w:eastAsiaTheme="minorEastAsia"/>
        </w:rPr>
        <w:t xml:space="preserve"> musimy brać właściwą wartość stałej dysocjacji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a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, która mówi o równowadze między odpowiednimi formami kwasowymi i zasadowymi. Np. dla buforu opartego na jonach kwasu fosforowego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vertAlign w:val="superscript"/>
              </w:rPr>
              <w:noBreakHyphen/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bSup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  <m:sup>
            <m:r>
              <w:rPr>
                <w:rFonts w:ascii="Cambria Math" w:eastAsiaTheme="minorEastAsia" w:hAnsi="Cambria Math"/>
                <w:vertAlign w:val="superscript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/>
                <w:vertAlign w:val="superscript"/>
              </w:rPr>
              <w:noBreakHyphen/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bSup>
      </m:oMath>
      <w:r>
        <w:rPr>
          <w:rFonts w:eastAsiaTheme="minorEastAsia"/>
        </w:rPr>
        <w:t xml:space="preserve"> do obliczeń używamy wartości drugiej stałej dysocjacji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a2</m:t>
            </m:r>
          </m:sub>
        </m:sSub>
      </m:oMath>
      <w:r>
        <w:rPr>
          <w:rFonts w:eastAsiaTheme="minorEastAsia"/>
        </w:rPr>
        <w:t xml:space="preserve"> dla kwasu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bo konkretnie ta stała mówi o równowadze pomiędzy jonami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vertAlign w:val="superscript"/>
              </w:rPr>
              <w:noBreakHyphen/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bSup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  <m:sup>
            <m:r>
              <w:rPr>
                <w:rFonts w:ascii="Cambria Math" w:eastAsiaTheme="minorEastAsia" w:hAnsi="Cambria Math"/>
                <w:vertAlign w:val="superscript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/>
                <w:vertAlign w:val="superscript"/>
              </w:rPr>
              <w:noBreakHyphen/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bSup>
      </m:oMath>
      <w:r>
        <w:rPr>
          <w:rFonts w:eastAsiaTheme="minorEastAsia"/>
          <w:b/>
          <w:i/>
        </w:rPr>
        <w:t>.</w:t>
      </w:r>
    </w:p>
    <w:p w:rsidR="00F601D6" w:rsidRDefault="00F601D6" w:rsidP="00FE0920">
      <w:pPr>
        <w:pStyle w:val="Nagwek1"/>
        <w:rPr>
          <w:rFonts w:eastAsiaTheme="minorEastAsia"/>
        </w:rPr>
      </w:pPr>
      <w:r>
        <w:rPr>
          <w:rFonts w:eastAsiaTheme="minorEastAsia"/>
        </w:rPr>
        <w:t>Zakres stosowalności wzoru na bufory: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HA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;        pH=p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HA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; </m:t>
                  </m:r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func>
        </m:oMath>
      </m:oMathPara>
    </w:p>
    <w:p w:rsidR="00F601D6" w:rsidRPr="00635BB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Wzory te są spełnione najczęściej w zakresach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, które są lekko kwaśne – lekko zasadowe, natomiast należy uważać na roztwory o mocno kwaśnym i mocno zasadowym odczynnie, więc należy szczególnie uważać na kwasy / zasady, których stała dysocjacji kwasowej lub zasadowej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m:rPr>
            <m:nor/>
          </m:rPr>
          <w:rPr>
            <w:rFonts w:ascii="Cambria Math" w:eastAsiaTheme="minorEastAsia" w:hAnsi="Cambria Math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jest blisko zakresu mocnych kwasów/ zasad. Podejrzane są te „graniczne” kwasy i zasady, ponieważ dla tych związków nie do końca prawdą jest, że rzeczywiste stężenia formy kwasowej i </w:t>
      </w:r>
      <w:proofErr w:type="gramStart"/>
      <w:r>
        <w:rPr>
          <w:rFonts w:eastAsiaTheme="minorEastAsia"/>
        </w:rPr>
        <w:t>zasadowej  są</w:t>
      </w:r>
      <w:proofErr w:type="gramEnd"/>
      <w:r>
        <w:rPr>
          <w:rFonts w:eastAsiaTheme="minorEastAsia"/>
        </w:rPr>
        <w:t xml:space="preserve"> równe stężeniom, z których  wychodzimy. Jest to spowodowane silną hydrolizą tych drobin, co zmienia ich rzeczywiste stężenie. Przykładem jest jon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3-</m:t>
            </m:r>
          </m:sup>
        </m:sSubSup>
      </m:oMath>
      <w:r>
        <w:rPr>
          <w:rFonts w:eastAsiaTheme="minorEastAsia"/>
        </w:rPr>
        <w:t xml:space="preserve">, jest to jon, którego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jest podejrzenie wysokie (0.0209). Znaczy to, że on silnie hydrolizuje, co powoduje, że stężenie jonów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3-</m:t>
            </m:r>
          </m:sup>
        </m:sSubSup>
      </m:oMath>
      <w:r>
        <w:rPr>
          <w:rFonts w:eastAsiaTheme="minorEastAsia"/>
        </w:rPr>
        <w:t xml:space="preserve"> oraz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 będzie mocno różne od stężeń początkowych. We wzorze na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buforu </w:t>
      </w:r>
      <m:oMath>
        <m:r>
          <w:rPr>
            <w:rFonts w:ascii="Cambria Math" w:eastAsiaTheme="minorEastAsia" w:hAnsi="Cambria Math"/>
          </w:rPr>
          <m:t>pH=p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3-</m:t>
                        </m:r>
                      </m:sup>
                    </m:sSubSup>
                  </m:e>
                </m:d>
              </m:num>
              <m:den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HP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2-</m:t>
                        </m:r>
                      </m:sup>
                    </m:sSubSup>
                  </m:e>
                </m:d>
              </m:den>
            </m:f>
          </m:e>
        </m:func>
      </m:oMath>
      <w:r>
        <w:rPr>
          <w:rFonts w:eastAsiaTheme="minorEastAsia"/>
        </w:rPr>
        <w:t xml:space="preserve"> silnie zachodzący proces hydrolizy</w:t>
      </w:r>
      <w:r w:rsidRPr="00A52EF9">
        <w:rPr>
          <w:rFonts w:eastAsiaTheme="minorEastAsia"/>
        </w:rPr>
        <w:t xml:space="preserve"> </w:t>
      </w:r>
      <w:r>
        <w:rPr>
          <w:rFonts w:eastAsiaTheme="minorEastAsia"/>
        </w:rPr>
        <w:t xml:space="preserve">zmienia stężenia tych jonów, tym samym powoduje zmianę członu stężeniowego w logarytmami i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. W celu uwzględnienia tego efektu należy posłużyć się w tym wypadku ogólną metodą rozwiązywania zadań z równowagi tzn. tabelką i wstawieniem do wyrażenia na stałą równowagi dysocjacji, zamiast korzystania z wyprowadzonych wzorów dla jednak szczególnych, bo dotyczących roztworów o nieskrajnych wartościach </w:t>
      </w:r>
      <m:oMath>
        <m:r>
          <w:rPr>
            <w:rFonts w:ascii="Cambria Math" w:eastAsiaTheme="minorEastAsia" w:hAnsi="Cambria Math"/>
          </w:rPr>
          <m:t>pH</m:t>
        </m:r>
      </m:oMath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Np. Oblicz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buforu uzyskanego przez rozpuszczanie 0.1 </w:t>
      </w:r>
      <w:proofErr w:type="gramStart"/>
      <w:r>
        <w:rPr>
          <w:rFonts w:eastAsiaTheme="minorEastAsia"/>
        </w:rPr>
        <w:t>mola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i </w:t>
      </w:r>
      <w:r w:rsidRPr="00635BB6">
        <w:rPr>
          <w:rFonts w:eastAsiaTheme="minorEastAsia"/>
        </w:rPr>
        <w:t xml:space="preserve">0.2 </w:t>
      </w:r>
      <w:proofErr w:type="gramStart"/>
      <w:r w:rsidRPr="00635BB6">
        <w:rPr>
          <w:rFonts w:eastAsiaTheme="minorEastAsia"/>
        </w:rPr>
        <w:t>mola</w:t>
      </w:r>
      <w:proofErr w:type="gramEnd"/>
      <w:r w:rsidRPr="00635BB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w 5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wody.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Najpierw rozważamy reakcje dysocjacji soli i obliczamy stężenia jonów stanowiących składniki buforu:</w:t>
      </w:r>
    </w:p>
    <w:p w:rsidR="00F601D6" w:rsidRPr="00183326" w:rsidRDefault="00F601D6" w:rsidP="00F601D6">
      <w:pPr>
        <w:rPr>
          <w:rFonts w:eastAsiaTheme="minorEastAsia"/>
          <w:b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→3N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 xml:space="preserve">;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HP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</w:rPr>
            <m:t>HP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F601D6" w:rsidRPr="00D87727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3-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=0.02</m:t>
          </m:r>
        </m:oMath>
      </m:oMathPara>
    </w:p>
    <w:p w:rsidR="00F601D6" w:rsidRPr="00D87727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0.2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=0.04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Używając wyprowadzonego wcześniej wzoru na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buforu dostajemy, że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wynosi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3-</m:t>
                          </m:r>
                        </m:sup>
                      </m:sSubSup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HP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2-</m:t>
                          </m:r>
                        </m:sup>
                      </m:sSubSup>
                    </m:e>
                  </m:d>
                </m:den>
              </m:f>
            </m:e>
          </m:func>
          <m:r>
            <w:rPr>
              <w:rFonts w:ascii="Cambria Math" w:eastAsiaTheme="minorEastAsia" w:hAnsi="Cambria Math"/>
            </w:rPr>
            <m:t>=12.32+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0.04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=12.02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widać, że jest skrajnie małe, natomiast dość duże jest stężenie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, możemy je oszacować na poziomie 0.01 </w:t>
      </w:r>
      <w:proofErr w:type="gramStart"/>
      <w:r>
        <w:rPr>
          <w:rFonts w:eastAsiaTheme="minorEastAsia"/>
        </w:rPr>
        <w:t>mol</w:t>
      </w:r>
      <w:proofErr w:type="gramEnd"/>
      <w:r>
        <w:rPr>
          <w:rFonts w:eastAsiaTheme="minorEastAsia"/>
        </w:rPr>
        <w:sym w:font="Symbol" w:char="F0D7"/>
      </w:r>
      <w:r>
        <w:rPr>
          <w:rFonts w:eastAsiaTheme="minorEastAsia"/>
        </w:rPr>
        <w:t>dm</w:t>
      </w:r>
      <w:r w:rsidRPr="00635BB6">
        <w:rPr>
          <w:rFonts w:eastAsiaTheme="minorEastAsia"/>
          <w:vertAlign w:val="superscript"/>
        </w:rPr>
        <w:t>-3</w:t>
      </w:r>
      <w:r w:rsidRPr="00635BB6">
        <w:rPr>
          <w:rFonts w:eastAsiaTheme="minorEastAsia"/>
        </w:rPr>
        <w:t xml:space="preserve"> (</w:t>
      </w:r>
      <w:r>
        <w:rPr>
          <w:rFonts w:eastAsiaTheme="minorEastAsia"/>
        </w:rPr>
        <w:t xml:space="preserve">pOH≈2 </w:t>
      </w:r>
      <m:oMath>
        <m:r>
          <w:rPr>
            <w:rFonts w:ascii="Cambria Math" w:eastAsiaTheme="minorEastAsia" w:hAnsi="Cambria Math"/>
          </w:rPr>
          <m:t>→[O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≈0.01), </w:t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więc ta wartość realnie zmienia </w:t>
      </w:r>
      <w:r w:rsidRPr="00635BB6">
        <w:rPr>
          <w:rFonts w:eastAsiaTheme="minorEastAsia"/>
        </w:rPr>
        <w:t xml:space="preserve">stężenia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3-</m:t>
            </m:r>
          </m:sup>
        </m:sSubSup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. Te jony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pochodzą z reakcji: 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Musieliśmy przereagować wtedy 0.01 </w:t>
      </w:r>
      <m:oMath>
        <m:r>
          <w:rPr>
            <w:rFonts w:ascii="Cambria Math" w:eastAsiaTheme="minorEastAsia" w:hAnsi="Cambria Math"/>
          </w:rPr>
          <m:t>mol*d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-3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jonów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3-</m:t>
            </m:r>
          </m:sup>
        </m:sSubSup>
      </m:oMath>
      <w:r>
        <w:rPr>
          <w:rFonts w:eastAsiaTheme="minorEastAsia"/>
        </w:rPr>
        <w:t>, co realnie zmieniło ich ilość.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Dokładniejszym rozwiązaniem tego problemu jest analiza jego jak reakcji równowagowej – tabelką: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F601D6" w:rsidRDefault="00F601D6" w:rsidP="00F601D6">
      <w:pPr>
        <w:rPr>
          <w:rFonts w:eastAsiaTheme="minorEastAsia"/>
        </w:rPr>
      </w:pPr>
      <w:proofErr w:type="gramStart"/>
      <w:r>
        <w:rPr>
          <w:rFonts w:eastAsiaTheme="minorEastAsia"/>
        </w:rPr>
        <w:t>Oczywiście jako</w:t>
      </w:r>
      <w:proofErr w:type="gramEnd"/>
      <w:r>
        <w:rPr>
          <w:rFonts w:eastAsiaTheme="minorEastAsia"/>
        </w:rPr>
        <w:t xml:space="preserve"> stężenia początkowe używamy stężeń obliczonych uprzednio: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3-</m:t>
                    </m:r>
                  </m:sup>
                </m:sSub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HP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2-</m:t>
                    </m:r>
                  </m:sup>
                </m:sSub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0.02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0.04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</w:p>
        </w:tc>
      </w:tr>
      <w:tr w:rsidR="00F601D6" w:rsidTr="00204A97"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Δc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F601D6" w:rsidTr="00204A97">
        <w:tc>
          <w:tcPr>
            <w:tcW w:w="2303" w:type="dxa"/>
          </w:tcPr>
          <w:p w:rsidR="00F601D6" w:rsidRDefault="00466FE4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0.02-x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0.04+x</m:t>
                </m:r>
              </m:oMath>
            </m:oMathPara>
          </w:p>
        </w:tc>
        <w:tc>
          <w:tcPr>
            <w:tcW w:w="2303" w:type="dxa"/>
          </w:tcPr>
          <w:p w:rsidR="00F601D6" w:rsidRDefault="00F601D6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</w:tbl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Zapisując wyrażenie na stałą równowagi tej reakcji (stała dysocjacji zasadowej) i wstawiając wartości z tabelki dostajemy:</w:t>
      </w:r>
    </w:p>
    <w:p w:rsidR="00F601D6" w:rsidRPr="00D87727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3-</m:t>
                      </m:r>
                    </m:sup>
                  </m:sSubSup>
                </m:e>
              </m:d>
            </m:den>
          </m:f>
        </m:oMath>
      </m:oMathPara>
    </w:p>
    <w:p w:rsidR="00F601D6" w:rsidRDefault="00466FE4" w:rsidP="00F601D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3-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4.79*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=0.0209</m:t>
          </m:r>
        </m:oMath>
      </m:oMathPara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0.0209=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0.04+x</m:t>
                  </m:r>
                </m:e>
              </m:d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0.02-x</m:t>
              </m:r>
            </m:den>
          </m:f>
        </m:oMath>
      </m:oMathPara>
    </w:p>
    <w:p w:rsidR="00F601D6" w:rsidRPr="00B644AB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x=0.00623=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F601D6" w:rsidRPr="00B644AB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pOH=2.20→pH=11.8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Obliczona w ten sposób wartość jest dokładniejsza niż obliczona przy użyciu wzoru na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buforu, gdyż uwzględnia zmianę stężenia jonów przez zachodzącą hydrolizę.</w:t>
      </w:r>
    </w:p>
    <w:p w:rsidR="00FE0920" w:rsidRDefault="00FE0920" w:rsidP="00FE0920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Zakres działania buforu - </w:t>
      </w:r>
      <w:proofErr w:type="spellStart"/>
      <w:r>
        <w:rPr>
          <w:rFonts w:eastAsiaTheme="minorEastAsia"/>
        </w:rPr>
        <w:t>pH</w:t>
      </w:r>
      <w:proofErr w:type="spellEnd"/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Wracając do wyprowadzonego wzoru na bufor: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den>
                  </m:f>
                </m:den>
              </m:f>
            </m:e>
          </m:func>
          <m:r>
            <w:rPr>
              <w:rFonts w:ascii="Cambria Math" w:eastAsiaTheme="minorEastAsia" w:hAnsi="Cambria Math"/>
            </w:rPr>
            <m:t>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HA</m:t>
                      </m:r>
                    </m:sub>
                  </m:sSub>
                </m:den>
              </m:f>
            </m:e>
          </m:func>
        </m:oMath>
      </m:oMathPara>
    </w:p>
    <w:p w:rsidR="00F601D6" w:rsidRPr="00B644AB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Widzimy, iż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buforu nie zależy od rozcieńczenia (dla sensownych stężeń), bo jest stosunek ilości moli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Ha</m:t>
                </m:r>
              </m:sub>
            </m:sSub>
          </m:den>
        </m:f>
      </m:oMath>
      <w:r>
        <w:rPr>
          <w:rFonts w:eastAsiaTheme="minorEastAsia"/>
        </w:rPr>
        <w:t xml:space="preserve"> jak i oczywiście stała dysocjacji kwasowej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nie zależy od objętości.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Kolejną ciekawą zależność można zaobserwować, rozważając roztwór buforowy zawierający taką samą ilość moli formy kwasowej i zasadowej – wówczas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takiego roztworu będzie równe stałej dysocjacji kwasowej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użytej formy kwasowej:</w:t>
      </w:r>
    </w:p>
    <w:p w:rsidR="00F601D6" w:rsidRPr="00B644AB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HA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Ha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:rsidR="00F601D6" w:rsidRPr="00B644AB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func>
          <m:r>
            <w:rPr>
              <w:rFonts w:ascii="Cambria Math" w:eastAsiaTheme="minorEastAsia" w:hAnsi="Cambria Math"/>
            </w:rPr>
            <m:t>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Do wzoru na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możemy również wstawić skrajne stosunki formy kwaśnej i zasadowej działania buforu. Otrzymamy wtedy zakresy działania buforu dla stosunku ilości moli formy zasadowej do kwasowej równego 1 do 20 dostajemy</w:t>
      </w:r>
    </w:p>
    <w:p w:rsidR="00F601D6" w:rsidRPr="00B644AB" w:rsidRDefault="00466FE4" w:rsidP="00F601D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HA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</m:oMath>
      </m:oMathPara>
    </w:p>
    <w:p w:rsidR="00F601D6" w:rsidRPr="00B644AB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20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-1.3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 A dla drugiej warunku (zasadowej do kwasowej równego 20 do 1) otrzymujemy</w:t>
      </w:r>
    </w:p>
    <w:p w:rsidR="00F601D6" w:rsidRPr="00B644AB" w:rsidRDefault="00466FE4" w:rsidP="00F601D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Ha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</m:oMath>
      </m:oMathPara>
    </w:p>
    <w:p w:rsidR="00F601D6" w:rsidRPr="00511420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+1.3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Czyli w takim razie bufor działa dobrze w zakresie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uzależnionym od wartości stałej dysocjacji kwasowej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± 1.3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Znając formę kwasową i zasadową buforu znamy około wartość jego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, i w drugą stronę, znając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roztworu buforowego możemy powiedzieć, które bufory (np. z wymienionych w zadaniu) mogą dać odpowiednią wartość </w:t>
      </w:r>
      <m:oMath>
        <m:r>
          <w:rPr>
            <w:rFonts w:ascii="Cambria Math" w:eastAsiaTheme="minorEastAsia" w:hAnsi="Cambria Math"/>
          </w:rPr>
          <m:t>pH</m:t>
        </m:r>
      </m:oMath>
    </w:p>
    <w:p w:rsidR="00F601D6" w:rsidRDefault="00F601D6" w:rsidP="00F601D6">
      <w:pPr>
        <w:rPr>
          <w:rFonts w:eastAsiaTheme="minorEastAsia"/>
        </w:rPr>
      </w:pPr>
      <w:proofErr w:type="spellStart"/>
      <w:r>
        <w:rPr>
          <w:rFonts w:eastAsiaTheme="minorEastAsia"/>
        </w:rPr>
        <w:t>Np</w:t>
      </w:r>
      <w:proofErr w:type="spellEnd"/>
      <w:r>
        <w:rPr>
          <w:rFonts w:eastAsiaTheme="minorEastAsia"/>
        </w:rPr>
        <w:t xml:space="preserve"> mamy bufor oparty na kwasie fosforowym i wiemy, że jego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wynosi 6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Który to bufor?</w:t>
      </w:r>
    </w:p>
    <w:p w:rsidR="00F601D6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  i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 xml:space="preserve">   ;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 xml:space="preserve">  i 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; 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 i 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</m:oMath>
      </m:oMathPara>
    </w:p>
    <w:p w:rsidR="00F601D6" w:rsidRPr="00511420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a1</m:t>
              </m:r>
            </m:sub>
          </m:sSub>
          <m:r>
            <w:rPr>
              <w:rFonts w:ascii="Cambria Math" w:eastAsiaTheme="minorEastAsia" w:hAnsi="Cambria Math"/>
            </w:rPr>
            <m:t>=2.16               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a2</m:t>
              </m:r>
            </m:sub>
          </m:sSub>
          <m:r>
            <w:rPr>
              <w:rFonts w:ascii="Cambria Math" w:eastAsiaTheme="minorEastAsia" w:hAnsi="Cambria Math"/>
            </w:rPr>
            <m:t>=7.21               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a3</m:t>
              </m:r>
            </m:sub>
          </m:sSub>
          <m:r>
            <w:rPr>
              <w:rFonts w:ascii="Cambria Math" w:eastAsiaTheme="minorEastAsia" w:hAnsi="Cambria Math"/>
            </w:rPr>
            <m:t>=12.32</m:t>
          </m:r>
        </m:oMath>
      </m:oMathPara>
    </w:p>
    <w:p w:rsidR="00F601D6" w:rsidRPr="00EF26CF" w:rsidRDefault="00F601D6" w:rsidP="00F601D6">
      <w:pPr>
        <w:rPr>
          <w:rFonts w:eastAsiaTheme="minorEastAsia"/>
          <w:b/>
          <w:i/>
        </w:rPr>
      </w:pPr>
      <w:r>
        <w:rPr>
          <w:rFonts w:eastAsiaTheme="minorEastAsia"/>
        </w:rPr>
        <w:t xml:space="preserve">Czyli warunek zakresu działania buforu, że jego </w:t>
      </w:r>
      <m:oMath>
        <m:r>
          <w:rPr>
            <w:rFonts w:ascii="Cambria Math" w:eastAsiaTheme="minorEastAsia" w:hAnsi="Cambria Math"/>
          </w:rPr>
          <m:t>pH = 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w:sym w:font="Symbol" w:char="F0B1"/>
        </m:r>
        <m:r>
          <w:rPr>
            <w:rFonts w:ascii="Cambria Math" w:eastAsiaTheme="minorEastAsia" w:hAnsi="Cambria Math"/>
          </w:rPr>
          <m:t xml:space="preserve"> 1.3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spełnia</w:t>
      </w:r>
      <w:proofErr w:type="gramEnd"/>
      <w:r>
        <w:rPr>
          <w:rFonts w:eastAsiaTheme="minorEastAsia"/>
        </w:rPr>
        <w:t xml:space="preserve"> tylko bufor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 xml:space="preserve">  i 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>.</w:t>
      </w:r>
    </w:p>
    <w:p w:rsidR="00F601D6" w:rsidRDefault="00F601D6" w:rsidP="00FE0920">
      <w:pPr>
        <w:pStyle w:val="Nagwek1"/>
        <w:rPr>
          <w:rFonts w:eastAsiaTheme="minorEastAsia"/>
        </w:rPr>
      </w:pPr>
      <w:r>
        <w:rPr>
          <w:rFonts w:eastAsiaTheme="minorEastAsia"/>
        </w:rPr>
        <w:t>Formy dominujące.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Z wzoru na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buforu, iż wartość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buforu wynosi: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Ha</m:t>
                      </m:r>
                    </m:sub>
                  </m:sSub>
                </m:den>
              </m:f>
            </m:e>
          </m:func>
        </m:oMath>
      </m:oMathPara>
    </w:p>
    <w:p w:rsidR="00F601D6" w:rsidRPr="00B644AB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Znając wartość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 i kolejne stałe dysocjacji interesującego nas kwasu możemy ustalić, która forma </w:t>
      </w:r>
      <w:proofErr w:type="spellStart"/>
      <w:r>
        <w:rPr>
          <w:rFonts w:eastAsiaTheme="minorEastAsia"/>
        </w:rPr>
        <w:t>protonowania</w:t>
      </w:r>
      <w:proofErr w:type="spellEnd"/>
      <w:r>
        <w:rPr>
          <w:rFonts w:eastAsiaTheme="minorEastAsia"/>
        </w:rPr>
        <w:t xml:space="preserve"> jest formą dominującą dla danego kwasu Brønsteada.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Jak wcześnie rozważaliśmy, jeżeli mamy tyle samo formy kwaśnej i zasadowej buforu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takiego roztworu jest równe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formy kwaśnej?</w:t>
      </w:r>
    </w:p>
    <w:p w:rsidR="00F601D6" w:rsidRPr="00B644AB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HA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HA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:rsidR="00F601D6" w:rsidRPr="00B644AB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func>
          <m:r>
            <w:rPr>
              <w:rFonts w:ascii="Cambria Math" w:eastAsiaTheme="minorEastAsia" w:hAnsi="Cambria Math"/>
            </w:rPr>
            <m:t>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Natomiast, jeżeli w roztworze przeważa forma zasadowa wówczas ilość moli zasadowej jest większa niż kwasowej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A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 xml:space="preserve">&gt;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HA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, a wówczas stosunek ilości moli w logarytmie jest większy niż </w:t>
      </w:r>
      <w:proofErr w:type="gramStart"/>
      <w:r>
        <w:rPr>
          <w:rFonts w:eastAsiaTheme="minorEastAsia"/>
        </w:rPr>
        <w:t xml:space="preserve">jeden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HA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&gt;1 </m:t>
        </m:r>
      </m:oMath>
      <w:r>
        <w:rPr>
          <w:rFonts w:eastAsiaTheme="minorEastAsia"/>
        </w:rPr>
        <w:t>co</w:t>
      </w:r>
      <w:proofErr w:type="gramEnd"/>
      <w:r>
        <w:rPr>
          <w:rFonts w:eastAsiaTheme="minorEastAsia"/>
        </w:rPr>
        <w:t xml:space="preserve"> znaczy, że logarytm jest większy niż zero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HA</m:t>
                    </m:r>
                  </m:sub>
                </m:sSub>
              </m:den>
            </m:f>
          </m:e>
        </m:func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a więc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 jest większe niż</w:t>
      </w:r>
      <w:r w:rsidRPr="00E75A92">
        <w:rPr>
          <w:rFonts w:eastAsiaTheme="minorEastAsia"/>
          <w:b/>
          <w:i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:. Albo inaczej, jeżeli przeważa forma zasadowa buforu to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jest bardziej zasadowe, niż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jest bardziej zasadowe niż dla buforu, gdzie mamy po tyle samo jednej i drugiej formy. W sumie jest to dość logiczne, bo przeważa forma zasadowa, więc i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musi być zasadowe</w:t>
      </w:r>
    </w:p>
    <w:p w:rsidR="00F601D6" w:rsidRPr="00D52160" w:rsidRDefault="00F601D6" w:rsidP="00F601D6">
      <w:pPr>
        <w:rPr>
          <w:rFonts w:eastAsiaTheme="minorEastAsia"/>
          <w:b/>
          <w:i/>
        </w:rPr>
      </w:pPr>
      <w:r>
        <w:rPr>
          <w:rFonts w:eastAsiaTheme="minorEastAsia"/>
        </w:rPr>
        <w:t xml:space="preserve">Analogicznie można dla przewagi formy kwaśnej powiedzieć, iż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takiego roztworu jest bardziej kwaśne niż dla roztworu, w którym mamy po tyle samo jednej i drugiej formy, a więc mniejsze niż odpowiednie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</w:p>
    <w:p w:rsidR="00F601D6" w:rsidRPr="00511420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HA</m:t>
              </m:r>
            </m:sub>
          </m:sSub>
          <m:r>
            <w:rPr>
              <w:rFonts w:ascii="Cambria Math" w:eastAsiaTheme="minorEastAsia" w:hAnsi="Cambria Math"/>
            </w:rPr>
            <m:t>→pH&lt;p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Wykorzystując tę wiedzę możemy sporządzić wykres form dominujących dla interesujących nas kwasów: np. dla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- w jakiej postaci </w:t>
      </w:r>
      <w:proofErr w:type="spellStart"/>
      <w:r>
        <w:rPr>
          <w:rFonts w:eastAsiaTheme="minorEastAsia"/>
        </w:rPr>
        <w:t>protonowania</w:t>
      </w:r>
      <w:proofErr w:type="spellEnd"/>
      <w:r>
        <w:rPr>
          <w:rFonts w:eastAsiaTheme="minorEastAsia"/>
        </w:rPr>
        <w:t xml:space="preserve"> głównie występuje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w zależności od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>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Rozpuszczając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w silnie kwaśnym środowisku, występuje on tym </w:t>
      </w:r>
      <w:proofErr w:type="gramStart"/>
      <w:r>
        <w:rPr>
          <w:rFonts w:eastAsiaTheme="minorEastAsia"/>
        </w:rPr>
        <w:t>roztworze w jako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, w zasadzie nie ma innych form protonowania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, 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 w:rsidRPr="00865595">
        <w:rPr>
          <w:rFonts w:eastAsiaTheme="minorEastAsia"/>
          <w:b/>
          <w:i/>
          <w:vertAlign w:val="superscript"/>
        </w:rPr>
        <w:t>-</w:t>
      </w:r>
      <w:r>
        <w:rPr>
          <w:rFonts w:eastAsiaTheme="minorEastAsia"/>
        </w:rPr>
        <w:t xml:space="preserve">). Podwyższając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, a więc zmniejszając 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, kwas ten zaczyna hydrolizować i pojawia się forma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, jej ilość narasta z wzrostem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roztworu, ilości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równoważą się w momencie, w którym wartość pH roztworu osiągnie wartość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odpowiedniej formy kwaśnej, a więc w tym </w:t>
      </w:r>
      <w:proofErr w:type="gramStart"/>
      <w:r>
        <w:rPr>
          <w:rFonts w:eastAsiaTheme="minorEastAsia"/>
        </w:rPr>
        <w:t xml:space="preserve">wypadku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. </w:t>
      </w:r>
      <w:proofErr w:type="gramEnd"/>
      <w:r>
        <w:rPr>
          <w:rFonts w:eastAsiaTheme="minorEastAsia"/>
        </w:rPr>
        <w:t>Równowagę tę opisuje</w:t>
      </w:r>
      <m:oMath>
        <m:r>
          <w:rPr>
            <w:rFonts w:ascii="Cambria Math" w:eastAsiaTheme="minorEastAsia" w:hAnsi="Cambria Math"/>
          </w:rPr>
          <m:t xml:space="preserve"> 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a1</m:t>
            </m:r>
          </m:sub>
        </m:sSub>
      </m:oMath>
      <w:r>
        <w:rPr>
          <w:rFonts w:eastAsiaTheme="minorEastAsia"/>
        </w:rPr>
        <w:t xml:space="preserve"> Zwiększając dalej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stężenie jonu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narasta, natomiast nieprotonowanego kwasu zmniejsza się praktycznie do zera. Zwiększając pH bardziej zaczynamy urywać kolejny proton i tym samym pojawia się jon </w:t>
      </w:r>
      <m:oMath>
        <m:r>
          <w:rPr>
            <w:rFonts w:ascii="Cambria Math" w:eastAsiaTheme="minorEastAsia" w:hAnsi="Cambria Math"/>
          </w:rPr>
          <m:t>H</m:t>
        </m:r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. Równowagę pomiędzy tymi jonami osiągamy przy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równemu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a2</m:t>
            </m:r>
          </m:sub>
        </m:sSub>
      </m:oMath>
      <w:r>
        <w:rPr>
          <w:rFonts w:eastAsiaTheme="minorEastAsia"/>
        </w:rPr>
        <w:t xml:space="preserve"> Powyżej tego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pojawia się jon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>. Jon ten dominuje aż do wartości pH równej</w:t>
      </w:r>
      <w:r w:rsidRPr="00E6673C">
        <w:rPr>
          <w:rFonts w:eastAsiaTheme="minorEastAsia"/>
          <w:b/>
          <w:i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a3</m:t>
            </m:r>
          </m:sub>
        </m:sSub>
      </m:oMath>
      <w:r>
        <w:rPr>
          <w:rFonts w:eastAsiaTheme="minorEastAsia"/>
        </w:rPr>
        <w:t xml:space="preserve">, kiedy to zaczyna dominować jon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3-</m:t>
            </m:r>
          </m:sup>
        </m:sSubSup>
      </m:oMath>
      <w:r>
        <w:rPr>
          <w:rFonts w:eastAsiaTheme="minorEastAsia"/>
        </w:rPr>
        <w:t>. Możemy przedstawić opisane zależności na wykresie:</w:t>
      </w:r>
      <w:r>
        <w:rPr>
          <w:rFonts w:eastAsiaTheme="minorEastAsia"/>
          <w:noProof/>
          <w:lang w:eastAsia="pl-PL"/>
        </w:rPr>
        <w:drawing>
          <wp:inline distT="0" distB="0" distL="0" distR="0">
            <wp:extent cx="4556125" cy="2154555"/>
            <wp:effectExtent l="19050" t="0" r="0" b="0"/>
            <wp:docPr id="26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2154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Znając wartość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możemy łatwo odczytać z tego, która forma </w:t>
      </w:r>
      <w:proofErr w:type="spellStart"/>
      <w:r>
        <w:rPr>
          <w:rFonts w:eastAsiaTheme="minorEastAsia"/>
        </w:rPr>
        <w:t>protonowania</w:t>
      </w:r>
      <w:proofErr w:type="spellEnd"/>
      <w:r>
        <w:rPr>
          <w:rFonts w:eastAsiaTheme="minorEastAsia"/>
        </w:rPr>
        <w:t xml:space="preserve"> jest dominującą, a więc przeważa w roztworze.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Przy użyciu tego wykresu możemy również łatwo określić odczyn wodorosoli. Np. Aby określić odczyn roztworu </w:t>
      </w:r>
      <m:oMath>
        <m:r>
          <w:rPr>
            <w:rFonts w:ascii="Cambria Math" w:eastAsiaTheme="minorEastAsia" w:hAnsi="Cambria Math"/>
          </w:rPr>
          <m:t>K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bSup>
      </m:oMath>
      <w:r>
        <w:rPr>
          <w:rFonts w:eastAsiaTheme="minorEastAsia"/>
        </w:rPr>
        <w:t xml:space="preserve"> rozważamy dysocjację tę wodorosoli. Widzimy, iż mamy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. Odczyn roztworu będzie, więc taki, abyśmy mieli jak najwięcej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.Z wykresu możemy odczytać, iż największe stężenie tego jonu występuje dla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pomiędzy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a1</m:t>
            </m:r>
          </m:sub>
        </m:sSub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a2</m:t>
            </m:r>
          </m:sub>
        </m:sSub>
      </m:oMath>
      <w:r>
        <w:rPr>
          <w:rFonts w:eastAsiaTheme="minorEastAsia"/>
        </w:rPr>
        <w:t xml:space="preserve"> .</w:t>
      </w:r>
      <w:proofErr w:type="gramEnd"/>
      <w:r>
        <w:rPr>
          <w:rFonts w:eastAsiaTheme="minorEastAsia"/>
        </w:rPr>
        <w:t xml:space="preserve">Możemy, więc te dwie wartości uśrednić i tak obliczona wartość jest równa około wartości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 </w:t>
      </w:r>
      <m:oMath>
        <m:r>
          <w:rPr>
            <w:rFonts w:ascii="Cambria Math" w:eastAsiaTheme="minorEastAsia" w:hAnsi="Cambria Math"/>
          </w:rPr>
          <m:t>K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bSup>
      </m:oMath>
      <w:r>
        <w:rPr>
          <w:rFonts w:eastAsiaTheme="minorEastAsia"/>
        </w:rPr>
        <w:t>. Oczywiście jest to przybliżenie, jednak zwykle daje ono całkiem dobre przybliżenie i jest nie wątpliwie szybsza metoda niż porównywanie wartości stałej kwasowej i zasadowej.</w:t>
      </w:r>
      <w:r w:rsidRPr="007874B1">
        <w:rPr>
          <w:rFonts w:eastAsiaTheme="minorEastAsia"/>
        </w:rPr>
        <w:t xml:space="preserve"> </w:t>
      </w:r>
      <w:r>
        <w:rPr>
          <w:rFonts w:eastAsiaTheme="minorEastAsia"/>
          <w:noProof/>
          <w:lang w:eastAsia="pl-PL"/>
        </w:rPr>
        <w:drawing>
          <wp:inline distT="0" distB="0" distL="0" distR="0">
            <wp:extent cx="5759450" cy="3397169"/>
            <wp:effectExtent l="19050" t="0" r="0" b="0"/>
            <wp:docPr id="30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97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Otrzymana w ten sposób wartość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świadczy o tym, że roztwór ma odczyn lekko kwaśny, co jest zgodne z metodą porównywania stałych.</w:t>
      </w:r>
    </w:p>
    <w:p w:rsidR="00F601D6" w:rsidRPr="007874B1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Analizując dwa nałożone na siebie wykresy form dominujących możemy powiedzieć, które jony dwóch różnych kwasów mogą współistnieć tzn. występować wspólnie w roztworze. Roztwór zgodnie z stwierdzeniem wielkiego Niemca musi mieć jedną wartość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, a więc występujące w roztworze jony muszą zaakceptować tę wartość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i dostosować się do niej. Oczywiście nie może być tak, że jeden jon chce jedną wartość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>, a drugi drugą, wartości te muszą się pokryć.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w:r>
        <w:rPr>
          <w:rFonts w:eastAsiaTheme="minorEastAsia"/>
          <w:noProof/>
          <w:lang w:eastAsia="pl-PL"/>
        </w:rPr>
        <w:drawing>
          <wp:inline distT="0" distB="0" distL="0" distR="0">
            <wp:extent cx="1473856" cy="1950625"/>
            <wp:effectExtent l="19050" t="0" r="0" b="0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549" cy="1951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1D6" w:rsidRPr="00511420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Np. Wykonując graf form dominujących dla kwasów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możemy zobaczyć: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59450" cy="1546272"/>
            <wp:effectExtent l="19050" t="0" r="0" b="0"/>
            <wp:docPr id="11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546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Współistnieć mogą jony, które mają wspólny zakres występowania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na powyższym grafie</w:t>
      </w:r>
    </w:p>
    <w:p w:rsidR="00F601D6" w:rsidRPr="00C32D7F" w:rsidRDefault="00F601D6" w:rsidP="00F601D6">
      <w:pPr>
        <w:rPr>
          <w:rFonts w:eastAsiaTheme="minorEastAsia"/>
          <w:noProof/>
          <w:lang w:eastAsia="pl-PL"/>
        </w:rPr>
      </w:pPr>
      <w:proofErr w:type="gramStart"/>
      <w:r>
        <w:rPr>
          <w:rFonts w:eastAsiaTheme="minorEastAsia"/>
        </w:rPr>
        <w:t>Np.  rozważając</w:t>
      </w:r>
      <w:proofErr w:type="gramEnd"/>
      <w:r>
        <w:rPr>
          <w:rFonts w:eastAsiaTheme="minorEastAsia"/>
        </w:rPr>
        <w:t xml:space="preserve"> możliwość współistnienia jonów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C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 należy najpierw narysować wykres form dominujących dla obu analizowanych kwasów: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733800" cy="998872"/>
            <wp:effectExtent l="19050" t="0" r="0" b="0"/>
            <wp:docPr id="25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8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Widzimy, że jon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 xml:space="preserve">dominuje przy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w zakresie 7.21-12.33, Natomiast, </w:t>
      </w:r>
      <m:oMath>
        <m:r>
          <w:rPr>
            <w:rFonts w:ascii="Cambria Math" w:eastAsiaTheme="minorEastAsia" w:hAnsi="Cambria Math"/>
          </w:rPr>
          <m:t>C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 jest formą dominującą powyżej 10.33. Występuje, więc wspólny zakres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, przy którym oba te jony mogą istnieć -  10.33 – 12.33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zakres ten jest mniej więcej,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roztworu zawierającego te oba jony.</w:t>
      </w:r>
    </w:p>
    <w:p w:rsidR="00F601D6" w:rsidRPr="00C32D7F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Natomiast rozważając możliwość współistnienia jonów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3-</m:t>
            </m:r>
          </m:sup>
        </m:sSubSup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HC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>, sporządzając te sam wykres form dominujących widzimy, że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655167" cy="1052060"/>
            <wp:effectExtent l="19050" t="0" r="2433" b="0"/>
            <wp:docPr id="27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010" cy="1052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Zakres dominacji jonów </w:t>
      </w:r>
      <m:oMath>
        <m:r>
          <w:rPr>
            <w:rFonts w:ascii="Cambria Math" w:eastAsiaTheme="minorEastAsia" w:hAnsi="Cambria Math"/>
          </w:rPr>
          <m:t>HC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to być w </w:t>
      </w:r>
      <w:proofErr w:type="gramStart"/>
      <w:r>
        <w:rPr>
          <w:rFonts w:eastAsiaTheme="minorEastAsia"/>
        </w:rPr>
        <w:t>zakresie 6.35 - 10.33 , jonów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3-</m:t>
            </m:r>
          </m:sup>
        </m:sSubSup>
      </m:oMath>
      <w:r>
        <w:rPr>
          <w:rFonts w:eastAsiaTheme="minorEastAsia"/>
        </w:rPr>
        <w:t xml:space="preserve"> to powyżej 12.32, </w:t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więc zakresy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nie pokrywają się. Jony takie nie mogą współistnieć i tym samym będą ze sobą reagować, wymieniać wodory dając jony, które mogą współistnieć, w myśl reakcji: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HC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 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>→C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Aż do praktycznie całkowitego wyczerpania jednego z jonów.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Barwy wskaźników zamieszczone w tablicach CKE to jest dokładnie ten sam typ </w:t>
      </w:r>
      <w:proofErr w:type="gramStart"/>
      <w:r>
        <w:rPr>
          <w:rFonts w:eastAsiaTheme="minorEastAsia"/>
        </w:rPr>
        <w:t>wykresu co</w:t>
      </w:r>
      <w:proofErr w:type="gramEnd"/>
      <w:r>
        <w:rPr>
          <w:rFonts w:eastAsiaTheme="minorEastAsia"/>
        </w:rPr>
        <w:t xml:space="preserve"> powyżej i można nanieść te wykresy na siebie, aby przewidzieć barwy związków bądź mieszanin.</w:t>
      </w:r>
    </w:p>
    <w:p w:rsidR="00F601D6" w:rsidRPr="00172C10" w:rsidRDefault="00F601D6" w:rsidP="00F601D6">
      <w:pPr>
        <w:rPr>
          <w:rFonts w:eastAsiaTheme="minorEastAsia"/>
          <w:b/>
        </w:rPr>
      </w:pPr>
      <w:r>
        <w:rPr>
          <w:rFonts w:eastAsiaTheme="minorEastAsia"/>
        </w:rPr>
        <w:t xml:space="preserve">Wykresów tych można używać również do szacowania odczynów soli oraz wodorosoli słabych kwasów i słabych zasad oraz w ogóle możliwości ich istnienia. Np. Chcąc oszacować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wykonujemy wykres form dominujących dla kwasu i zasady, z której się wywodzi ta sól tzn. dla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HF</m:t>
        </m:r>
      </m:oMath>
      <w:r>
        <w:rPr>
          <w:rFonts w:eastAsiaTheme="minorEastAsia"/>
        </w:rPr>
        <w:t xml:space="preserve">. Oczywiście pamiętamy, że interesuje nas wartość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A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, a nie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B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podczas szacowania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, przy którym występuje równowaga pomiędzy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>
        <w:rPr>
          <w:rFonts w:eastAsiaTheme="minorEastAsia"/>
        </w:rPr>
        <w:t xml:space="preserve">. 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4142105" cy="1249045"/>
            <wp:effectExtent l="19050" t="0" r="0" b="0"/>
            <wp:docPr id="32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105" cy="1249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Po sporządzeniu tego wykresu widzimy, iż sól ta przede wszystkim może istnieć, gdyż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>
        <w:rPr>
          <w:rFonts w:eastAsiaTheme="minorEastAsia"/>
        </w:rPr>
        <w:t xml:space="preserve"> mogą współistnieć, posiadają wspólny zakres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, przy którym występują. Chcąc oszacować wartość pH możemy powiedzieć, iż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 będzie mniej więcej takie, aby „dobrze się czuły” zarówno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>
        <w:rPr>
          <w:rFonts w:eastAsiaTheme="minorEastAsia"/>
        </w:rPr>
        <w:t xml:space="preserve">, więc będzie to wartość pomiędzy wartościami granicznymi występowania </w:t>
      </w:r>
      <w:proofErr w:type="gramStart"/>
      <w:r>
        <w:rPr>
          <w:rFonts w:eastAsiaTheme="minorEastAsia"/>
        </w:rPr>
        <w:t>jonów-  a</w:t>
      </w:r>
      <w:proofErr w:type="gramEnd"/>
      <w:r>
        <w:rPr>
          <w:rFonts w:eastAsiaTheme="minorEastAsia"/>
        </w:rPr>
        <w:t xml:space="preserve"> więc należy te wartości uśrednić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3.2+9.25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=6.225</m:t>
          </m:r>
        </m:oMath>
      </m:oMathPara>
    </w:p>
    <w:p w:rsidR="00F601D6" w:rsidRDefault="00F601D6" w:rsidP="00F601D6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pH</w:t>
      </w:r>
      <w:proofErr w:type="spellEnd"/>
      <w:proofErr w:type="gramEnd"/>
      <w:r>
        <w:rPr>
          <w:rFonts w:eastAsiaTheme="minorEastAsia"/>
        </w:rPr>
        <w:t xml:space="preserve"> tego roztworu będzie delikatnie kwaśne. 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Chcąc przewidzieć możliwość występowania i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wodorosoli i soli kwasów wieloprotonowych, również możemy posłużyć się przedstawionym grafem, przeanalizujmy możliwość tworzenia soli kwasu fosforowego (V) i amoniaku. Wykonując wykres form dominujących: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727450" cy="1074978"/>
            <wp:effectExtent l="19050" t="0" r="6350" b="0"/>
            <wp:docPr id="33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1074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Możemy zobaczyć, że jon wymagany do utworzenia soli amonowej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bSup>
      </m:oMath>
      <w:r>
        <w:rPr>
          <w:rFonts w:eastAsiaTheme="minorEastAsia"/>
        </w:rPr>
        <w:t xml:space="preserve"> może współistnieć z następującymi formami kwasu fosforowego</w:t>
      </w:r>
      <w:proofErr w:type="gramStart"/>
      <w:r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 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 xml:space="preserve"> ;HP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 w:rsidRPr="00E23EDA">
        <w:rPr>
          <w:rFonts w:eastAsiaTheme="minorEastAsia"/>
          <w:b/>
          <w:i/>
          <w:vertAlign w:val="superscript"/>
        </w:rPr>
        <w:t>-</w:t>
      </w:r>
      <w:proofErr w:type="gramEnd"/>
      <w:r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 xml:space="preserve">Oczywiście z </w:t>
      </w:r>
      <w:proofErr w:type="spellStart"/>
      <w:r>
        <w:rPr>
          <w:rFonts w:eastAsiaTheme="minorEastAsia"/>
        </w:rPr>
        <w:t>niezdeprotonowanym</w:t>
      </w:r>
      <w:proofErr w:type="spellEnd"/>
      <w:proofErr w:type="gramEnd"/>
      <w:r>
        <w:rPr>
          <w:rFonts w:eastAsiaTheme="minorEastAsia"/>
        </w:rPr>
        <w:t xml:space="preserve"> kwasem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</m:sSub>
      </m:oMath>
      <w:r>
        <w:rPr>
          <w:rFonts w:eastAsiaTheme="minorEastAsia"/>
        </w:rPr>
        <w:t xml:space="preserve"> nie utworzymy związku typu sól, natomiast z pozostałymi </w:t>
      </w:r>
      <w:r>
        <w:rPr>
          <w:rFonts w:eastAsiaTheme="minorEastAsia"/>
        </w:rPr>
        <w:lastRenderedPageBreak/>
        <w:t xml:space="preserve">możemy utworzyć odpowiednio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vertAlign w:val="subscript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  <w:vertAlign w:val="subscript"/>
                  </w:rPr>
                </m:ctrlP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oraz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HP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 w:rsidRPr="00E23EDA">
        <w:rPr>
          <w:rFonts w:eastAsiaTheme="minorEastAsia"/>
        </w:rPr>
        <w:t>.</w:t>
      </w:r>
      <w:r>
        <w:rPr>
          <w:rFonts w:eastAsiaTheme="minorEastAsia"/>
        </w:rPr>
        <w:t xml:space="preserve"> Jednocześnie nie jest możliwe otrzymanie związku o strukturze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  <w:vertAlign w:val="subscript"/>
                      </w:rPr>
                    </m:ctrlP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, gdyż jony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bSup>
      </m:oMath>
      <w:r>
        <w:rPr>
          <w:rFonts w:eastAsiaTheme="minorEastAsia"/>
        </w:rPr>
        <w:t xml:space="preserve"> i</w:t>
      </w:r>
      <m:oMath>
        <m:r>
          <w:rPr>
            <w:rFonts w:ascii="Cambria Math" w:eastAsiaTheme="minorEastAsia" w:hAnsi="Cambria Math"/>
          </w:rPr>
          <m:t xml:space="preserve"> 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  <m:sup>
            <m:r>
              <w:rPr>
                <w:rFonts w:ascii="Cambria Math" w:eastAsiaTheme="minorEastAsia" w:hAnsi="Cambria Math"/>
              </w:rPr>
              <m:t>3-</m:t>
            </m:r>
          </m:sup>
        </m:sSubSup>
      </m:oMath>
      <w:r>
        <w:rPr>
          <w:rFonts w:eastAsiaTheme="minorEastAsia"/>
        </w:rPr>
        <w:t xml:space="preserve"> nie mogą razem istnieć. Oczywiście, którą z soli otrzymamy zależy od proporcji stechiometrycznych użytych reagentów. Użycie jednego ekwiwalentu amoniaku na kwas fosforowy powoduje otrzymanie soli mono amonowej:</w:t>
      </w:r>
    </w:p>
    <w:p w:rsidR="00F601D6" w:rsidRPr="00A1060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Natomiast dwóch ekwiwalentów (i powyżej) amoniaku na kwas fosforowy powoduje otrzymanie </w:t>
      </w:r>
      <w:proofErr w:type="spellStart"/>
      <w:r>
        <w:rPr>
          <w:rFonts w:eastAsiaTheme="minorEastAsia"/>
        </w:rPr>
        <w:t>diamonosoli</w:t>
      </w:r>
      <w:proofErr w:type="spellEnd"/>
      <w:r>
        <w:rPr>
          <w:rFonts w:eastAsiaTheme="minorEastAsia"/>
        </w:rPr>
        <w:t>: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Użycie większej ilości amoniaku nie prowadzi do utworzenia </w:t>
      </w:r>
      <w:proofErr w:type="spellStart"/>
      <w:r>
        <w:rPr>
          <w:rFonts w:eastAsiaTheme="minorEastAsia"/>
        </w:rPr>
        <w:t>triamonosoli</w:t>
      </w:r>
      <w:proofErr w:type="spellEnd"/>
      <w:r>
        <w:rPr>
          <w:rFonts w:eastAsiaTheme="minorEastAsia"/>
        </w:rPr>
        <w:t xml:space="preserve">, bo związek ten nie może istnieć – amoniak jest zbyt słabą zasadą, aby urwać ten ostatni proton. Dodanie większej ilości, powyżej dwóch ekwiwalentów, amoniaku prowadzi do otrzymania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oraz nieprzereagowanego amoniaku.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Chcąc oszacować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wodorosoli uśredniamy ich zakresy występowania, np. dla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występuje pomiędzy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2.16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7.21, </w:t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więc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tej wodorosoli wynosi około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2.16+7.21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=4.685</m:t>
          </m:r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Natomiast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możemy oszacować uśredniając skrajne wartości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tej soli, a więc 7.21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9.25</w:t>
      </w:r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HP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7.21+9.25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=8.23</m:t>
          </m:r>
        </m:oMath>
      </m:oMathPara>
    </w:p>
    <w:p w:rsidR="00FE0920" w:rsidRDefault="00FE0920" w:rsidP="00FE0920">
      <w:pPr>
        <w:pStyle w:val="Nagwek1"/>
        <w:rPr>
          <w:rFonts w:eastAsiaTheme="minorEastAsia"/>
        </w:rPr>
      </w:pPr>
      <w:r>
        <w:rPr>
          <w:rFonts w:eastAsiaTheme="minorEastAsia"/>
        </w:rPr>
        <w:t>Ułamek molowy danej formy - wzór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Wzór na ułamek molowy danej formy kwasowej, zdefiniowany, jako stosunek stężenia danej formy kwasu do sumarycznego stężenia wszystkich form, w których ten kwas występuje zależny jest tylko od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roztworu, a nie od stężenia kwasu. Możemy ten wzór wyprowadzić, zapisując wyrażenie na ułamek molowy np. dla jonu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</w:p>
    <w:p w:rsidR="00F601D6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calk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]+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HP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2-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+[P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3-</m:t>
                      </m:r>
                    </m:sup>
                  </m:sSubSup>
                </m:e>
              </m:d>
            </m:den>
          </m:f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Dla analizowanego kwasu wyrażenia na stałe trwałości mają postać:</w:t>
      </w:r>
    </w:p>
    <w:p w:rsidR="00F601D6" w:rsidRPr="00FD2ABF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den>
          </m:f>
        </m:oMath>
      </m:oMathPara>
    </w:p>
    <w:p w:rsidR="00F601D6" w:rsidRPr="00FD2ABF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den>
          </m:f>
        </m:oMath>
      </m:oMathPara>
    </w:p>
    <w:p w:rsidR="00F601D6" w:rsidRDefault="00F601D6" w:rsidP="00F601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</m:den>
          </m:f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Wykorzystując je, możemy stężenia poszczególnych form kwasu uzależnić od jednej z form kwasu (najłatwiej jest uzależnić od całkowicie </w:t>
      </w:r>
      <w:proofErr w:type="spellStart"/>
      <w:r>
        <w:rPr>
          <w:rFonts w:eastAsiaTheme="minorEastAsia"/>
        </w:rPr>
        <w:t>protonowanej</w:t>
      </w:r>
      <w:proofErr w:type="spellEnd"/>
      <w:r>
        <w:rPr>
          <w:rFonts w:eastAsiaTheme="minorEastAsia"/>
        </w:rPr>
        <w:t xml:space="preserve"> lub </w:t>
      </w:r>
      <w:proofErr w:type="spellStart"/>
      <w:r>
        <w:rPr>
          <w:rFonts w:eastAsiaTheme="minorEastAsia"/>
        </w:rPr>
        <w:t>deprotonowanej</w:t>
      </w:r>
      <w:proofErr w:type="spellEnd"/>
      <w:r>
        <w:rPr>
          <w:rFonts w:eastAsiaTheme="minorEastAsia"/>
        </w:rPr>
        <w:t xml:space="preserve"> formy – w analizowanym wypadku jest to</w:t>
      </w:r>
      <w:proofErr w:type="gramStart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)oraz</w:t>
      </w:r>
      <w:proofErr w:type="gramEnd"/>
      <w:r>
        <w:rPr>
          <w:rFonts w:eastAsiaTheme="minorEastAsia"/>
        </w:rPr>
        <w:t xml:space="preserve"> stężenia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i kolejnych stałych dysocjacji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>:</w:t>
      </w:r>
    </w:p>
    <w:p w:rsidR="00F601D6" w:rsidRPr="00FD2ABF" w:rsidRDefault="00466FE4" w:rsidP="00F601D6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</w:rPr>
                <m:t>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</m:oMath>
      </m:oMathPara>
    </w:p>
    <w:p w:rsidR="00F601D6" w:rsidRDefault="00F601D6" w:rsidP="00F601D6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green"/>
                </w:rPr>
                <m:t>HP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green"/>
                    </w:rPr>
                    <m:t>2-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F601D6" w:rsidRDefault="00F601D6" w:rsidP="00F601D6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cyan"/>
                </w:rPr>
                <m:t>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cyan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cyan"/>
                    </w:rPr>
                    <m:t>3-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a3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HP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highlight w:val="green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2-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a3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>Uzyskane wyrażenia wstawiamy do wzoru na ułamek molowy:</w:t>
      </w:r>
    </w:p>
    <w:p w:rsidR="00F601D6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-</m:t>
                      </m:r>
                    </m:sup>
                  </m:sSubSup>
                </m:e>
              </m:d>
            </m:num>
            <m:den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[H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-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begChr m:val="[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HP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highlight w:val="green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2-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highlight w:val="green"/>
                    </w:rPr>
                    <m:t>]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highlight w:val="cyan"/>
                    </w:rPr>
                    <m:t>[P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highlight w:val="cyan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3-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a1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den>
              </m:f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a1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4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+</m:t>
                          </m:r>
                        </m:sup>
                      </m:sSup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a1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a2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gree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gree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green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green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gree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green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green"/>
                            </w:rPr>
                            <m:t>4</m:t>
                          </m:r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green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green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highlight w:val="gree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highlight w:val="green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highlight w:val="green"/>
                                </w:rPr>
                                <m:t>+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cya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a1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cya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a2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cya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a3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cy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cy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cyan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cyan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cy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cyan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cyan"/>
                            </w:rPr>
                            <m:t>4</m:t>
                          </m:r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cyan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cyan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highlight w:val="cya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highlight w:val="cyan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highlight w:val="cyan"/>
                                </w:rPr>
                                <m:t>+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highlight w:val="cyan"/>
                        </w:rPr>
                        <m:t>3</m:t>
                      </m:r>
                    </m:sup>
                  </m:sSup>
                </m:den>
              </m:f>
            </m:den>
          </m:f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Tutaj skracamy stężenie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e>
        </m:d>
      </m:oMath>
      <w:r>
        <w:rPr>
          <w:rFonts w:eastAsiaTheme="minorEastAsia"/>
        </w:rPr>
        <w:t>:</w:t>
      </w:r>
    </w:p>
    <w:p w:rsidR="00F601D6" w:rsidRDefault="00466FE4" w:rsidP="00F601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a1</m:t>
                      </m:r>
                    </m:sub>
                  </m:sSub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a1</m:t>
                      </m:r>
                    </m:sub>
                  </m:sSub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a2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a3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den>
          </m:f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Z wyprowadzonego wzoru można wysnuć wniosek, iż ułamek molowy danej formy kwasu zależy tylko od stężenia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w roztworze i oczywiście wartości stałych dysocjacji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>, natomiast zupełnie nie zależy od stężenia jonów danego kwasu. Mając ułamek molowy możemy obliczyć stężenie jonów, jako iloczyn tego ułamka i stężenia całkowitego kwasu:</w:t>
      </w:r>
    </w:p>
    <w:p w:rsidR="00F601D6" w:rsidRDefault="00466FE4" w:rsidP="00F601D6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calk</m:t>
              </m:r>
            </m:sup>
          </m:sSubSup>
        </m:oMath>
      </m:oMathPara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Zależności te umożliwiają obliczenie stężenia dowolnej formy </w:t>
      </w:r>
      <w:proofErr w:type="spellStart"/>
      <w:r>
        <w:rPr>
          <w:rFonts w:eastAsiaTheme="minorEastAsia"/>
        </w:rPr>
        <w:t>protonowania</w:t>
      </w:r>
      <w:proofErr w:type="spellEnd"/>
      <w:r>
        <w:rPr>
          <w:rFonts w:eastAsiaTheme="minorEastAsia"/>
        </w:rPr>
        <w:t xml:space="preserve"> kwasu mając ustalone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. </w:t>
      </w:r>
    </w:p>
    <w:p w:rsidR="00F601D6" w:rsidRDefault="00F601D6" w:rsidP="00F601D6">
      <w:pPr>
        <w:rPr>
          <w:rFonts w:eastAsiaTheme="minorEastAsia"/>
        </w:rPr>
      </w:pPr>
      <w:r>
        <w:rPr>
          <w:rFonts w:eastAsiaTheme="minorEastAsia"/>
        </w:rPr>
        <w:t xml:space="preserve">Łącząc wyprowadzone wzory związane z stężeniem i ułamkiem molowym oraz bilansem ładunku jonów można rozwiązać w zasadzie ogólne zadanie z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>. Zabieg ten jest szczególnie stosowany przez olimpiadę chemiczną oraz inne konkursy.</w:t>
      </w:r>
    </w:p>
    <w:p w:rsidR="005C132D" w:rsidRPr="00F601D6" w:rsidRDefault="005C132D" w:rsidP="00F601D6"/>
    <w:sectPr w:rsidR="005C132D" w:rsidRPr="00F601D6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58732D"/>
    <w:multiLevelType w:val="hybridMultilevel"/>
    <w:tmpl w:val="B506232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8B39B3"/>
    <w:multiLevelType w:val="multilevel"/>
    <w:tmpl w:val="710AFDE2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4AB71D38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D0561"/>
    <w:multiLevelType w:val="multilevel"/>
    <w:tmpl w:val="21A62380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720739AF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A597A"/>
    <w:rsid w:val="00094616"/>
    <w:rsid w:val="000C77E5"/>
    <w:rsid w:val="00296F1F"/>
    <w:rsid w:val="00307CF8"/>
    <w:rsid w:val="00400B30"/>
    <w:rsid w:val="00406F56"/>
    <w:rsid w:val="00466FE4"/>
    <w:rsid w:val="004B3AE5"/>
    <w:rsid w:val="005C132D"/>
    <w:rsid w:val="007412E4"/>
    <w:rsid w:val="009A4939"/>
    <w:rsid w:val="009A597A"/>
    <w:rsid w:val="00A02340"/>
    <w:rsid w:val="00B44447"/>
    <w:rsid w:val="00BB3551"/>
    <w:rsid w:val="00BC4EE7"/>
    <w:rsid w:val="00BC5BC1"/>
    <w:rsid w:val="00BD0651"/>
    <w:rsid w:val="00BD3B12"/>
    <w:rsid w:val="00CC7AB3"/>
    <w:rsid w:val="00D01804"/>
    <w:rsid w:val="00D27BD2"/>
    <w:rsid w:val="00D71EFA"/>
    <w:rsid w:val="00F601D6"/>
    <w:rsid w:val="00FE0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A597A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A59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597A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styleId="Tekstzastpczy">
    <w:name w:val="Placeholder Text"/>
    <w:basedOn w:val="Domylnaczcionkaakapitu"/>
    <w:uiPriority w:val="99"/>
    <w:semiHidden/>
    <w:rsid w:val="009A597A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A5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A597A"/>
    <w:rPr>
      <w:rFonts w:ascii="Tahoma" w:hAnsi="Tahoma" w:cs="Tahoma"/>
      <w:kern w:val="0"/>
      <w:sz w:val="16"/>
      <w:szCs w:val="16"/>
    </w:rPr>
  </w:style>
  <w:style w:type="table" w:styleId="Tabela-Siatka">
    <w:name w:val="Table Grid"/>
    <w:basedOn w:val="Standardowy"/>
    <w:uiPriority w:val="59"/>
    <w:rsid w:val="009A597A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9A597A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9A597A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9A597A"/>
    <w:rPr>
      <w:color w:val="800080" w:themeColor="followed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9A5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A597A"/>
    <w:rPr>
      <w:kern w:val="0"/>
    </w:rPr>
  </w:style>
  <w:style w:type="paragraph" w:styleId="Stopka">
    <w:name w:val="footer"/>
    <w:basedOn w:val="Normalny"/>
    <w:link w:val="StopkaZnak"/>
    <w:uiPriority w:val="99"/>
    <w:semiHidden/>
    <w:unhideWhenUsed/>
    <w:rsid w:val="009A5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9A597A"/>
    <w:rPr>
      <w:kern w:val="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A597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A597A"/>
    <w:rPr>
      <w:kern w:val="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A597A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9A597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A597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A597A"/>
    <w:rPr>
      <w:kern w:val="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A597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A597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5054</Words>
  <Characters>30326</Characters>
  <Application>Microsoft Office Word</Application>
  <DocSecurity>0</DocSecurity>
  <Lines>252</Lines>
  <Paragraphs>70</Paragraphs>
  <ScaleCrop>false</ScaleCrop>
  <Company>Office07</Company>
  <LinksUpToDate>false</LinksUpToDate>
  <CharactersWithSpaces>35310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2025-07-31T15:07:00Z</dcterms:created>
  <dcterms:modified xsi:type="dcterms:W3CDTF">2025-07-31T20:55:00Z</dcterms:modified>
</cp:coreProperties>
</file>