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4447" w:rsidRDefault="00B44447" w:rsidP="00CD36D7">
      <w:pPr>
        <w:pStyle w:val="Nagwek1"/>
        <w:rPr>
          <w:rFonts w:eastAsiaTheme="minorEastAsia"/>
        </w:rPr>
      </w:pPr>
      <w:r>
        <w:rPr>
          <w:rFonts w:eastAsiaTheme="minorEastAsia"/>
        </w:rPr>
        <w:t>Sprzężone pary kwas – zasada:</w:t>
      </w:r>
    </w:p>
    <w:p w:rsidR="00B44447" w:rsidRPr="00575140" w:rsidRDefault="00B44447" w:rsidP="00B44447">
      <w:pPr>
        <w:rPr>
          <w:rFonts w:eastAsiaTheme="minorEastAsia"/>
        </w:rPr>
      </w:pPr>
      <w:r>
        <w:rPr>
          <w:rFonts w:eastAsiaTheme="minorEastAsia"/>
        </w:rPr>
        <w:t>W teorii Brønsteada sprzężoną parą kwas zasada nazywamy dwie drobiny, które różnią się dokładnie jednym protonem. Kwas ma proton więcej, a zasada proton mniej, jeżeli napiszemy wyrażenia na stałą dysocjacji kwasowej i zasadowej odpowiednio sprzężonego kwasu i zasady dostajemy:</w:t>
      </w:r>
    </w:p>
    <w:p w:rsidR="00B44447" w:rsidRPr="00E242A3" w:rsidRDefault="00B44447" w:rsidP="00B444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HA⇄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HA</m:t>
                  </m:r>
                </m:e>
              </m:d>
            </m:den>
          </m:f>
        </m:oMath>
      </m:oMathPara>
    </w:p>
    <w:p w:rsidR="00B44447" w:rsidRPr="00E242A3" w:rsidRDefault="001E5D05" w:rsidP="00B44447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O⇄HA+O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HA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den>
          </m:f>
        </m:oMath>
      </m:oMathPara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Magia stanie się po wymnożeniu tych dwóch wyrażeń przez siebie, następuje wówczas skrócenie stężenia </w:t>
      </w:r>
      <w:r w:rsidRPr="00060ABF">
        <w:rPr>
          <w:rFonts w:eastAsiaTheme="minorEastAsia"/>
          <w:i/>
        </w:rPr>
        <w:t>HA</w:t>
      </w:r>
      <w:r>
        <w:rPr>
          <w:rFonts w:eastAsiaTheme="minorEastAsia"/>
        </w:rPr>
        <w:t xml:space="preserve">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</w:p>
    <w:p w:rsidR="00B44447" w:rsidRDefault="001E5D05" w:rsidP="00B4444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HA</m:t>
              </m:r>
            </m:sup>
          </m:sSubSup>
          <m:r>
            <w:rPr>
              <w:rFonts w:ascii="Cambria Math" w:eastAsiaTheme="minorEastAsia" w:hAnsi="Cambria Math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HA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HA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</m:oMath>
      </m:oMathPara>
    </w:p>
    <w:p w:rsidR="00B44447" w:rsidRDefault="001E5D05" w:rsidP="00B44447">
      <w:pPr>
        <w:rPr>
          <w:rFonts w:eastAsiaTheme="minorEastAsia"/>
          <w:b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HA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  <m:sup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W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T=25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=1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>Z prawa działań na logarytmach wiem, że</w:t>
      </w:r>
    </w:p>
    <w:p w:rsidR="00B44447" w:rsidRDefault="001E5D05" w:rsidP="00B4444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func>
        </m:oMath>
      </m:oMathPara>
    </w:p>
    <w:p w:rsidR="00B44447" w:rsidRDefault="001E5D05" w:rsidP="00B4444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a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b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func>
        </m:oMath>
      </m:oMathPara>
    </w:p>
    <w:p w:rsidR="00B44447" w:rsidRDefault="00B44447" w:rsidP="00B44447">
      <w:pPr>
        <w:rPr>
          <w:rFonts w:eastAsiaTheme="minorEastAsia"/>
          <w:b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yellow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highlight w:val="cyan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cyan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cyan"/>
                    </w:rPr>
                    <m:t>b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magenta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magent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magenta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magenta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magenta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magenta"/>
                    </w:rPr>
                    <m:t>w</m:t>
                  </m:r>
                </m:sub>
              </m:sSub>
            </m:e>
          </m:func>
        </m:oMath>
      </m:oMathPara>
    </w:p>
    <w:p w:rsidR="00B44447" w:rsidRPr="00EC4B72" w:rsidRDefault="00B44447" w:rsidP="00B44447">
      <w:pPr>
        <w:rPr>
          <w:rFonts w:eastAsiaTheme="minorEastAsia"/>
          <w:b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b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highlight w:val="cyan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cya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cyan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cyan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highlight w:val="magenta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magenta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magenta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magenta"/>
                </w:rPr>
                <m:t>w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T=25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=14</m:t>
          </m:r>
        </m:oMath>
      </m:oMathPara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>Można z tych zależności wysnuć następujący wniosek:</w:t>
      </w:r>
    </w:p>
    <w:p w:rsidR="00B44447" w:rsidRDefault="00B44447" w:rsidP="00B44447">
      <w:pPr>
        <w:rPr>
          <w:rFonts w:eastAsiaTheme="minorEastAsia"/>
          <w:b/>
        </w:rPr>
      </w:pPr>
      <w:r>
        <w:rPr>
          <w:rFonts w:eastAsiaTheme="minorEastAsia"/>
          <w:b/>
        </w:rPr>
        <w:t xml:space="preserve">Znając wartość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vertAlign w:val="subscript"/>
              </w:rPr>
              <m:t>a</m:t>
            </m:r>
            <m:ctrlPr>
              <w:rPr>
                <w:rFonts w:ascii="Cambria Math" w:eastAsiaTheme="minorEastAsia" w:hAnsi="Cambria Math"/>
                <w:b/>
                <w:i/>
                <w:vertAlign w:val="subscript"/>
              </w:rPr>
            </m:ctrlPr>
          </m:sub>
        </m:sSub>
      </m:oMath>
      <w:r>
        <w:rPr>
          <w:rFonts w:eastAsiaTheme="minorEastAsia"/>
          <w:b/>
        </w:rPr>
        <w:t xml:space="preserve"> sprzężonego kwasu znamy również </w:t>
      </w:r>
      <w:proofErr w:type="gramStart"/>
      <w:r>
        <w:rPr>
          <w:rFonts w:eastAsiaTheme="minorEastAsia"/>
          <w:b/>
        </w:rPr>
        <w:t xml:space="preserve">wartość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vertAlign w:val="subscript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  <m:ctrlPr>
              <w:rPr>
                <w:rFonts w:ascii="Cambria Math" w:eastAsiaTheme="minorEastAsia" w:hAnsi="Cambria Math"/>
                <w:b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vertAlign w:val="subscript"/>
              </w:rPr>
              <m:t>b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vertAlign w:val="subscript"/>
          </w:rPr>
          <m:t xml:space="preserve"> </m:t>
        </m:r>
      </m:oMath>
      <w:r>
        <w:rPr>
          <w:rFonts w:eastAsiaTheme="minorEastAsia"/>
          <w:b/>
        </w:rPr>
        <w:t xml:space="preserve"> sprzężonej</w:t>
      </w:r>
      <w:proofErr w:type="gramEnd"/>
      <w:r>
        <w:rPr>
          <w:rFonts w:eastAsiaTheme="minorEastAsia"/>
          <w:b/>
        </w:rPr>
        <w:t xml:space="preserve"> zasady i odwrotnie, pod warunkiem, że znamy wartość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W</m:t>
            </m:r>
          </m:sub>
        </m:sSub>
      </m:oMath>
      <w:r>
        <w:rPr>
          <w:rFonts w:eastAsiaTheme="minorEastAsia"/>
          <w:b/>
        </w:rPr>
        <w:t xml:space="preserve"> (lub wiemy, że temperatura wynosi 25</w:t>
      </w:r>
      <w:r>
        <w:rPr>
          <w:rFonts w:eastAsiaTheme="minorEastAsia"/>
          <w:b/>
        </w:rPr>
        <w:sym w:font="Symbol" w:char="F0B0"/>
      </w:r>
      <w:r>
        <w:rPr>
          <w:rFonts w:eastAsiaTheme="minorEastAsia"/>
          <w:b/>
        </w:rPr>
        <w:t>C).</w:t>
      </w:r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Jak wcześniej wspomniano granicą pomiędzy mocnym i słabym kwasem jest </w:t>
      </w:r>
      <w:proofErr w:type="gramStart"/>
      <w:r>
        <w:rPr>
          <w:rFonts w:eastAsiaTheme="minorEastAsia"/>
        </w:rPr>
        <w:t>wartość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. </w:t>
      </w:r>
      <w:proofErr w:type="gramEnd"/>
      <w:r>
        <w:rPr>
          <w:rFonts w:eastAsiaTheme="minorEastAsia"/>
        </w:rPr>
        <w:t>Sprzężona zasada wówczas zgodne z wzorem</w:t>
      </w:r>
    </w:p>
    <w:p w:rsidR="00B44447" w:rsidRDefault="001E5D05" w:rsidP="00B444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B44447" w:rsidRPr="00A5733C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Analogicznie dla drugiej wartości granicznej pomiędzy słabym kwasem i </w:t>
      </w:r>
      <w:proofErr w:type="spellStart"/>
      <w:r>
        <w:rPr>
          <w:rFonts w:eastAsiaTheme="minorEastAsia"/>
        </w:rPr>
        <w:t>niekwasem</w:t>
      </w:r>
      <w:proofErr w:type="spellEnd"/>
      <w:r>
        <w:rPr>
          <w:rFonts w:eastAsiaTheme="minorEastAsia"/>
        </w:rPr>
        <w:t xml:space="preserve"> – wartości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-14</m:t>
            </m:r>
          </m:sup>
        </m:sSup>
      </m:oMath>
      <w:r>
        <w:rPr>
          <w:rFonts w:eastAsiaTheme="minorEastAsia"/>
        </w:rPr>
        <w:t xml:space="preserve">obliczona wartość stałej dysocjacji zasadowej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wynosi 1.Można z tego wywnioskować, iż dla silnych kwasów sprzężone są </w:t>
      </w:r>
      <w:proofErr w:type="spellStart"/>
      <w:r>
        <w:rPr>
          <w:rFonts w:eastAsiaTheme="minorEastAsia"/>
        </w:rPr>
        <w:t>niezasady</w:t>
      </w:r>
      <w:proofErr w:type="spellEnd"/>
      <w:r>
        <w:rPr>
          <w:rFonts w:eastAsiaTheme="minorEastAsia"/>
        </w:rPr>
        <w:t xml:space="preserve"> (tzn. drobiny będące sprzężonymi zasadami do silnych kwasów nie mają właściwości zasadowych w wodzie – nie hydrolizują z utworzeniem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. Analogicznie do słabych kwasów (hydrolizujących odwracalnie) sprzężone są słabe zasady (również zachodzi wtedy reakcja odwracalna). Natomiast do niekwasów – substancji, które nie odszczepiają swojego wodoru (np. etanol – jak wiemy nie jest on kwaśny w smaku, wódka czysta nie jest kwaśna, nie licząc jakiś wynalazków, jak cytrynówka) – sprzężone są silne zasady, które dysocjują lub hydrolizują całkowicie z utworzeniem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>. Można to przedstawić na grafie:</w:t>
      </w:r>
    </w:p>
    <w:p w:rsidR="00B44447" w:rsidRPr="005E775A" w:rsidRDefault="00B44447" w:rsidP="00B44447">
      <w:pPr>
        <w:rPr>
          <w:rFonts w:eastAsiaTheme="minorEastAsia"/>
        </w:rPr>
      </w:pPr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3336333"/>
            <wp:effectExtent l="1905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6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Czyli do mocnych kwasów sprzężone są </w:t>
      </w:r>
      <w:proofErr w:type="spellStart"/>
      <w:r>
        <w:rPr>
          <w:rFonts w:eastAsiaTheme="minorEastAsia"/>
        </w:rPr>
        <w:t>niezasady</w:t>
      </w:r>
      <w:proofErr w:type="spellEnd"/>
      <w:r>
        <w:rPr>
          <w:rFonts w:eastAsiaTheme="minorEastAsia"/>
        </w:rPr>
        <w:t>, do słabych kwasów słabe zasady (a nie mocne zasady, co jest bardzo często powtarzanym błędem!!!!),</w:t>
      </w: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 do </w:t>
      </w:r>
      <w:proofErr w:type="spellStart"/>
      <w:r>
        <w:rPr>
          <w:rFonts w:eastAsiaTheme="minorEastAsia"/>
        </w:rPr>
        <w:t>niekwasów</w:t>
      </w:r>
      <w:proofErr w:type="spellEnd"/>
      <w:r>
        <w:rPr>
          <w:rFonts w:eastAsiaTheme="minorEastAsia"/>
        </w:rPr>
        <w:t xml:space="preserve"> mocne zasady!!. Oczywiście im mocniejszy kwas tym słabsza sprzężona zasada, ale nie można powiedzieć, że do słabych kwasów są mocne zasady sprzężone!!!!</w:t>
      </w:r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Reakcje samorzutne spełniają regułę zegara na tym grafie, czyli reakcja powinna przebiegać jak zegarek, np. dodając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 xml:space="preserve"> do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to zajdzie reakcja:</w:t>
      </w:r>
    </w:p>
    <w:p w:rsidR="00B44447" w:rsidRDefault="00B44447" w:rsidP="00B444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HCl+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+HF</m:t>
          </m:r>
        </m:oMath>
      </m:oMathPara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2951002"/>
            <wp:effectExtent l="19050" t="0" r="0" b="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1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Natomiast w drugą stronę reakcja nie zajdzie, kwas </w:t>
      </w:r>
      <m:oMath>
        <m:r>
          <w:rPr>
            <w:rFonts w:ascii="Cambria Math" w:eastAsiaTheme="minorEastAsia" w:hAnsi="Cambria Math"/>
          </w:rPr>
          <m:t>HF</m:t>
        </m:r>
      </m:oMath>
      <w:r>
        <w:rPr>
          <w:rFonts w:eastAsiaTheme="minorEastAsia"/>
        </w:rPr>
        <w:t xml:space="preserve"> jest słabszym kwasem niż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 xml:space="preserve"> przez niezgodność z regułą zegarową. (zegarek musiałby iść w drugą </w:t>
      </w:r>
      <w:proofErr w:type="gramStart"/>
      <w:r>
        <w:rPr>
          <w:rFonts w:eastAsiaTheme="minorEastAsia"/>
        </w:rPr>
        <w:t>stronę co</w:t>
      </w:r>
      <w:proofErr w:type="gramEnd"/>
      <w:r>
        <w:rPr>
          <w:rFonts w:eastAsiaTheme="minorEastAsia"/>
        </w:rPr>
        <w:t xml:space="preserve"> jest niemożliwe). Oczywiście w myśl teorii Brønsteada każda reakcja musi zachodzić w myśl schematu:</w:t>
      </w:r>
    </w:p>
    <w:p w:rsidR="00B44447" w:rsidRDefault="00B44447" w:rsidP="00B44447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yellow"/>
            </w:rPr>
            <m:t>kwa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highlight w:val="green"/>
            </w:rPr>
            <m:t>zasad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  <w:highlight w:val="green"/>
            </w:rPr>
            <m:t>kwa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highlight w:val="yellow"/>
            </w:rPr>
            <m:t>zasad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</m:sSub>
        </m:oMath>
      </m:oMathPara>
    </w:p>
    <w:p w:rsidR="00B44447" w:rsidRDefault="00B44447" w:rsidP="00B4444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HCl+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→HF+C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samorzutna</w:t>
      </w:r>
      <w:proofErr w:type="gramEnd"/>
      <w:r>
        <w:rPr>
          <w:rFonts w:eastAsiaTheme="minorEastAsia"/>
        </w:rPr>
        <w:t>, bo zgodna z kierunkiem zegara.</w:t>
      </w:r>
    </w:p>
    <w:p w:rsidR="00B44447" w:rsidRPr="00310789" w:rsidRDefault="00B44447" w:rsidP="00B4444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HF+C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→HCl+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niesamorzutna (</w:t>
      </w:r>
      <w:proofErr w:type="gramStart"/>
      <w:r>
        <w:rPr>
          <w:rFonts w:eastAsiaTheme="minorEastAsia"/>
        </w:rPr>
        <w:t>niemożliwa) bo</w:t>
      </w:r>
      <w:proofErr w:type="gramEnd"/>
      <w:r>
        <w:rPr>
          <w:rFonts w:eastAsiaTheme="minorEastAsia"/>
        </w:rPr>
        <w:t xml:space="preserve"> niezgodna z ruchem wskaówek zegara.</w:t>
      </w:r>
    </w:p>
    <w:p w:rsidR="00B44447" w:rsidRPr="00310789" w:rsidRDefault="00B44447" w:rsidP="00B44447">
      <w:pPr>
        <w:rPr>
          <w:rFonts w:eastAsiaTheme="minorEastAsia"/>
        </w:rPr>
      </w:pPr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2692453"/>
            <wp:effectExtent l="19050" t="0" r="0" b="0"/>
            <wp:docPr id="4167437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2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4447" w:rsidRDefault="00B44447" w:rsidP="00B44447">
      <w:pPr>
        <w:rPr>
          <w:rFonts w:eastAsiaTheme="minorEastAsia"/>
          <w:b/>
        </w:rPr>
      </w:pPr>
      <w:r w:rsidRPr="00060ABF">
        <w:rPr>
          <w:rFonts w:eastAsiaTheme="minorEastAsia"/>
          <w:b/>
        </w:rPr>
        <w:t xml:space="preserve">Ogólnie rozwiązując zadania z tematu </w:t>
      </w:r>
      <m:oMath>
        <m:r>
          <m:rPr>
            <m:sty m:val="bi"/>
          </m:rPr>
          <w:rPr>
            <w:rFonts w:ascii="Cambria Math" w:eastAsiaTheme="minorEastAsia" w:hAnsi="Cambria Math"/>
          </w:rPr>
          <m:t>pH</m:t>
        </m:r>
      </m:oMath>
      <w:r w:rsidRPr="00060ABF">
        <w:rPr>
          <w:rFonts w:eastAsiaTheme="minorEastAsia"/>
          <w:b/>
        </w:rPr>
        <w:t xml:space="preserve"> wpierw rozważamy dysocjacje wszystkich mocnych </w:t>
      </w:r>
      <w:proofErr w:type="gramStart"/>
      <w:r w:rsidRPr="00060ABF">
        <w:rPr>
          <w:rFonts w:eastAsiaTheme="minorEastAsia"/>
          <w:b/>
        </w:rPr>
        <w:t>elektrolitów (jakie</w:t>
      </w:r>
      <w:proofErr w:type="gramEnd"/>
      <w:r w:rsidRPr="00060ABF">
        <w:rPr>
          <w:rFonts w:eastAsiaTheme="minorEastAsia"/>
          <w:b/>
        </w:rPr>
        <w:t xml:space="preserve"> jony są obecne w roztworze początkowo), ewentualną reakcje między powstałymi drobinami (czy jony reagują ze sobą) i na końcu hydrolizę tych drobin (czy zachodzi hydroliza powstałych drobin, będącymi słabymi kwasami bądź zasadami).</w:t>
      </w:r>
    </w:p>
    <w:p w:rsidR="00CD36D7" w:rsidRPr="00060ABF" w:rsidRDefault="00CD36D7" w:rsidP="00CD36D7">
      <w:pPr>
        <w:pStyle w:val="Nagwek1"/>
        <w:rPr>
          <w:rFonts w:eastAsiaTheme="minorEastAsia"/>
        </w:rPr>
      </w:pPr>
      <w:r>
        <w:rPr>
          <w:rFonts w:eastAsiaTheme="minorEastAsia"/>
        </w:rPr>
        <w:t>Przykład zadania</w:t>
      </w:r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Czyli np. Oblicz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0.1 molowego </w:t>
      </w:r>
      <w:proofErr w:type="gramStart"/>
      <w:r>
        <w:rPr>
          <w:rFonts w:eastAsiaTheme="minorEastAsia"/>
        </w:rPr>
        <w:t xml:space="preserve">roztworu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; </w:t>
      </w:r>
      <w:proofErr w:type="gramEnd"/>
      <w:r>
        <w:rPr>
          <w:rFonts w:eastAsiaTheme="minorEastAsia"/>
        </w:rPr>
        <w:t>T=25C</w:t>
      </w:r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Dla soli wpierw rozważam </w:t>
      </w:r>
      <w:proofErr w:type="gramStart"/>
      <w:r w:rsidRPr="003674E6">
        <w:rPr>
          <w:rFonts w:eastAsiaTheme="minorEastAsia"/>
          <w:b/>
        </w:rPr>
        <w:t>dysocjacj</w:t>
      </w:r>
      <w:r>
        <w:rPr>
          <w:rFonts w:eastAsiaTheme="minorEastAsia"/>
          <w:b/>
        </w:rPr>
        <w:t>ę</w:t>
      </w:r>
      <w:r>
        <w:rPr>
          <w:rFonts w:eastAsiaTheme="minorEastAsia"/>
        </w:rPr>
        <w:t xml:space="preserve"> czyli</w:t>
      </w:r>
      <w:proofErr w:type="gramEnd"/>
      <w:r>
        <w:rPr>
          <w:rFonts w:eastAsiaTheme="minorEastAsia"/>
        </w:rPr>
        <w:t xml:space="preserve"> jej rozpad na jony. Jest to sól dobrze rozpuszczalna, a więc dysocjuje całkowicie, reakcji pomiędzy powstałymi jonami dla tego przykładu mieć nie będę, gdyż jony pochodzą z jednej soli, a potem rozważam </w:t>
      </w:r>
      <w:proofErr w:type="gramStart"/>
      <w:r w:rsidRPr="003674E6">
        <w:rPr>
          <w:rFonts w:eastAsiaTheme="minorEastAsia"/>
          <w:b/>
        </w:rPr>
        <w:t>hydroliz</w:t>
      </w:r>
      <w:r>
        <w:rPr>
          <w:rFonts w:eastAsiaTheme="minorEastAsia"/>
          <w:b/>
        </w:rPr>
        <w:t>ę</w:t>
      </w:r>
      <w:r>
        <w:rPr>
          <w:rFonts w:eastAsiaTheme="minorEastAsia"/>
        </w:rPr>
        <w:t xml:space="preserve"> czyli</w:t>
      </w:r>
      <w:proofErr w:type="gramEnd"/>
      <w:r>
        <w:rPr>
          <w:rFonts w:eastAsiaTheme="minorEastAsia"/>
        </w:rPr>
        <w:t xml:space="preserve"> reakcję powstałych jonów z wodą zmieniająca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(o ile jest, odwracalna czy nieodwracalna zależy od mocy tego co uzyskałem)</w:t>
      </w:r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Ogólnie dla soli wpierw rozważam dysocjacje </w:t>
      </w:r>
      <w:proofErr w:type="gramStart"/>
      <w:r>
        <w:rPr>
          <w:rFonts w:eastAsiaTheme="minorEastAsia"/>
        </w:rPr>
        <w:t>soli (czyli</w:t>
      </w:r>
      <w:proofErr w:type="gramEnd"/>
      <w:r>
        <w:rPr>
          <w:rFonts w:eastAsiaTheme="minorEastAsia"/>
        </w:rPr>
        <w:t xml:space="preserve"> rozpad na jony), a dopiero potem hydrolizę</w:t>
      </w:r>
    </w:p>
    <w:p w:rsidR="00B44447" w:rsidRDefault="001E5D05" w:rsidP="00B444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  <w:highlight w:val="cyan"/>
            </w:rPr>
            <m:t>2</m:t>
          </m:r>
          <m:r>
            <w:rPr>
              <w:rFonts w:ascii="Cambria Math" w:eastAsiaTheme="minorEastAsia" w:hAnsi="Cambria Math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+S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</m:oMath>
      </m:oMathPara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Dla uproszczenia obliczeń często zakłada się, że jon </w:t>
      </w:r>
      <m:oMath>
        <m:r>
          <w:rPr>
            <w:rFonts w:ascii="Cambria Math" w:eastAsiaTheme="minorEastAsia" w:hAnsi="Cambria Math"/>
          </w:rPr>
          <m:t>S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 nie hydrolizuje, mimo, że w sprzężony kwas </w:t>
      </w:r>
      <m:oMath>
        <m:r>
          <w:rPr>
            <w:rFonts w:ascii="Cambria Math" w:eastAsiaTheme="minorEastAsia" w:hAnsi="Cambria Math"/>
          </w:rPr>
          <m:t>HS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w tablicach jest na granicy mocnego i słabego kwasu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HS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bSup>
          </m:sup>
        </m:sSubSup>
        <m:r>
          <w:rPr>
            <w:rFonts w:ascii="Cambria Math" w:eastAsiaTheme="minorEastAsia" w:hAnsi="Cambria Math"/>
          </w:rPr>
          <m:t>=1.02*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. Jon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</m:oMath>
      <w:r>
        <w:rPr>
          <w:rFonts w:eastAsiaTheme="minorEastAsia"/>
        </w:rPr>
        <w:t xml:space="preserve"> jest słabym kwasem, gdyż jest sprzężonym do słabej zasady, jaką jest amoniak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>=1.78*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-5</m:t>
            </m: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tym samym hydrolizuje odwracalnie w myśl równania:</w:t>
      </w:r>
    </w:p>
    <w:p w:rsidR="00B44447" w:rsidRPr="00E26BDC" w:rsidRDefault="00B44447" w:rsidP="00B44447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w:lastRenderedPageBreak/>
            <m:t xml:space="preserve"> </m:t>
          </m:r>
          <m:r>
            <w:rPr>
              <w:rFonts w:ascii="Cambria Math" w:eastAsiaTheme="minorEastAsia" w:hAnsi="Cambria Math"/>
              <w:highlight w:val="green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green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highlight w:val="green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>Niewątpliwie zachodząca hydroliza jest hydrolizą kwasową, bo powstają jony</w:t>
      </w:r>
      <w:proofErr w:type="gramStart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,więc</w:t>
      </w:r>
      <w:proofErr w:type="gramEnd"/>
      <w:r>
        <w:rPr>
          <w:rFonts w:eastAsiaTheme="minorEastAsia"/>
        </w:rPr>
        <w:t xml:space="preserve"> potrzebuje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, w tablicach mogę znaleźć tylko wśród stałych kwasowych i zasadowych stałą dysocjacji zasadowej amoniaku,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sup>
        </m:sSubSup>
      </m:oMath>
      <w:r>
        <w:rPr>
          <w:rFonts w:eastAsiaTheme="minorEastAsia"/>
        </w:rPr>
        <w:t xml:space="preserve">, a nie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bSup>
          </m:sup>
        </m:sSubSup>
      </m:oMath>
      <w:r>
        <w:rPr>
          <w:rFonts w:eastAsiaTheme="minorEastAsia"/>
        </w:rPr>
        <w:t xml:space="preserve">. Z uwagi na to, że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</m:oMath>
      <w:r>
        <w:rPr>
          <w:rFonts w:eastAsiaTheme="minorEastAsia"/>
        </w:rPr>
        <w:t xml:space="preserve"> są sprzężonymi parami kwas – zasada mogę uzależnić je od siebie, w myśl prawa:</w:t>
      </w:r>
    </w:p>
    <w:p w:rsidR="00B44447" w:rsidRDefault="001E5D05" w:rsidP="00B4444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zas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kwas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</m:oMath>
      </m:oMathPara>
    </w:p>
    <w:p w:rsidR="00B44447" w:rsidRPr="00E26BDC" w:rsidRDefault="001E5D05" w:rsidP="00B4444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</m:oMath>
      </m:oMathPara>
    </w:p>
    <w:p w:rsidR="00B44447" w:rsidRPr="00E26BDC" w:rsidRDefault="00B44447" w:rsidP="00B444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1.78*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B44447" w:rsidRDefault="001E5D05" w:rsidP="00B4444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=0.562*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</m:oMath>
      </m:oMathPara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Mając odpowiednią stałą dysocjacji kwasowej rozwiązuje klasycznie zadanie z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>.</w:t>
      </w:r>
    </w:p>
    <w:p w:rsidR="00B44447" w:rsidRPr="00060ABF" w:rsidRDefault="00B44447" w:rsidP="00B44447">
      <w:pPr>
        <w:rPr>
          <w:rFonts w:eastAsiaTheme="minorEastAsia"/>
          <w:vertAlign w:val="superscript"/>
        </w:rPr>
      </w:pPr>
      <w:r>
        <w:rPr>
          <w:rFonts w:eastAsiaTheme="minorEastAsia"/>
        </w:rPr>
        <w:t xml:space="preserve">Czy mam jedno </w:t>
      </w:r>
      <w:proofErr w:type="spellStart"/>
      <w:r>
        <w:rPr>
          <w:rFonts w:eastAsiaTheme="minorEastAsia"/>
        </w:rPr>
        <w:t>zródło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ascii="Cambria" w:eastAsiaTheme="minorEastAsia" w:hAnsi="Cambria"/>
        </w:rPr>
        <w:t>→</w:t>
      </w:r>
      <w:r>
        <w:rPr>
          <w:rFonts w:eastAsiaTheme="minorEastAsia"/>
        </w:rPr>
        <w:t xml:space="preserve">TAK (nie mam innej reakcji, w której zmieniają mi się stężenia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  <w:proofErr w:type="gramEnd"/>
      </m:oMath>
    </w:p>
    <w:p w:rsidR="00B44447" w:rsidRDefault="00B44447" w:rsidP="00B44447">
      <w:pPr>
        <w:rPr>
          <w:rFonts w:eastAsiaTheme="minorEastAsia"/>
        </w:rPr>
      </w:pPr>
      <w:r w:rsidRPr="00363F63">
        <w:rPr>
          <w:rFonts w:eastAsiaTheme="minorEastAsia"/>
        </w:rPr>
        <w:t>Kolej</w:t>
      </w:r>
      <w:r>
        <w:rPr>
          <w:rFonts w:eastAsiaTheme="minorEastAsia"/>
        </w:rPr>
        <w:t xml:space="preserve">no rozważam możliwość stosowania wzoru uproszczonego, o stopniu dysocjacji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nic nie wiem, ale mogę sprawdzić warunek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</m:t>
        </m:r>
      </m:oMath>
      <w:r>
        <w:rPr>
          <w:rFonts w:eastAsiaTheme="minorEastAsia"/>
        </w:rPr>
        <w:t>.</w:t>
      </w:r>
    </w:p>
    <w:p w:rsidR="00B44447" w:rsidRPr="00DF62CA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Do sprawdzenia tego warunku potrzebuję stężenia początkowego drobiny hydrolizującej i w tym wypadku nie jest ona równa stężeniu soli, gdyż rozważam hydrolizę jonu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</m:oMath>
      <w:r>
        <w:rPr>
          <w:rFonts w:eastAsiaTheme="minorEastAsia"/>
        </w:rPr>
        <w:t>. Jego stężenie jest oczywiście dwukrotnością stężenia soli:</w:t>
      </w:r>
    </w:p>
    <w:p w:rsidR="00B44447" w:rsidRDefault="001E5D05" w:rsidP="00B4444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green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highlight w:val="green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green"/>
                    </w:rPr>
                    <m:t>+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cyan"/>
            </w:rPr>
            <m:t>2</m:t>
          </m:r>
          <m:r>
            <w:rPr>
              <w:rFonts w:ascii="Cambria Math" w:eastAsiaTheme="minorEastAsia" w:hAnsi="Cambria Math"/>
            </w:rPr>
            <m:t>*0.1=0.2</m:t>
          </m:r>
        </m:oMath>
      </m:oMathPara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>I dopiero to stężenie używam do dalszych obliczeń:</w:t>
      </w:r>
    </w:p>
    <w:p w:rsidR="00B44447" w:rsidRDefault="001E5D05" w:rsidP="00B4444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&gt;400???→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0.1*</m:t>
              </m:r>
              <m:r>
                <w:rPr>
                  <w:rFonts w:ascii="Cambria Math" w:eastAsiaTheme="minorEastAsia" w:hAnsi="Cambria Math"/>
                  <w:highlight w:val="cyan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0.562*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&gt;400</m:t>
          </m:r>
        </m:oMath>
      </m:oMathPara>
    </w:p>
    <w:p w:rsidR="00B44447" w:rsidRPr="00E26BDC" w:rsidRDefault="00B44447" w:rsidP="00B44447">
      <w:pPr>
        <w:rPr>
          <w:rFonts w:eastAsiaTheme="minorEastAsia"/>
        </w:rPr>
      </w:pPr>
      <w:r>
        <w:rPr>
          <w:rFonts w:eastAsiaTheme="minorEastAsia"/>
        </w:rPr>
        <w:t>Czyli mogę używać wzoru uproszczonego:</w:t>
      </w:r>
    </w:p>
    <w:p w:rsidR="00B44447" w:rsidRDefault="001E5D05" w:rsidP="00B444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:rsidR="00B44447" w:rsidRPr="00E26BDC" w:rsidRDefault="00B44447" w:rsidP="00B44447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green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highlight w:val="green"/>
                </w:rPr>
                <m:t>N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  <w:highlight w:val="green"/>
                    </w:rPr>
                    <m:t>+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cyan"/>
            </w:rPr>
            <m:t>2</m:t>
          </m:r>
          <m:r>
            <w:rPr>
              <w:rFonts w:ascii="Cambria Math" w:eastAsiaTheme="minorEastAsia" w:hAnsi="Cambria Math"/>
            </w:rPr>
            <m:t>*0.1=0.2</m:t>
          </m:r>
        </m:oMath>
      </m:oMathPara>
    </w:p>
    <w:p w:rsidR="00B44447" w:rsidRPr="00E26BDC" w:rsidRDefault="001E5D05" w:rsidP="00B44447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0.562*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-9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*0.2</m:t>
              </m:r>
            </m:e>
          </m:rad>
          <m:r>
            <w:rPr>
              <w:rFonts w:ascii="Cambria Math" w:eastAsiaTheme="minorEastAsia" w:hAnsi="Cambria Math"/>
            </w:rPr>
            <m:t>=1.06*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B44447" w:rsidRDefault="00B44447" w:rsidP="00B444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1.06*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-5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=4.975</m:t>
          </m:r>
        </m:oMath>
      </m:oMathPara>
    </w:p>
    <w:p w:rsidR="00B44447" w:rsidRDefault="00B44447" w:rsidP="00B44447">
      <w:pPr>
        <w:rPr>
          <w:rFonts w:eastAsiaTheme="minorEastAsia"/>
          <w:b/>
          <w:i/>
        </w:rPr>
      </w:pPr>
      <w:proofErr w:type="gramStart"/>
      <w:r>
        <w:rPr>
          <w:rFonts w:eastAsiaTheme="minorEastAsia"/>
        </w:rPr>
        <w:t>Stwierdzono że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roztworu azydku sodu=8.35. Ile gramów azydku sodu </w:t>
      </w:r>
      <m:oMath>
        <m:r>
          <w:rPr>
            <w:rFonts w:ascii="Cambria Math" w:eastAsiaTheme="minorEastAsia" w:hAnsi="Cambria Math"/>
          </w:rPr>
          <m:t>Na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znaduje się w 150ml roztworu i jakie jest stężenie niezdysocjowanego </w:t>
      </w:r>
      <m:oMath>
        <m:r>
          <w:rPr>
            <w:rFonts w:ascii="Cambria Math" w:eastAsiaTheme="minorEastAsia" w:hAnsi="Cambria Math"/>
          </w:rPr>
          <m:t>H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  <w:b/>
          <w:i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H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ctrlPr>
              <w:rPr>
                <w:rFonts w:ascii="Cambria Math" w:eastAsiaTheme="minorEastAsia" w:hAnsi="Cambria Math"/>
                <w:b/>
                <w:i/>
              </w:rPr>
            </m:ctrlPr>
          </m:sup>
        </m:sSubSup>
        <m:r>
          <m:rPr>
            <m:sty m:val="bi"/>
          </m:rP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4.3</m:t>
        </m:r>
      </m:oMath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Rozważając hydrolizę zadanej soli w roztworze mamy jony </w:t>
      </w:r>
      <m:oMath>
        <m:r>
          <w:rPr>
            <w:rFonts w:ascii="Cambria Math" w:eastAsiaTheme="minorEastAsia" w:hAnsi="Cambria Math"/>
          </w:rPr>
          <m:t>Na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→N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.Jon </w:t>
      </w:r>
      <m:oMath>
        <m:r>
          <w:rPr>
            <w:rFonts w:ascii="Cambria Math" w:eastAsiaTheme="minorEastAsia" w:hAnsi="Cambria Math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wywodzi się z mocnej zasady (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), więc nie hydrolizuje. Jon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wywodzi się z słabego kwasu, zachowuje się jak słaba zasada w myśl równania:</w:t>
      </w:r>
    </w:p>
    <w:p w:rsidR="00B44447" w:rsidRDefault="001E5D05" w:rsidP="00B44447">
      <w:pPr>
        <w:rPr>
          <w:rFonts w:eastAsiaTheme="minorEastAsia"/>
          <w:i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O⇄H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B44447" w:rsidRPr="0078445C" w:rsidRDefault="00B44447" w:rsidP="00B44447">
      <w:pPr>
        <w:rPr>
          <w:rFonts w:eastAsiaTheme="minorEastAsia"/>
        </w:rPr>
      </w:pPr>
      <w:r>
        <w:rPr>
          <w:rFonts w:eastAsiaTheme="minorEastAsia"/>
        </w:rPr>
        <w:t>Jest to niewątpliwie hydroliza zasadowa, potrzebujemy jej stałej, natomiast mamy poda</w:t>
      </w:r>
    </w:p>
    <w:p w:rsidR="00B44447" w:rsidRPr="00446C89" w:rsidRDefault="00B44447" w:rsidP="00B444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=4.7</m:t>
          </m:r>
        </m:oMath>
      </m:oMathPara>
    </w:p>
    <w:p w:rsidR="00B44447" w:rsidRDefault="001E5D05" w:rsidP="00B4444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-4.7</m:t>
              </m:r>
            </m:sup>
          </m:sSup>
          <m:r>
            <w:rPr>
              <w:rFonts w:ascii="Cambria Math" w:eastAsiaTheme="minorEastAsia" w:hAnsi="Cambria Math"/>
            </w:rPr>
            <m:t>=2*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B44447" w:rsidRPr="00FA5E57" w:rsidRDefault="001E5D05" w:rsidP="00B4444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B44447" w:rsidRPr="00FA5E57" w:rsidRDefault="00B44447" w:rsidP="00B444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B44447" w:rsidRPr="00FA5E57" w:rsidRDefault="001E5D05" w:rsidP="00B4444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sup>
          </m:sSubSup>
          <m:r>
            <w:rPr>
              <w:rFonts w:ascii="Cambria Math" w:eastAsiaTheme="minorEastAsia" w:hAnsi="Cambria Math"/>
            </w:rPr>
            <m:t>=0.5*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</m:oMath>
      </m:oMathPara>
    </w:p>
    <w:p w:rsidR="00B44447" w:rsidRPr="00F614C7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Zadanie rozwiązujemy jak klasyczne zadanie z hydrolizy słabej zasady. Mając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możemy obliczyć stężenie jonów </w:t>
      </w:r>
      <w:r w:rsidRPr="00F614C7">
        <w:rPr>
          <w:rFonts w:eastAsiaTheme="minorEastAsia"/>
          <w:b/>
          <w:i/>
        </w:rPr>
        <w:t>OH</w:t>
      </w:r>
      <w:r w:rsidRPr="00F614C7">
        <w:rPr>
          <w:rFonts w:eastAsiaTheme="minorEastAsia"/>
          <w:b/>
          <w:i/>
          <w:vertAlign w:val="superscript"/>
        </w:rPr>
        <w:t>-</w:t>
      </w:r>
      <w:r>
        <w:rPr>
          <w:rFonts w:eastAsiaTheme="minorEastAsia"/>
        </w:rPr>
        <w:t>.</w:t>
      </w:r>
    </w:p>
    <w:p w:rsidR="00B44447" w:rsidRPr="00921F92" w:rsidRDefault="00B44447" w:rsidP="00B444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pH=8.35→pOH=14-8.35=5.65→O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-5.65</m:t>
              </m:r>
            </m:sup>
          </m:sSup>
          <m:r>
            <w:rPr>
              <w:rFonts w:ascii="Cambria Math" w:eastAsiaTheme="minorEastAsia" w:hAnsi="Cambria Math"/>
            </w:rPr>
            <m:t>=2.24*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</m:oMath>
      </m:oMathPara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>Sprawdzamy możliwość zastosowania jednego z „typowych” wzorów:</w:t>
      </w:r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Czy jedno źródło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: TAK, jest nim reakcja </w:t>
      </w:r>
      <w:proofErr w:type="gramStart"/>
      <w:r>
        <w:rPr>
          <w:rFonts w:eastAsiaTheme="minorEastAsia"/>
        </w:rPr>
        <w:t xml:space="preserve">hydrolizy 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O⇄H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w:proofErr w:type="gramEnd"/>
      </m:oMath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Czy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&gt;400?</m:t>
        </m:r>
      </m:oMath>
      <w:r>
        <w:rPr>
          <w:rFonts w:eastAsiaTheme="minorEastAsia"/>
        </w:rPr>
        <w:t xml:space="preserve">  nic nie powiemy, bo nie mamy stężenia początkowego, ani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, więc </w:t>
      </w:r>
      <w:proofErr w:type="gramStart"/>
      <w:r>
        <w:rPr>
          <w:rFonts w:eastAsiaTheme="minorEastAsia"/>
        </w:rPr>
        <w:t>musimy czyli</w:t>
      </w:r>
      <w:proofErr w:type="gramEnd"/>
      <w:r>
        <w:rPr>
          <w:rFonts w:eastAsiaTheme="minorEastAsia"/>
        </w:rPr>
        <w:t xml:space="preserve"> stosować „pełniejsze” wzory:</w:t>
      </w:r>
    </w:p>
    <w:p w:rsidR="00B44447" w:rsidRPr="00FA5E57" w:rsidRDefault="001E5D05" w:rsidP="00B444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den>
          </m:f>
        </m:oMath>
      </m:oMathPara>
    </w:p>
    <w:p w:rsidR="00B44447" w:rsidRPr="00055ECA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Ten wzór wydaje się spoko, bo posiadamy </w:t>
      </w:r>
      <w:proofErr w:type="gramStart"/>
      <w:r>
        <w:rPr>
          <w:rFonts w:eastAsiaTheme="minorEastAsia"/>
        </w:rPr>
        <w:t xml:space="preserve">zarówno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jaki</w:t>
      </w:r>
      <w:proofErr w:type="gramEnd"/>
      <w:r>
        <w:rPr>
          <w:rFonts w:eastAsiaTheme="minorEastAsia"/>
        </w:rPr>
        <w:t xml:space="preserve"> i mam</w:t>
      </w:r>
      <m:oMath>
        <m:r>
          <w:rPr>
            <w:rFonts w:ascii="Cambria Math" w:eastAsiaTheme="minorEastAsia" w:hAnsi="Cambria Math"/>
          </w:rPr>
          <m:t xml:space="preserve"> 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>. Wstawiając dane dostajemy:</w:t>
      </w:r>
    </w:p>
    <w:p w:rsidR="00B44447" w:rsidRDefault="00B44447" w:rsidP="00B444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-9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(2.24*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-6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-2.24*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</m:den>
          </m:f>
        </m:oMath>
      </m:oMathPara>
    </w:p>
    <w:p w:rsidR="00B44447" w:rsidRDefault="001E5D05" w:rsidP="00B444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=0.01</m:t>
          </m:r>
        </m:oMath>
      </m:oMathPara>
    </w:p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>Mając stężenie początkowe i objętość podaną w zadaniu mogę powiedzieć, ile mam moli związku, a tego mogę obliczyć masę molową.</w:t>
      </w:r>
    </w:p>
    <w:p w:rsidR="00B44447" w:rsidRDefault="00B44447" w:rsidP="00B444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n=cV=0.01*0.15=0.0015→m=nM</m:t>
          </m:r>
        </m:oMath>
      </m:oMathPara>
    </w:p>
    <w:p w:rsidR="00B44447" w:rsidRPr="00EB760A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Pozostaje obliczyć stężenie niezdysocjowanego jonu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>. Najłatwiej jest to zrobić tabelką.</w:t>
      </w:r>
    </w:p>
    <w:p w:rsidR="00B44447" w:rsidRPr="00921F92" w:rsidRDefault="001E5D05" w:rsidP="00B4444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O⇄H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B44447" w:rsidTr="00204A97"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B44447" w:rsidRDefault="001E5D05" w:rsidP="00204A97">
            <w:pPr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bSup>
              </m:oMath>
            </m:oMathPara>
          </w:p>
        </w:tc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B44447" w:rsidTr="00204A97"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</m:t>
                </m:r>
              </m:oMath>
            </m:oMathPara>
          </w:p>
        </w:tc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B44447" w:rsidTr="00204A97"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B44447" w:rsidTr="00204A97"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0.01-x</m:t>
                </m:r>
              </m:oMath>
            </m:oMathPara>
          </w:p>
        </w:tc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2303" w:type="dxa"/>
          </w:tcPr>
          <w:p w:rsidR="00B44447" w:rsidRDefault="00B44447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x=2.24*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sup>
                </m:sSup>
              </m:oMath>
            </m:oMathPara>
          </w:p>
        </w:tc>
      </w:tr>
    </w:tbl>
    <w:p w:rsidR="00B44447" w:rsidRDefault="00B44447" w:rsidP="00B44447">
      <w:pPr>
        <w:rPr>
          <w:rFonts w:eastAsiaTheme="minorEastAsia"/>
        </w:rPr>
      </w:pPr>
      <w:r>
        <w:rPr>
          <w:rFonts w:eastAsiaTheme="minorEastAsia"/>
        </w:rPr>
        <w:t xml:space="preserve">Mając dane stężenie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widzimy, iż wartość ta jest równa stężeniu zdysocjowanego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. Stężenie niezdysocjowanego możemy </w:t>
      </w:r>
      <w:proofErr w:type="gramStart"/>
      <w:r>
        <w:rPr>
          <w:rFonts w:eastAsiaTheme="minorEastAsia"/>
        </w:rPr>
        <w:t>obliczyć jako</w:t>
      </w:r>
      <w:proofErr w:type="gramEnd"/>
    </w:p>
    <w:p w:rsidR="00B44447" w:rsidRPr="00EB760A" w:rsidRDefault="001E5D05" w:rsidP="00B4444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=0.01-2.24*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=0.01</m:t>
          </m:r>
        </m:oMath>
      </m:oMathPara>
    </w:p>
    <w:p w:rsidR="005C132D" w:rsidRPr="00B44447" w:rsidRDefault="005C132D" w:rsidP="00B44447"/>
    <w:sectPr w:rsidR="005C132D" w:rsidRPr="00B44447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58732D"/>
    <w:multiLevelType w:val="hybridMultilevel"/>
    <w:tmpl w:val="B506232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8B39B3"/>
    <w:multiLevelType w:val="multilevel"/>
    <w:tmpl w:val="710AFDE2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4AB71D38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D0561"/>
    <w:multiLevelType w:val="multilevel"/>
    <w:tmpl w:val="21A62380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720739AF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A597A"/>
    <w:rsid w:val="00094616"/>
    <w:rsid w:val="001E5D05"/>
    <w:rsid w:val="00296F1F"/>
    <w:rsid w:val="00307CF8"/>
    <w:rsid w:val="00400B30"/>
    <w:rsid w:val="00406F56"/>
    <w:rsid w:val="004B3AE5"/>
    <w:rsid w:val="005C132D"/>
    <w:rsid w:val="007412E4"/>
    <w:rsid w:val="009A4939"/>
    <w:rsid w:val="009A597A"/>
    <w:rsid w:val="00A02340"/>
    <w:rsid w:val="00B44447"/>
    <w:rsid w:val="00BB3551"/>
    <w:rsid w:val="00BC4EE7"/>
    <w:rsid w:val="00BC5BC1"/>
    <w:rsid w:val="00BD3B12"/>
    <w:rsid w:val="00CC7AB3"/>
    <w:rsid w:val="00CD36D7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A597A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A59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597A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styleId="Tekstzastpczy">
    <w:name w:val="Placeholder Text"/>
    <w:basedOn w:val="Domylnaczcionkaakapitu"/>
    <w:uiPriority w:val="99"/>
    <w:semiHidden/>
    <w:rsid w:val="009A597A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A5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A597A"/>
    <w:rPr>
      <w:rFonts w:ascii="Tahoma" w:hAnsi="Tahoma" w:cs="Tahoma"/>
      <w:kern w:val="0"/>
      <w:sz w:val="16"/>
      <w:szCs w:val="16"/>
    </w:rPr>
  </w:style>
  <w:style w:type="table" w:styleId="Tabela-Siatka">
    <w:name w:val="Table Grid"/>
    <w:basedOn w:val="Standardowy"/>
    <w:uiPriority w:val="59"/>
    <w:rsid w:val="009A597A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9A597A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9A597A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9A597A"/>
    <w:rPr>
      <w:color w:val="800080" w:themeColor="followed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9A5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A597A"/>
    <w:rPr>
      <w:kern w:val="0"/>
    </w:rPr>
  </w:style>
  <w:style w:type="paragraph" w:styleId="Stopka">
    <w:name w:val="footer"/>
    <w:basedOn w:val="Normalny"/>
    <w:link w:val="StopkaZnak"/>
    <w:uiPriority w:val="99"/>
    <w:semiHidden/>
    <w:unhideWhenUsed/>
    <w:rsid w:val="009A5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9A597A"/>
    <w:rPr>
      <w:kern w:val="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A597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A597A"/>
    <w:rPr>
      <w:kern w:val="0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A597A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9A597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A597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A597A"/>
    <w:rPr>
      <w:kern w:val="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A597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A597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1141</Words>
  <Characters>6846</Characters>
  <Application>Microsoft Office Word</Application>
  <DocSecurity>0</DocSecurity>
  <Lines>57</Lines>
  <Paragraphs>15</Paragraphs>
  <ScaleCrop>false</ScaleCrop>
  <Company>Office07</Company>
  <LinksUpToDate>false</LinksUpToDate>
  <CharactersWithSpaces>7972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2025-07-31T15:05:00Z</dcterms:created>
  <dcterms:modified xsi:type="dcterms:W3CDTF">2025-07-31T20:29:00Z</dcterms:modified>
</cp:coreProperties>
</file>