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ECE" w:rsidRPr="002D5761" w:rsidRDefault="00342ECE" w:rsidP="00342ECE">
      <w:pPr>
        <w:pStyle w:val="Nagwek1"/>
        <w:rPr>
          <w:rFonts w:eastAsiaTheme="minorEastAsia"/>
        </w:rPr>
      </w:pPr>
      <w:r w:rsidRPr="002D5761">
        <w:rPr>
          <w:rFonts w:eastAsiaTheme="minorEastAsia"/>
        </w:rPr>
        <w:t>Zapis skrócony ogniwa w konwecji sztokholmskiej</w:t>
      </w:r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>Zapis ten został wprowadzony z uwagi na lenistwo, aby nie było potrzeby rysowania za każdym razem schematu ogniwa. W zapisie tym wprowadza się następujące oznaczenia:</w:t>
      </w:r>
    </w:p>
    <w:p w:rsidR="00342ECE" w:rsidRDefault="00342ECE" w:rsidP="00342ECE">
      <w:pPr>
        <w:rPr>
          <w:rFonts w:eastAsiaTheme="minorEastAsia"/>
        </w:rPr>
      </w:pPr>
      <w:proofErr w:type="gramStart"/>
      <w:r w:rsidRPr="002D5761">
        <w:rPr>
          <w:rFonts w:eastAsiaTheme="minorEastAsia"/>
          <w:b/>
        </w:rPr>
        <w:t>|</w:t>
      </w:r>
      <w:r>
        <w:rPr>
          <w:rFonts w:eastAsiaTheme="minorEastAsia"/>
        </w:rPr>
        <w:t xml:space="preserve"> -  granica</w:t>
      </w:r>
      <w:proofErr w:type="gramEnd"/>
      <w:r>
        <w:rPr>
          <w:rFonts w:eastAsiaTheme="minorEastAsia"/>
        </w:rPr>
        <w:t xml:space="preserve"> faz (stanów skupienia), granica roztworów</w:t>
      </w:r>
    </w:p>
    <w:p w:rsidR="00342ECE" w:rsidRDefault="00342ECE" w:rsidP="00342ECE">
      <w:pPr>
        <w:rPr>
          <w:rFonts w:eastAsiaTheme="minorEastAsia"/>
          <w:b/>
        </w:rPr>
      </w:pPr>
      <w:r w:rsidRPr="002D5761">
        <w:rPr>
          <w:rFonts w:eastAsiaTheme="minorEastAsia"/>
          <w:b/>
        </w:rPr>
        <w:t>||</w:t>
      </w:r>
      <w:r>
        <w:rPr>
          <w:rFonts w:eastAsiaTheme="minorEastAsia"/>
        </w:rPr>
        <w:t xml:space="preserve">- klucz </w:t>
      </w:r>
      <w:proofErr w:type="gramStart"/>
      <w:r>
        <w:rPr>
          <w:rFonts w:eastAsiaTheme="minorEastAsia"/>
        </w:rPr>
        <w:t>elektrochemiczny w którym</w:t>
      </w:r>
      <w:proofErr w:type="gramEnd"/>
      <w:r>
        <w:rPr>
          <w:rFonts w:eastAsiaTheme="minorEastAsia"/>
        </w:rPr>
        <w:t xml:space="preserve"> nie znamy elektrolitu. Jeżeli znasz elektrolit to zapisujemy go pomiędzy kreskami pionowymi: </w:t>
      </w:r>
      <w:r w:rsidRPr="00697456">
        <w:rPr>
          <w:rFonts w:eastAsiaTheme="minorEastAsia"/>
          <w:b/>
        </w:rPr>
        <w:t>|elektrolit|</w:t>
      </w:r>
    </w:p>
    <w:p w:rsidR="00342ECE" w:rsidRPr="00666E6F" w:rsidRDefault="00342ECE" w:rsidP="00342ECE">
      <w:pPr>
        <w:rPr>
          <w:rFonts w:eastAsiaTheme="minorEastAsia"/>
        </w:rPr>
      </w:pPr>
      <w:r>
        <w:rPr>
          <w:rFonts w:eastAsiaTheme="minorEastAsia"/>
          <w:b/>
        </w:rPr>
        <w:t>, -</w:t>
      </w:r>
      <w:r>
        <w:rPr>
          <w:rFonts w:eastAsiaTheme="minorEastAsia"/>
        </w:rPr>
        <w:t>związki po przecinku są w jednej fazie (w praktyce roztwór –jony w jednym roztworze bądź stop metali)</w:t>
      </w:r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 xml:space="preserve"> Ogniwo piszemy od zawsze anody do katody, nijako startując z blaszki i będąc jonem przemieszczającym się do katody</w:t>
      </w:r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740739" cy="1285336"/>
            <wp:effectExtent l="19050" t="0" r="0" b="0"/>
            <wp:wrapSquare wrapText="bothSides"/>
            <wp:docPr id="77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739" cy="1285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Theme="minorEastAsia"/>
        </w:rPr>
        <w:br w:type="textWrapping" w:clear="all"/>
      </w:r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 xml:space="preserve">Widzimy, iż blaszka niklowa jest anodą (ma niższy potencjał), natomiast blaszka bizmutowa jest katodą. Startując od blaszki niklowej i chcąc się dostać do katody poruszamy się przez roztwory w następującej kolejności: na początku jesteśmy blaszką niklową, potem stajemy się jonem </w:t>
      </w:r>
      <m:oMath>
        <m:r>
          <w:rPr>
            <w:rFonts w:ascii="Cambria Math" w:eastAsiaTheme="minorEastAsia" w:hAnsi="Cambria Math"/>
          </w:rPr>
          <m:t>N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 w roztworze po stronie anody. Jon oczywiście jest w innej fazie niż blaszka, co zaznaczam stawiając symbol | pomiędzy nimi. Kolejno muszę przejść przez klucz elektrochemiczny o nieznanej substancji rozpuszczonej, co zaznaczam przy użyciu ||. Następnie muszę dostać się do roztworu katodowego – gdzie staję się jonem bizmutu </w:t>
      </w:r>
      <m:oMath>
        <m:r>
          <w:rPr>
            <w:rFonts w:ascii="Cambria Math" w:eastAsiaTheme="minorEastAsia" w:hAnsi="Cambria Math"/>
          </w:rPr>
          <m:t>B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3+</m:t>
            </m:r>
          </m:sup>
        </m:sSup>
      </m:oMath>
      <w:r>
        <w:rPr>
          <w:rFonts w:eastAsiaTheme="minorEastAsia"/>
        </w:rPr>
        <w:t>, który kolejno osadza się na blaszce zbudowanej z bizmutu. Stawiam między jonem metalu i blaszką symbol</w:t>
      </w:r>
      <w:proofErr w:type="gramStart"/>
      <w:r>
        <w:rPr>
          <w:rFonts w:eastAsiaTheme="minorEastAsia"/>
        </w:rPr>
        <w:t xml:space="preserve"> |,gdyż</w:t>
      </w:r>
      <w:proofErr w:type="gramEnd"/>
      <w:r>
        <w:rPr>
          <w:rFonts w:eastAsiaTheme="minorEastAsia"/>
        </w:rPr>
        <w:t xml:space="preserve"> znajdują się one w innej fazie. Opcjonalnie zaznaczam gdzie jest katoda i anoda, wraz z ładunkami. Postać w konwecji sztokholmskiej wygląda następująco:</w:t>
      </w:r>
    </w:p>
    <w:p w:rsidR="00342ECE" w:rsidRDefault="00342ECE" w:rsidP="00342E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</m:e>
          </m:d>
          <m:r>
            <w:rPr>
              <w:rFonts w:ascii="Cambria Math" w:eastAsiaTheme="minorEastAsia" w:hAnsi="Cambria Math"/>
            </w:rPr>
            <m:t xml:space="preserve">   Ni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Bi    K (+)</m:t>
          </m:r>
        </m:oMath>
      </m:oMathPara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 xml:space="preserve">Przypadku występowania gazów, ciał stałych czy inne rzeczy, które reagują w reakcji połówkowej należy je wszystkie wymienić z zaznaczeniem fazy, w której dana drobina występuje w półrównaniu. Dodatkową, nieoczywistą zasadą wymieniania jest, że </w:t>
      </w:r>
      <w:r>
        <w:rPr>
          <w:rFonts w:eastAsiaTheme="minorEastAsia"/>
          <w:b/>
        </w:rPr>
        <w:t>jony znajdujące się w roztworach</w:t>
      </w:r>
      <w:r w:rsidRPr="000B185D">
        <w:rPr>
          <w:rFonts w:eastAsiaTheme="minorEastAsia"/>
          <w:b/>
        </w:rPr>
        <w:t xml:space="preserve"> MUSZĄ </w:t>
      </w:r>
      <w:r>
        <w:rPr>
          <w:rFonts w:eastAsiaTheme="minorEastAsia"/>
          <w:b/>
        </w:rPr>
        <w:t>zostać zapisane</w:t>
      </w:r>
      <w:r w:rsidRPr="000B185D">
        <w:rPr>
          <w:rFonts w:eastAsiaTheme="minorEastAsia"/>
          <w:b/>
        </w:rPr>
        <w:t xml:space="preserve"> przy kluczu</w:t>
      </w:r>
      <w:r>
        <w:rPr>
          <w:rFonts w:eastAsiaTheme="minorEastAsia"/>
        </w:rPr>
        <w:t xml:space="preserve">, natomiast raczej oczywistą jest to, że anoda i katoda to blaszki, a więc należy je zapisać na początku i na końcu tegoż zapisu. Inaczej można powiedzieć, że przy wymienianiu roztwór elektrolitu musi sąsiadować z kluczem. </w:t>
      </w:r>
    </w:p>
    <w:p w:rsidR="00342ECE" w:rsidRDefault="00342ECE" w:rsidP="00342ECE">
      <w:pPr>
        <w:rPr>
          <w:rFonts w:eastAsiaTheme="minorEastAsia"/>
        </w:rPr>
      </w:pPr>
      <w:r w:rsidRPr="006C316A"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3074008" cy="1524863"/>
            <wp:effectExtent l="19050" t="0" r="0" b="0"/>
            <wp:docPr id="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073" cy="1524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>Kolejność wymieniania jonów znajdujących się w jednym roztworze nie ma znaczenia, powinny one być wymienione po przecinku. Blaszkę nieuczestniczącą w reakcji elektrodowej również należy wymienić, gdyż, mimo że nie bierze ona udziału w reakcji, doprowadza lub odbiera ona elektrony, a więc jest kluczowa z punktu widzenia budowy ogniwa. W związku, z czym w schemacie powyższego ogniwa blaszkę platynową musimy napisać o tyle, że ona, choć nie reaguje, to robi za dostawcę / odbiorcę elektronów. Zapis w konwencji sztokholmskiej przedstawionego ogniwa wygląda następująco:</w:t>
      </w:r>
    </w:p>
    <w:p w:rsidR="00342ECE" w:rsidRDefault="00342ECE" w:rsidP="00342E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to pierwsze bo blaszka</m:t>
              </m:r>
            </m:e>
          </m:d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AgCl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(a to musi sąsiadować z kluczem)|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Mn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,M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Pt</m:t>
          </m:r>
        </m:oMath>
      </m:oMathPara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 xml:space="preserve">Blaszkę platynową stosujemy, jako dogodne źródło elektronów, gdyż platyna jest </w:t>
      </w:r>
      <w:proofErr w:type="spellStart"/>
      <w:r>
        <w:rPr>
          <w:rFonts w:eastAsiaTheme="minorEastAsia"/>
        </w:rPr>
        <w:t>niereaktywna</w:t>
      </w:r>
      <w:proofErr w:type="spellEnd"/>
      <w:r>
        <w:rPr>
          <w:rFonts w:eastAsiaTheme="minorEastAsia"/>
        </w:rPr>
        <w:t>, a więc nie powinna roztworzyć się w roztworze</w:t>
      </w:r>
    </w:p>
    <w:p w:rsidR="00342ECE" w:rsidRPr="00006F2A" w:rsidRDefault="00342ECE" w:rsidP="00342E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Ag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AgCl</m:t>
              </m:r>
            </m:e>
          </m:d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||Mn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,M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|Pt</m:t>
          </m:r>
        </m:oMath>
      </m:oMathPara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drawing>
          <wp:inline distT="0" distB="0" distL="0" distR="0">
            <wp:extent cx="2859323" cy="1695387"/>
            <wp:effectExtent l="19050" t="0" r="0" b="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71" cy="16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>W przypadku półogniwa z reagentem gazowym możemy zastosować dwa zapisy, pierwszy przedstawia półogniwo, w którym wodór nie był całkowicie rozpuszczony w roztworze (tak jak na rysunku)</w:t>
      </w:r>
    </w:p>
    <w:p w:rsidR="00342ECE" w:rsidRDefault="00342ECE" w:rsidP="00342E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Pt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|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Ag </m:t>
          </m:r>
        </m:oMath>
      </m:oMathPara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>Natomiast drugi przedstawia sytuację, w którym wodór rozpuścił się całkowicie w roztworze; wydaje się, że matura woli ten „rozpuszczony” zapis.</w:t>
      </w:r>
    </w:p>
    <w:p w:rsidR="00342ECE" w:rsidRDefault="00342ECE" w:rsidP="00342E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Pt|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|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Ag </m:t>
          </m:r>
        </m:oMath>
      </m:oMathPara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 xml:space="preserve">W przypadku zastosowania ogniwa bez klucza elektrochemicznego, w którym mamy jeden roztwór zawierający jony uczestniczące w obu </w:t>
      </w:r>
      <w:proofErr w:type="spellStart"/>
      <w:r>
        <w:rPr>
          <w:rFonts w:eastAsiaTheme="minorEastAsia"/>
        </w:rPr>
        <w:t>półreakcjach</w:t>
      </w:r>
      <w:proofErr w:type="spellEnd"/>
      <w:r>
        <w:rPr>
          <w:rFonts w:eastAsiaTheme="minorEastAsia"/>
        </w:rPr>
        <w:t>, jak np. przedstawiono na schemacie:</w:t>
      </w:r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2805960" cy="1433015"/>
            <wp:effectExtent l="19050" t="0" r="0" b="0"/>
            <wp:docPr id="4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254" cy="1433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>Powinniśmy jony te zapisać po przecinku, bez symbolu ||, który symbolizuje klucz elektrochemiczny.. Kolejność zapisu jonów jest dowolna:</w:t>
      </w:r>
    </w:p>
    <w:p w:rsidR="00342ECE" w:rsidRDefault="00342ECE" w:rsidP="00342E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Pt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, A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|Ag </m:t>
          </m:r>
        </m:oMath>
      </m:oMathPara>
    </w:p>
    <w:p w:rsidR="001F0C69" w:rsidRDefault="001F0C69" w:rsidP="001F0C69">
      <w:pPr>
        <w:pStyle w:val="Nagwek1"/>
        <w:rPr>
          <w:rFonts w:eastAsiaTheme="minorEastAsia"/>
        </w:rPr>
      </w:pPr>
      <w:r>
        <w:rPr>
          <w:rFonts w:eastAsiaTheme="minorEastAsia"/>
        </w:rPr>
        <w:t xml:space="preserve">Odczyt z konwencji </w:t>
      </w:r>
      <w:proofErr w:type="spellStart"/>
      <w:r>
        <w:rPr>
          <w:rFonts w:eastAsiaTheme="minorEastAsia"/>
        </w:rPr>
        <w:t>sztockholmskiej</w:t>
      </w:r>
      <w:proofErr w:type="spellEnd"/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>Możemy mieć również potrzebę ustalenia półreakcji i reakcji elektrodowych mając schemat ogniwa zapisany w konwencji sztokholmskiej. Ogólna metoda ustalenia półreakcji polega na rozdzieleniu ogniwa na dwa półogniwa, kolejno użyciu reagentów z jednej strony klucza i ustaleniu na ich podstawie półreakcji redoks zachodzącej w danym półogniwie. Rozważmy półogniwo:</w:t>
      </w:r>
    </w:p>
    <w:p w:rsidR="00342ECE" w:rsidRPr="00006F2A" w:rsidRDefault="00342ECE" w:rsidP="00342E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Ag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AgCl</m:t>
              </m:r>
            </m:e>
          </m:d>
          <m:r>
            <w:rPr>
              <w:rFonts w:ascii="Cambria Math" w:eastAsiaTheme="minorEastAsia" w:hAnsi="Cambria Math"/>
            </w:rPr>
            <m:t>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||Mn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,M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|Pt</m:t>
          </m:r>
        </m:oMath>
      </m:oMathPara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>W tym wypadku omawiana metoda polega na zapisaniu półreakcji redoks, używając tych reagentów, które występują z lewej strony równania</w:t>
      </w:r>
      <w:proofErr w:type="gramStart"/>
      <w:r>
        <w:rPr>
          <w:rFonts w:eastAsiaTheme="minorEastAsia"/>
        </w:rPr>
        <w:t>:</w:t>
      </w:r>
      <m:oMath>
        <m:r>
          <w:rPr>
            <w:rFonts w:ascii="Cambria Math" w:eastAsiaTheme="minorEastAsia" w:hAnsi="Cambria Math"/>
          </w:rPr>
          <m:t>Ag;AgCl;C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</m:oMath>
      <w:r>
        <w:rPr>
          <w:rFonts w:eastAsiaTheme="minorEastAsia"/>
        </w:rPr>
        <w:t xml:space="preserve"> dla</w:t>
      </w:r>
      <w:proofErr w:type="gramEnd"/>
      <w:r>
        <w:rPr>
          <w:rFonts w:eastAsiaTheme="minorEastAsia"/>
        </w:rPr>
        <w:t xml:space="preserve"> lewego półogniwa (czyli anody, a więc reakcji utlenienia)</w:t>
      </w:r>
    </w:p>
    <w:p w:rsidR="00342ECE" w:rsidRDefault="00342ECE" w:rsidP="00342E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Ag+C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→AgCl+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</m:oMath>
      </m:oMathPara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 xml:space="preserve">I analogicznie dla prawej elektrody używamy reagentów znajdujących się z prawej trony od klucza: </w:t>
      </w:r>
      <m:oMath>
        <m:r>
          <w:rPr>
            <w:rFonts w:ascii="Cambria Math" w:eastAsiaTheme="minorEastAsia" w:hAnsi="Cambria Math"/>
          </w:rPr>
          <m:t>Mn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-</m:t>
            </m:r>
          </m:sup>
        </m:sSub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,M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</w:p>
    <w:p w:rsidR="00342ECE" w:rsidRPr="005B2A12" w:rsidRDefault="00342ECE" w:rsidP="00342E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→M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</m:oMath>
      </m:oMathPara>
    </w:p>
    <w:p w:rsidR="00342ECE" w:rsidRPr="005B2A12" w:rsidRDefault="00342ECE" w:rsidP="00342E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Mn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bSup>
          <m:r>
            <w:rPr>
              <w:rFonts w:ascii="Cambria Math" w:eastAsiaTheme="minorEastAsia" w:hAnsi="Cambria Math"/>
            </w:rPr>
            <m:t>+8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+5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→M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2+</m:t>
              </m:r>
            </m:sup>
          </m:sSup>
          <m:r>
            <w:rPr>
              <w:rFonts w:ascii="Cambria Math" w:eastAsiaTheme="minorEastAsia" w:hAnsi="Cambria Math"/>
            </w:rPr>
            <m:t>+ 4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 xml:space="preserve">Jest duża szansa, że te półreakcje znajdują się wymienione w tablicy potencjałów, a więc możemy je sprawdzić lub nawet odnaleźć zamiast </w:t>
      </w:r>
      <w:proofErr w:type="gramStart"/>
      <w:r>
        <w:rPr>
          <w:rFonts w:eastAsiaTheme="minorEastAsia"/>
        </w:rPr>
        <w:t>ustalać półreakcją</w:t>
      </w:r>
      <w:proofErr w:type="gramEnd"/>
      <w:r>
        <w:rPr>
          <w:rFonts w:eastAsiaTheme="minorEastAsia"/>
        </w:rPr>
        <w:t xml:space="preserve"> redoks.</w:t>
      </w:r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 xml:space="preserve">Po ustaleniu lub odnalezieniu półreakcji powinniśmy sprawdzić, czy rzeczywiście na anodzie jest utlenianie (inaczej dla półogniwa po lewej stronie elektrony powinny być po </w:t>
      </w:r>
      <w:proofErr w:type="gramStart"/>
      <w:r>
        <w:rPr>
          <w:rFonts w:eastAsiaTheme="minorEastAsia"/>
        </w:rPr>
        <w:t>prawej w półreakcji</w:t>
      </w:r>
      <w:proofErr w:type="gramEnd"/>
      <w:r>
        <w:rPr>
          <w:rFonts w:eastAsiaTheme="minorEastAsia"/>
        </w:rPr>
        <w:t>), a na katodzie redukcja (a dla półogniwa po prawej stronie elektrony powinny być po lewej), jeżeli jest inaczej to jedną lub obie półreakcje należy odwrócić, tak, aby kierunki się zgadzały.</w:t>
      </w:r>
    </w:p>
    <w:p w:rsidR="001F0C69" w:rsidRDefault="001F0C69" w:rsidP="001F0C69">
      <w:pPr>
        <w:pStyle w:val="Nagwek1"/>
        <w:rPr>
          <w:rFonts w:eastAsiaTheme="minorEastAsia"/>
        </w:rPr>
      </w:pPr>
      <w:r>
        <w:rPr>
          <w:rFonts w:eastAsiaTheme="minorEastAsia"/>
        </w:rPr>
        <w:t>Zapis pojedynczej elektrody</w:t>
      </w:r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>Chcąc zapisać jedno półogniwo w zapisie sztokholmskim traktujemy je jak anodę, tzn. blaszkę zapisujemy po lewej stronie, a po prawej jony. Przykładem jest zadanie z matury:</w:t>
      </w:r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 xml:space="preserve">Jako elektroda odniesienia w opisanym miareczkowaniu potencjometrycznym może być zastosowana tzw. nasycona elektroda </w:t>
      </w:r>
      <w:proofErr w:type="gramStart"/>
      <w:r>
        <w:rPr>
          <w:rFonts w:eastAsiaTheme="minorEastAsia"/>
        </w:rPr>
        <w:t>kalomelowa.</w:t>
      </w:r>
      <w:proofErr w:type="gramEnd"/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lastRenderedPageBreak/>
        <w:drawing>
          <wp:inline distT="0" distB="0" distL="0" distR="0">
            <wp:extent cx="2143125" cy="1419225"/>
            <wp:effectExtent l="19050" t="0" r="9525" b="0"/>
            <wp:docPr id="79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>Schemat tej elektrody przedstawiono poniżej:</w:t>
      </w:r>
    </w:p>
    <w:p w:rsidR="00342ECE" w:rsidRDefault="00342ECE" w:rsidP="00342E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Hg|H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, KCl(roztwór nasycony)</m:t>
          </m:r>
        </m:oMath>
      </m:oMathPara>
    </w:p>
    <w:p w:rsidR="00342ECE" w:rsidRDefault="00342ECE" w:rsidP="00342ECE">
      <w:pPr>
        <w:rPr>
          <w:rFonts w:eastAsiaTheme="minorEastAsia"/>
        </w:rPr>
      </w:pPr>
      <w:r>
        <w:rPr>
          <w:rFonts w:eastAsiaTheme="minorEastAsia"/>
        </w:rPr>
        <w:t xml:space="preserve">Zasada działania tej elektrody jest taka sama jak elektrody chlorosrebrowej. </w:t>
      </w:r>
    </w:p>
    <w:p w:rsidR="00342ECE" w:rsidRPr="003D7C07" w:rsidRDefault="00342ECE" w:rsidP="00342ECE">
      <w:pPr>
        <w:rPr>
          <w:rFonts w:eastAsiaTheme="minorEastAsia"/>
        </w:rPr>
      </w:pPr>
      <w:r>
        <w:rPr>
          <w:rFonts w:eastAsiaTheme="minorEastAsia"/>
        </w:rPr>
        <w:t xml:space="preserve">Pomijając, że zapis poprawny tej półreakcji to </w:t>
      </w:r>
    </w:p>
    <w:p w:rsidR="00342ECE" w:rsidRDefault="00342ECE" w:rsidP="00342E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Hg|H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|KCl</m:t>
          </m:r>
        </m:oMath>
      </m:oMathPara>
    </w:p>
    <w:p w:rsidR="00342ECE" w:rsidRDefault="00342ECE" w:rsidP="00342ECE">
      <w:pPr>
        <w:rPr>
          <w:rFonts w:eastAsiaTheme="minorEastAsia"/>
        </w:rPr>
      </w:pPr>
      <w:proofErr w:type="gramStart"/>
      <w:r w:rsidRPr="00961BC8">
        <w:rPr>
          <w:rFonts w:eastAsiaTheme="minorEastAsia"/>
        </w:rPr>
        <w:t>bo</w:t>
      </w:r>
      <w:proofErr w:type="gramEnd"/>
      <w:r w:rsidRPr="00961BC8">
        <w:rPr>
          <w:rFonts w:eastAsiaTheme="minorEastAsia"/>
        </w:rPr>
        <w:t xml:space="preserve"> raczej </w:t>
      </w:r>
      <m:oMath>
        <m:r>
          <w:rPr>
            <w:rFonts w:ascii="Cambria Math" w:eastAsiaTheme="minorEastAsia" w:hAnsi="Cambria Math"/>
          </w:rPr>
          <m:t>H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nie jest rozpuszczony w wodzie, a więc wystąpił błąd na maturze</w:t>
      </w:r>
      <w:r w:rsidRPr="00961BC8">
        <w:rPr>
          <w:rFonts w:eastAsiaTheme="minorEastAsia"/>
        </w:rPr>
        <w:t>;)</w:t>
      </w:r>
      <w:r>
        <w:rPr>
          <w:rFonts w:eastAsiaTheme="minorEastAsia"/>
        </w:rPr>
        <w:t>.</w:t>
      </w:r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342ECE"/>
    <w:rsid w:val="001F0C69"/>
    <w:rsid w:val="00296F1F"/>
    <w:rsid w:val="00307CF8"/>
    <w:rsid w:val="00342ECE"/>
    <w:rsid w:val="00400B30"/>
    <w:rsid w:val="00406F56"/>
    <w:rsid w:val="004B3AE5"/>
    <w:rsid w:val="005C132D"/>
    <w:rsid w:val="007412E4"/>
    <w:rsid w:val="00A02340"/>
    <w:rsid w:val="00A83F54"/>
    <w:rsid w:val="00BB3551"/>
    <w:rsid w:val="00BC4EE7"/>
    <w:rsid w:val="00BC5BC1"/>
    <w:rsid w:val="00BD3B12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42ECE"/>
    <w:pPr>
      <w:spacing w:after="160" w:line="259" w:lineRule="auto"/>
    </w:pPr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342E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342E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42ECE"/>
    <w:rPr>
      <w:rFonts w:ascii="Tahoma" w:hAnsi="Tahoma" w:cs="Tahoma"/>
      <w:kern w:val="0"/>
      <w:sz w:val="16"/>
      <w:szCs w:val="16"/>
    </w:rPr>
  </w:style>
  <w:style w:type="character" w:customStyle="1" w:styleId="Nagwek1Znak">
    <w:name w:val="Nagłówek 1 Znak"/>
    <w:basedOn w:val="Domylnaczcionkaakapitu"/>
    <w:link w:val="Nagwek1"/>
    <w:uiPriority w:val="9"/>
    <w:rsid w:val="00342EC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847</Words>
  <Characters>5088</Characters>
  <Application>Microsoft Office Word</Application>
  <DocSecurity>0</DocSecurity>
  <Lines>42</Lines>
  <Paragraphs>11</Paragraphs>
  <ScaleCrop>false</ScaleCrop>
  <Company>Office07</Company>
  <LinksUpToDate>false</LinksUpToDate>
  <CharactersWithSpaces>5924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2025-08-06T06:36:00Z</dcterms:created>
  <dcterms:modified xsi:type="dcterms:W3CDTF">2025-08-06T06:41:00Z</dcterms:modified>
</cp:coreProperties>
</file>