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60"/>
        <w:rPr>
          <w:rFonts w:ascii="Calibri" w:hAnsi="Calibri" w:eastAsia="Calibri" w:cs="Calibri"/>
          <w:i/>
          <w:i/>
          <w:iCs/>
          <w:color w:val="4F81BD"/>
          <w:u w:val="none" w:color="4F81BD"/>
        </w:rPr>
      </w:pPr>
      <w:r>
        <w:rPr>
          <w:rFonts w:ascii="Calibri" w:hAnsi="Calibri"/>
          <w:i/>
          <w:iCs/>
          <w:color w:val="4F81BD"/>
          <w:u w:val="none" w:color="4F81BD"/>
        </w:rPr>
        <w:t>HIA – Module 2</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jc w:val="both"/>
        <w:rPr>
          <w:rFonts w:ascii="Arial" w:hAnsi="Arial" w:eastAsia="Arial" w:cs="Arial"/>
          <w:b/>
          <w:bCs/>
          <w:sz w:val="27"/>
          <w:szCs w:val="27"/>
        </w:rPr>
      </w:pPr>
      <w:r>
        <w:rPr>
          <w:rFonts w:ascii="Times New Roman" w:hAnsi="Times New Roman"/>
          <w:sz w:val="24"/>
          <w:szCs w:val="24"/>
        </w:rPr>
        <w:t xml:space="preserve">Read the instructions and each question carefully and write your answer in the respective green box. </w:t>
      </w:r>
      <w:r>
        <w:rPr>
          <w:rFonts w:ascii="Times New Roman" w:hAnsi="Times New Roman"/>
          <w:b/>
          <w:bCs/>
          <w:sz w:val="24"/>
          <w:szCs w:val="24"/>
        </w:rPr>
        <w:t xml:space="preserve">Remember to always cite your sources to the information you provide, both in your text and in the reference list! </w:t>
      </w:r>
      <w:r>
        <w:rPr>
          <w:rFonts w:ascii="Times New Roman" w:hAnsi="Times New Roman"/>
          <w:sz w:val="24"/>
          <w:szCs w:val="24"/>
        </w:rPr>
        <w:t>You’ll find a reference box after each answer box. Please use the Harvard referencing style.</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before="0" w:after="0"/>
        <w:rPr/>
      </w:pPr>
      <w:r>
        <w:rPr/>
      </w:r>
    </w:p>
    <w:tbl>
      <w:tblPr>
        <w:tblW w:w="8931"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866"/>
        <w:gridCol w:w="8064"/>
      </w:tblGrid>
      <w:tr>
        <w:trPr>
          <w:trHeight w:val="577" w:hRule="atLeast"/>
        </w:trPr>
        <w:tc>
          <w:tcPr>
            <w:tcW w:w="866" w:type="dxa"/>
            <w:tcBorders>
              <w:right w:val="dotted" w:sz="4" w:space="0" w:color="000000"/>
            </w:tcBorders>
            <w:shd w:color="auto" w:fill="FFFFFF" w:val="clear"/>
          </w:tcPr>
          <w:p>
            <w:pPr>
              <w:pStyle w:val="BodyA"/>
              <w:spacing w:lineRule="auto" w:line="240" w:before="0" w:after="0"/>
              <w:rPr/>
            </w:pPr>
            <w:r>
              <w:rPr>
                <w:rFonts w:ascii="Times New Roman" w:hAnsi="Times New Roman"/>
                <w:b/>
                <w:bCs/>
                <w:sz w:val="24"/>
                <w:szCs w:val="24"/>
                <w:lang w:val="sv-SE"/>
              </w:rPr>
              <w:t>Name:</w:t>
            </w:r>
          </w:p>
        </w:tc>
        <w:tc>
          <w:tcPr>
            <w:tcW w:w="8064"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Tomasz Garbus</w:t>
            </w:r>
          </w:p>
        </w:tc>
      </w:tr>
    </w:tbl>
    <w:p>
      <w:pPr>
        <w:pStyle w:val="Heading2"/>
        <w:widowControl w:val="false"/>
        <w:spacing w:lineRule="auto" w:line="240" w:before="0" w:after="0"/>
        <w:rPr/>
      </w:pPr>
      <w:r>
        <w:rPr/>
      </w:r>
    </w:p>
    <w:p>
      <w:pPr>
        <w:pStyle w:val="BodyA"/>
        <w:spacing w:lineRule="auto" w:line="240" w:before="0" w:after="0"/>
        <w:jc w:val="both"/>
        <w:rPr>
          <w:rFonts w:ascii="Times New Roman" w:hAnsi="Times New Roman"/>
          <w:sz w:val="24"/>
          <w:szCs w:val="24"/>
        </w:rPr>
      </w:pPr>
      <w:r>
        <w:rPr>
          <w:rFonts w:ascii="Times New Roman" w:hAnsi="Times New Roman"/>
          <w:sz w:val="24"/>
          <w:szCs w:val="24"/>
        </w:rPr>
        <w:t xml:space="preserve">For this assignment you are supposed to analyze the energy system of a country of your choice from the list of the IEA: </w:t>
      </w:r>
      <w:hyperlink r:id="rId2">
        <w:r>
          <w:rPr>
            <w:rStyle w:val="Hyperlink"/>
          </w:rPr>
          <w:t>Countries &amp; Regions - IEA</w:t>
        </w:r>
      </w:hyperlink>
      <w:r>
        <w:rPr>
          <w:rFonts w:ascii="Times New Roman" w:hAnsi="Times New Roman"/>
          <w:sz w:val="24"/>
          <w:szCs w:val="24"/>
        </w:rPr>
        <w:t>. You can choose your home country or any other country you are interested in. Follow the instructions below and please read all questions before starting. There are even “country reports” from IEA about most of the countries, where you can find more detailed information (You will find them further down on the page of your country). Make sure you can find that report for your country to get the best out of the assignment. Please stick to the same country throughout the assignment.</w:t>
      </w:r>
    </w:p>
    <w:p>
      <w:pPr>
        <w:pStyle w:val="BodyA"/>
        <w:spacing w:lineRule="auto" w:line="240" w:before="0" w:after="0"/>
        <w:jc w:val="both"/>
        <w:rPr>
          <w:rFonts w:ascii="Times New Roman" w:hAnsi="Times New Roman"/>
          <w:sz w:val="24"/>
          <w:szCs w:val="24"/>
        </w:rPr>
      </w:pPr>
      <w:r>
        <w:rPr>
          <w:rFonts w:ascii="Times New Roman" w:hAnsi="Times New Roman"/>
          <w:sz w:val="24"/>
          <w:szCs w:val="24"/>
        </w:rPr>
        <w:br/>
        <w:t>1. Describe the energy system of your country of choice thoroughly. In your description answer also the following questions: What are the energy sources? What sources are used to produce</w:t>
        <w:br/>
        <w:t>electricity? What are the overall shares of renewable energy and fossil energy sources? What</w:t>
        <w:br/>
        <w:t>sectors are the biggest energy consumers? Note that question 2 below is about the emissions of the energy system. Write 800 (+/- 20%) words.</w:t>
      </w:r>
    </w:p>
    <w:p>
      <w:pPr>
        <w:pStyle w:val="BodyA"/>
        <w:spacing w:lineRule="auto" w:line="240" w:before="0" w:after="0"/>
        <w:jc w:val="both"/>
        <w:rPr>
          <w:rFonts w:ascii="Times New Roman" w:hAnsi="Times New Roman"/>
          <w:sz w:val="24"/>
          <w:szCs w:val="24"/>
        </w:rPr>
      </w:pPr>
      <w:r>
        <w:rPr>
          <w:rFonts w:ascii="Times New Roman" w:hAnsi="Times New Roman"/>
          <w:sz w:val="24"/>
          <w:szCs w:val="24"/>
        </w:rPr>
      </w:r>
    </w:p>
    <w:tbl>
      <w:tblPr>
        <w:tblW w:w="9077"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103"/>
        <w:gridCol w:w="7974"/>
      </w:tblGrid>
      <w:tr>
        <w:trPr>
          <w:trHeight w:val="12439" w:hRule="atLeast"/>
        </w:trPr>
        <w:tc>
          <w:tcPr>
            <w:tcW w:w="1103" w:type="dxa"/>
            <w:tcBorders>
              <w:right w:val="dotted" w:sz="4" w:space="0" w:color="000000"/>
            </w:tcBorders>
            <w:shd w:color="auto" w:fill="auto" w:val="clear"/>
          </w:tcPr>
          <w:p>
            <w:pPr>
              <w:pStyle w:val="BodyA"/>
              <w:spacing w:lineRule="auto" w:line="240" w:before="0" w:after="0"/>
              <w:rPr/>
            </w:pPr>
            <w:r>
              <w:rPr>
                <w:rFonts w:ascii="Times New Roman" w:hAnsi="Times New Roman"/>
                <w:b/>
                <w:bCs/>
                <w:sz w:val="20"/>
                <w:szCs w:val="20"/>
              </w:rPr>
              <w:t>Answer:</w:t>
            </w:r>
          </w:p>
        </w:tc>
        <w:tc>
          <w:tcPr>
            <w:tcW w:w="7974"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Energy:</w:t>
            </w:r>
          </w:p>
          <w:p>
            <w:pPr>
              <w:pStyle w:val="Normal"/>
              <w:rPr/>
            </w:pPr>
            <w:r>
              <w:rPr/>
              <w:t>- Production</w:t>
            </w:r>
          </w:p>
          <w:p>
            <w:pPr>
              <w:pStyle w:val="Normal"/>
              <w:rPr/>
            </w:pPr>
            <w:r>
              <w:rPr/>
              <w:t xml:space="preserve">  </w:t>
            </w:r>
            <w:r>
              <w:rPr/>
              <w:t>- Comparison to EU</w:t>
            </w:r>
          </w:p>
          <w:p>
            <w:pPr>
              <w:pStyle w:val="Normal"/>
              <w:rPr/>
            </w:pPr>
            <w:r>
              <w:rPr/>
              <w:t>- Consumption</w:t>
            </w:r>
          </w:p>
          <w:p>
            <w:pPr>
              <w:pStyle w:val="Normal"/>
              <w:rPr/>
            </w:pPr>
            <w:r>
              <w:rPr/>
              <w:t xml:space="preserve">  </w:t>
            </w:r>
            <w:r>
              <w:rPr/>
              <w:t>- Comparison to EU</w:t>
            </w:r>
          </w:p>
          <w:p>
            <w:pPr>
              <w:pStyle w:val="Normal"/>
              <w:rPr/>
            </w:pPr>
            <w:r>
              <w:rPr/>
              <w:t xml:space="preserve">     </w:t>
            </w:r>
            <w:r>
              <w:rPr/>
              <w:t>- 66.4% gross final energy consumption coming from renewables in 2023 [1]</w:t>
            </w:r>
          </w:p>
          <w:p>
            <w:pPr>
              <w:pStyle w:val="Normal"/>
              <w:rPr/>
            </w:pPr>
            <w:r>
              <w:rPr/>
              <w:t xml:space="preserve">     </w:t>
            </w:r>
            <w:r>
              <w:rPr/>
              <w:t xml:space="preserve">- 87.5% gross final electricity consumption coming from renewables in 2023 [1] </w:t>
            </w:r>
          </w:p>
          <w:p>
            <w:pPr>
              <w:pStyle w:val="Normal"/>
              <w:rPr/>
            </w:pPr>
            <w:r>
              <w:rPr/>
              <w:t xml:space="preserve">     </w:t>
            </w:r>
            <w:r>
              <w:rPr/>
              <w:t xml:space="preserve">- 33.6% </w:t>
            </w:r>
            <w:r>
              <w:rPr/>
              <w:t>energy used in transport is from renewable energy in 2023 [1]</w:t>
            </w:r>
          </w:p>
          <w:p>
            <w:pPr>
              <w:pStyle w:val="Normal"/>
              <w:rPr/>
            </w:pPr>
            <w:r>
              <w:rPr/>
              <w:t xml:space="preserve">  </w:t>
            </w:r>
            <w:r>
              <w:rPr/>
              <w:t xml:space="preserve">- </w:t>
            </w:r>
            <w:r>
              <w:rPr/>
              <w:t>TFEC is 1249 PJ with split: buildings 38%, transport 22%, industry 40% [2, p.18]</w:t>
              <w:br/>
              <w:br/>
              <w:t>Electricity:</w:t>
            </w:r>
          </w:p>
          <w:p>
            <w:pPr>
              <w:pStyle w:val="Normal"/>
              <w:rPr/>
            </w:pPr>
            <w:r>
              <w:rPr/>
              <w:t xml:space="preserve">- </w:t>
            </w:r>
            <w:r>
              <w:rPr/>
              <w:t>Production</w:t>
              <w:br/>
              <w:t xml:space="preserve"> - mainly hydro (40%) and nuclear (30%) [2, p.30]</w:t>
            </w:r>
          </w:p>
          <w:p>
            <w:pPr>
              <w:pStyle w:val="Normal"/>
              <w:rPr/>
            </w:pPr>
            <w:r>
              <w:rPr/>
              <w:t xml:space="preserve"> </w:t>
            </w:r>
            <w:r>
              <w:rPr/>
              <w:t>- wind power’s contribution grows, currently (2022) at 19%, doubled since 2015 [2, p.30]</w:t>
              <w:br/>
              <w:t xml:space="preserve"> - </w:t>
            </w:r>
            <w:r>
              <w:rPr/>
              <w:t>19% of produced electricity (33 TWh in 2022) is exported [2, p.30]</w:t>
            </w:r>
            <w:r>
              <w:rPr/>
              <w:br/>
              <w:t>- Consumption</w:t>
              <w:br/>
              <w:t xml:space="preserve">  - </w:t>
            </w:r>
            <w:r>
              <w:rPr/>
              <w:t>Demand has been relatively constant at 140 TWh since 1990 [2, p.30]</w:t>
            </w:r>
            <w:r>
              <w:rPr/>
              <w:br/>
            </w:r>
          </w:p>
          <w:p>
            <w:pPr>
              <w:pStyle w:val="Normal"/>
              <w:rPr/>
            </w:pPr>
            <w:r>
              <w:rPr/>
              <w:t>Balancing regions:</w:t>
              <w:br/>
              <w:t>- Prices in SE1 and SE2 are flat throughout the day, SE3 and SE4 depend on the time of day and can be up to 50x more expensive [3]</w:t>
            </w:r>
          </w:p>
          <w:p>
            <w:pPr>
              <w:pStyle w:val="Normal"/>
              <w:rPr/>
            </w:pPr>
            <w:r>
              <w:rPr/>
            </w:r>
          </w:p>
          <w:p>
            <w:pPr>
              <w:pStyle w:val="Normal"/>
              <w:rPr/>
            </w:pPr>
            <w:r>
              <w:rPr/>
              <w:t>Notes:</w:t>
            </w:r>
          </w:p>
          <w:p>
            <w:pPr>
              <w:pStyle w:val="Normal"/>
              <w:rPr/>
            </w:pPr>
            <w:r>
              <w:rPr/>
              <w:t>- Sweden has plans for 2.5GW of new nuclear power by 2035 (page 5)). current nuclear capacity is 7 GW</w:t>
            </w:r>
          </w:p>
          <w:p>
            <w:pPr>
              <w:pStyle w:val="Normal"/>
              <w:rPr/>
            </w:pPr>
            <w:r>
              <w:rPr/>
              <w:t>- 3</w:t>
            </w:r>
            <w:r>
              <w:rPr>
                <w:vertAlign w:val="superscript"/>
              </w:rPr>
              <w:t>rd</w:t>
            </w:r>
            <w:r>
              <w:rPr/>
              <w:t xml:space="preserve"> lowest carbon intensity among IEA countries at 3.1 tonnes CO2 per capita</w:t>
            </w:r>
          </w:p>
          <w:p>
            <w:pPr>
              <w:pStyle w:val="Normal"/>
              <w:rPr/>
            </w:pPr>
            <w:r>
              <w:rPr/>
              <w:t>- 99% low-emissions electricity, 1% fossil fuel electricity (page 6)</w:t>
            </w:r>
          </w:p>
          <w:p>
            <w:pPr>
              <w:pStyle w:val="Normal"/>
              <w:rPr/>
            </w:pPr>
            <w:r>
              <w:rPr/>
              <w:t>- page 18 has end-use sectors energy consumption</w:t>
            </w:r>
          </w:p>
          <w:p>
            <w:pPr>
              <w:pStyle w:val="Normal"/>
              <w:rPr/>
            </w:pPr>
            <w:r>
              <w:rPr/>
              <w:t>- page 48 split of different energy sources between the four regions SE1-SE4</w:t>
              <w:br/>
            </w:r>
          </w:p>
          <w:p>
            <w:pPr>
              <w:pStyle w:val="Normal"/>
              <w:spacing w:lineRule="auto" w:line="259" w:before="0" w:after="160"/>
              <w:rPr/>
            </w:pPr>
            <w:r>
              <w:rPr/>
            </w:r>
          </w:p>
          <w:p>
            <w:pPr>
              <w:pStyle w:val="Normal"/>
              <w:spacing w:lineRule="auto" w:line="259" w:before="0" w:after="160"/>
              <w:rPr/>
            </w:pPr>
            <w:r>
              <w:rPr/>
              <w:t>3 largest electricity producers Vattenfall, Fortum and Uniper together control around 63% electricity generation.</w:t>
            </w:r>
          </w:p>
          <w:p>
            <w:pPr>
              <w:pStyle w:val="Normal"/>
              <w:spacing w:lineRule="auto" w:line="259" w:before="0" w:after="160"/>
              <w:rPr/>
            </w:pPr>
            <w:r>
              <w:rPr/>
            </w:r>
          </w:p>
          <w:p>
            <w:pPr>
              <w:pStyle w:val="Normal"/>
              <w:spacing w:lineRule="auto" w:line="259" w:before="0" w:after="160"/>
              <w:rPr/>
            </w:pPr>
            <w:r>
              <w:rPr/>
              <w:t>Electricity consumption:</w:t>
            </w:r>
          </w:p>
          <w:p>
            <w:pPr>
              <w:pStyle w:val="Normal"/>
              <w:spacing w:lineRule="auto" w:line="259" w:before="0" w:after="160"/>
              <w:rPr/>
            </w:pPr>
            <w:r>
              <w:rPr/>
              <w:t>- buildings 58%</w:t>
            </w:r>
          </w:p>
          <w:p>
            <w:pPr>
              <w:pStyle w:val="Normal"/>
              <w:spacing w:lineRule="auto" w:line="259" w:before="0" w:after="160"/>
              <w:rPr/>
            </w:pPr>
            <w:r>
              <w:rPr/>
              <w:t>- industry 38%</w:t>
            </w:r>
          </w:p>
          <w:p>
            <w:pPr>
              <w:pStyle w:val="Normal"/>
              <w:spacing w:lineRule="auto" w:line="259" w:before="0" w:after="160"/>
              <w:rPr/>
            </w:pPr>
            <w:r>
              <w:rPr/>
              <w:t>- transport 3.3%</w:t>
            </w:r>
          </w:p>
          <w:p>
            <w:pPr>
              <w:pStyle w:val="Normal"/>
              <w:spacing w:lineRule="auto" w:line="259" w:before="0" w:after="160"/>
              <w:rPr/>
            </w:pPr>
            <w:r>
              <w:rPr/>
            </w:r>
          </w:p>
          <w:p>
            <w:pPr>
              <w:pStyle w:val="Normal"/>
              <w:spacing w:lineRule="auto" w:line="259" w:before="0" w:after="160"/>
              <w:rPr/>
            </w:pPr>
            <w:r>
              <w:rPr/>
              <w:t>Sweden exports 19% of its electricity output – 33 Twh in 2022.</w:t>
            </w:r>
          </w:p>
          <w:p>
            <w:pPr>
              <w:pStyle w:val="Normal"/>
              <w:spacing w:lineRule="auto" w:line="259" w:before="0" w:after="160"/>
              <w:rPr/>
            </w:pPr>
            <w:r>
              <w:rPr/>
            </w:r>
          </w:p>
          <w:p>
            <w:pPr>
              <w:pStyle w:val="Normal"/>
              <w:spacing w:lineRule="auto" w:line="259" w:before="0" w:after="160"/>
              <w:rPr/>
            </w:pPr>
            <w:r>
              <w:rPr/>
              <w:t>Sweden is divided into four bidding zones</w:t>
            </w:r>
          </w:p>
          <w:p>
            <w:pPr>
              <w:pStyle w:val="Normal"/>
              <w:spacing w:lineRule="auto" w:line="259" w:before="0" w:after="160"/>
              <w:rPr/>
            </w:pPr>
            <w:r>
              <w:rPr/>
            </w:r>
          </w:p>
          <w:p>
            <w:pPr>
              <w:pStyle w:val="Normal"/>
              <w:spacing w:lineRule="auto" w:line="259" w:before="0" w:after="160"/>
              <w:rPr/>
            </w:pPr>
            <w:r>
              <w:rPr/>
              <w:t>Fossil fuels in Sweden account for just 24% of TES (2022), the lowest share among IEA member countries (the IEA average is 78%).</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 xml:space="preserve">[1] </w:t>
            </w:r>
            <w:hyperlink r:id="rId3">
              <w:r>
                <w:rPr>
                  <w:rStyle w:val="Hyperlink"/>
                </w:rPr>
                <w:t>https://ec.europa.eu/eurostat/statistics-explained/index.php?title=Renewable_energy_statistics</w:t>
              </w:r>
            </w:hyperlink>
          </w:p>
          <w:p>
            <w:pPr>
              <w:pStyle w:val="Normal"/>
              <w:rPr/>
            </w:pPr>
            <w:r>
              <w:rPr/>
              <w:t>[2] IEA rapport Sweden 2024</w:t>
              <w:br/>
            </w:r>
            <w:r>
              <w:rPr/>
              <w:t xml:space="preserve">[3] </w:t>
            </w:r>
            <w:hyperlink r:id="rId4">
              <w:r>
                <w:rPr>
                  <w:rStyle w:val="Hyperlink"/>
                </w:rPr>
                <w:t>https://spotprices.eu/se</w:t>
              </w:r>
            </w:hyperlink>
            <w:r>
              <w:rPr/>
              <w:t xml:space="preserve"> </w:t>
            </w:r>
          </w:p>
        </w:tc>
      </w:tr>
    </w:tbl>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ascii="Times New Roman" w:hAnsi="Times New Roman"/>
          <w:sz w:val="24"/>
          <w:szCs w:val="24"/>
        </w:rPr>
        <w:t>2. Try to find information about the emissions of the energy system of your country. Be aware of the difference between the energy and electrical system of your country. There are many sources that misuse these words and share with that misleading information. You are asked here to find your own sources and reference accordingly. Write ca. 500 (+/- 20%) words.</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66"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077"/>
        <w:gridCol w:w="7988"/>
      </w:tblGrid>
      <w:tr>
        <w:trPr>
          <w:trHeight w:val="4253" w:hRule="atLeast"/>
        </w:trPr>
        <w:tc>
          <w:tcPr>
            <w:tcW w:w="1077" w:type="dxa"/>
            <w:tcBorders>
              <w:right w:val="dotted" w:sz="4" w:space="0" w:color="000000"/>
            </w:tcBorders>
            <w:shd w:color="auto" w:fill="auto" w:val="clear"/>
          </w:tcPr>
          <w:p>
            <w:pPr>
              <w:pStyle w:val="BodyA"/>
              <w:spacing w:lineRule="auto" w:line="240" w:before="0" w:after="0"/>
              <w:rPr/>
            </w:pPr>
            <w:r>
              <w:rPr>
                <w:rFonts w:ascii="Times New Roman" w:hAnsi="Times New Roman"/>
                <w:b/>
                <w:bCs/>
                <w:sz w:val="24"/>
                <w:szCs w:val="24"/>
              </w:rPr>
              <w:t>Answer:</w:t>
            </w:r>
          </w:p>
        </w:tc>
        <w:tc>
          <w:tcPr>
            <w:tcW w:w="7988" w:type="dxa"/>
            <w:tcBorders>
              <w:top w:val="dotted" w:sz="4" w:space="0" w:color="000000"/>
              <w:left w:val="dotted" w:sz="4" w:space="0" w:color="000000"/>
              <w:bottom w:val="dotted" w:sz="4" w:space="0" w:color="000000"/>
              <w:right w:val="dotted" w:sz="4" w:space="0" w:color="000000"/>
            </w:tcBorders>
            <w:shd w:color="auto" w:fill="EAF1DD" w:val="clear"/>
          </w:tcPr>
          <w:p>
            <w:pPr>
              <w:pStyle w:val="Normal"/>
              <w:spacing w:lineRule="auto" w:line="259" w:before="0" w:after="160"/>
              <w:rPr/>
            </w:pPr>
            <w:r>
              <w:rPr/>
              <w:t>- Energy-related emissions:</w:t>
            </w:r>
          </w:p>
          <w:p>
            <w:pPr>
              <w:pStyle w:val="Normal"/>
              <w:spacing w:lineRule="auto" w:line="259" w:before="0" w:after="160"/>
              <w:rPr/>
            </w:pPr>
            <w:r>
              <w:rPr/>
              <w:t xml:space="preserve">  </w:t>
            </w:r>
            <w:r>
              <w:rPr/>
              <w:t>- Total CO2 emissions 32 Mt [2, p. 18]</w:t>
            </w:r>
          </w:p>
          <w:p>
            <w:pPr>
              <w:pStyle w:val="Normal"/>
              <w:spacing w:lineRule="auto" w:line="259" w:before="0" w:after="160"/>
              <w:rPr/>
            </w:pPr>
            <w:r>
              <w:rPr/>
              <w:t xml:space="preserve">  </w:t>
            </w:r>
            <w:r>
              <w:rPr/>
              <w:t>- split: 43% transport, 18% buildings, 28% industry, 11% other (fx refineries) [2. p 18]</w:t>
            </w:r>
          </w:p>
          <w:p>
            <w:pPr>
              <w:pStyle w:val="Normal"/>
              <w:spacing w:lineRule="auto" w:line="259" w:before="0" w:after="160"/>
              <w:rPr/>
            </w:pPr>
            <w:r>
              <w:rPr/>
              <w:t>- Electricity-related emissions:</w:t>
            </w:r>
          </w:p>
          <w:p>
            <w:pPr>
              <w:pStyle w:val="Normal"/>
              <w:spacing w:lineRule="auto" w:line="259" w:before="0" w:after="160"/>
              <w:rPr/>
            </w:pPr>
            <w:r>
              <w:rPr/>
            </w:r>
          </w:p>
          <w:p>
            <w:pPr>
              <w:pStyle w:val="Normal"/>
              <w:spacing w:lineRule="auto" w:line="259" w:before="0" w:after="160"/>
              <w:rPr/>
            </w:pPr>
            <w:r>
              <w:rPr/>
              <w:t>GHG emmissions (page 11):</w:t>
            </w:r>
          </w:p>
          <w:p>
            <w:pPr>
              <w:pStyle w:val="Normal"/>
              <w:spacing w:lineRule="auto" w:line="259" w:before="0" w:after="160"/>
              <w:rPr/>
            </w:pPr>
            <w:r>
              <w:rPr/>
              <w:t>- industry 36%</w:t>
            </w:r>
          </w:p>
          <w:p>
            <w:pPr>
              <w:pStyle w:val="Normal"/>
              <w:spacing w:lineRule="auto" w:line="259" w:before="0" w:after="160"/>
              <w:rPr/>
            </w:pPr>
            <w:r>
              <w:rPr/>
              <w:t>- transport 31%</w:t>
            </w:r>
          </w:p>
          <w:p>
            <w:pPr>
              <w:pStyle w:val="Normal"/>
              <w:spacing w:lineRule="auto" w:line="259" w:before="0" w:after="160"/>
              <w:rPr/>
            </w:pPr>
            <w:r>
              <w:rPr/>
              <w:t>- agriculture 15%</w:t>
            </w:r>
          </w:p>
          <w:p>
            <w:pPr>
              <w:pStyle w:val="Normal"/>
              <w:spacing w:lineRule="auto" w:line="259" w:before="0" w:after="160"/>
              <w:rPr/>
            </w:pPr>
            <w:r>
              <w:rPr/>
              <w:t>- electricity and heat generation 8%</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[1] IEA rapport Sweden 2024</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sz w:val="24"/>
          <w:szCs w:val="24"/>
          <w:u w:val="none" w:color="C0504D"/>
        </w:rPr>
      </w:pPr>
      <w:r>
        <w:rPr>
          <w:rFonts w:ascii="Times New Roman" w:hAnsi="Times New Roman"/>
          <w:sz w:val="24"/>
          <w:szCs w:val="24"/>
          <w:u w:val="none" w:color="C0504D"/>
        </w:rPr>
        <w:t>3. Do a quick search about your country’s plans to decarbonize its energy system as a whole or just the electricity system if information is difficult to find. Answer at least the following questions in your text:</w:t>
      </w:r>
    </w:p>
    <w:p>
      <w:pPr>
        <w:pStyle w:val="BodyA"/>
        <w:numPr>
          <w:ilvl w:val="0"/>
          <w:numId w:val="1"/>
        </w:numPr>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What are the country’s strategies?</w:t>
      </w:r>
    </w:p>
    <w:p>
      <w:pPr>
        <w:pStyle w:val="BodyA"/>
        <w:numPr>
          <w:ilvl w:val="0"/>
          <w:numId w:val="1"/>
        </w:numPr>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 xml:space="preserve"> </w:t>
      </w:r>
      <w:r>
        <w:rPr>
          <w:rFonts w:ascii="Times New Roman" w:hAnsi="Times New Roman"/>
          <w:sz w:val="24"/>
          <w:szCs w:val="24"/>
          <w:u w:val="none" w:color="C0504D"/>
        </w:rPr>
        <w:t xml:space="preserve">Have they already achieved decarbonization? How? </w:t>
      </w:r>
    </w:p>
    <w:p>
      <w:pPr>
        <w:pStyle w:val="BodyA"/>
        <w:numPr>
          <w:ilvl w:val="0"/>
          <w:numId w:val="1"/>
        </w:numPr>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Do you think their plans are ambitious enough?</w:t>
      </w:r>
    </w:p>
    <w:p>
      <w:pPr>
        <w:pStyle w:val="BodyA"/>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 xml:space="preserve">Keep also in mind to use valuable and reliable sources and </w:t>
      </w:r>
      <w:r>
        <w:rPr>
          <w:rFonts w:ascii="Times New Roman" w:hAnsi="Times New Roman"/>
          <w:b/>
          <w:bCs/>
          <w:sz w:val="24"/>
          <w:szCs w:val="24"/>
          <w:u w:val="none" w:color="C0504D"/>
        </w:rPr>
        <w:t>do not only</w:t>
      </w:r>
      <w:r>
        <w:rPr>
          <w:rFonts w:ascii="Times New Roman" w:hAnsi="Times New Roman"/>
          <w:sz w:val="24"/>
          <w:szCs w:val="24"/>
          <w:u w:val="none" w:color="C0504D"/>
        </w:rPr>
        <w:t xml:space="preserve"> base your answers on newspaper articles. Look out for official governmental documents or NGO reports. Write ca. 500 (+/- 20%) words.</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8931"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144"/>
        <w:gridCol w:w="7786"/>
      </w:tblGrid>
      <w:tr>
        <w:trPr>
          <w:trHeight w:val="2661" w:hRule="atLeast"/>
        </w:trPr>
        <w:tc>
          <w:tcPr>
            <w:tcW w:w="1144" w:type="dxa"/>
            <w:tcBorders>
              <w:right w:val="dotted" w:sz="4" w:space="0" w:color="000000"/>
            </w:tcBorders>
            <w:shd w:color="auto" w:fill="FFFFFF" w:val="clear"/>
          </w:tcPr>
          <w:p>
            <w:pPr>
              <w:pStyle w:val="BodyA"/>
              <w:spacing w:lineRule="auto" w:line="240" w:before="0" w:after="0"/>
              <w:rPr/>
            </w:pPr>
            <w:r>
              <w:rPr>
                <w:rFonts w:ascii="Times New Roman" w:hAnsi="Times New Roman"/>
                <w:b/>
                <w:bCs/>
                <w:sz w:val="24"/>
                <w:szCs w:val="24"/>
              </w:rPr>
              <w:t>Answer:</w:t>
            </w:r>
          </w:p>
        </w:tc>
        <w:tc>
          <w:tcPr>
            <w:tcW w:w="7786" w:type="dxa"/>
            <w:tcBorders>
              <w:top w:val="dotted" w:sz="4" w:space="0" w:color="000000"/>
              <w:left w:val="dotted" w:sz="4" w:space="0" w:color="000000"/>
              <w:bottom w:val="dotted" w:sz="4" w:space="0" w:color="000000"/>
              <w:right w:val="dotted" w:sz="4" w:space="0" w:color="000000"/>
            </w:tcBorders>
            <w:shd w:color="auto" w:fill="EAF1DD" w:val="clear"/>
          </w:tcPr>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Notes:</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Policy recommendations are on page 9 in IEA report</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Sweden has included in law the target to achieve net zero GHG emmissions by 2045 (page 11)</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xml:space="preserve">- </w:t>
            </w:r>
            <w:hyperlink r:id="rId5">
              <w:r>
                <w:rPr>
                  <w:rStyle w:val="Hyperlink"/>
                  <w:rFonts w:eastAsia="Times New Roman" w:cs="Times New Roman" w:ascii="Times New Roman" w:hAnsi="Times New Roman"/>
                  <w:sz w:val="24"/>
                  <w:szCs w:val="24"/>
                  <w:lang w:val="sv-SE"/>
                </w:rPr>
                <w:t>https://www.regeringen.se/rattsliga-dokument/skrivelse/2023/12/skr.-20232459</w:t>
              </w:r>
            </w:hyperlink>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xml:space="preserve">- </w:t>
            </w:r>
            <w:hyperlink r:id="rId6">
              <w:r>
                <w:rPr>
                  <w:rStyle w:val="Hyperlink"/>
                  <w:rFonts w:eastAsia="Times New Roman" w:cs="Times New Roman" w:ascii="Times New Roman" w:hAnsi="Times New Roman"/>
                  <w:sz w:val="24"/>
                  <w:szCs w:val="24"/>
                  <w:lang w:val="sv-SE"/>
                </w:rPr>
                <w:t>https://www.klimatpolitiskaradet.se/rapport-2024/</w:t>
              </w:r>
            </w:hyperlink>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xml:space="preserve">- </w:t>
            </w:r>
            <w:hyperlink r:id="rId7">
              <w:r>
                <w:rPr>
                  <w:rStyle w:val="Hyperlink"/>
                  <w:rFonts w:eastAsia="Times New Roman" w:cs="Times New Roman" w:ascii="Times New Roman" w:hAnsi="Times New Roman"/>
                  <w:sz w:val="24"/>
                  <w:szCs w:val="24"/>
                  <w:lang w:val="sv-SE"/>
                </w:rPr>
                <w:t>https://fossilfrittsverige.se/en/start-english/</w:t>
              </w:r>
            </w:hyperlink>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xml:space="preserve">- </w:t>
            </w:r>
            <w:hyperlink r:id="rId8">
              <w:r>
                <w:rPr>
                  <w:rStyle w:val="Hyperlink"/>
                  <w:rFonts w:eastAsia="Times New Roman" w:cs="Times New Roman" w:ascii="Times New Roman" w:hAnsi="Times New Roman"/>
                  <w:sz w:val="24"/>
                  <w:szCs w:val="24"/>
                  <w:lang w:val="sv-SE"/>
                </w:rPr>
                <w:t>https://www.riksdagen.se/en/news/articles/2023/jun/20/yes-to-the-governments-spring-amending-budget-_cmsff94b926-2480-4016-a66a-74e624cf4cdden/</w:t>
              </w:r>
            </w:hyperlink>
            <w:r>
              <w:rPr>
                <w:rFonts w:eastAsia="Times New Roman" w:cs="Times New Roman" w:ascii="Times New Roman" w:hAnsi="Times New Roman"/>
                <w:sz w:val="24"/>
                <w:szCs w:val="24"/>
                <w:lang w:val="sv-SE"/>
              </w:rPr>
              <w:t xml:space="preserve"> -- under the Spring 2023 budget, the government revised the goal to 100% fossil-free electricity by 2040, to include nuclear power</w:t>
            </w:r>
          </w:p>
          <w:p>
            <w:pPr>
              <w:pStyle w:val="BodyA"/>
              <w:spacing w:lineRule="auto" w:line="240" w:before="0" w:after="0"/>
              <w:rPr/>
            </w:pPr>
            <w:r>
              <w:rPr/>
              <w:t>- big growth in wind power</w:t>
            </w:r>
          </w:p>
          <w:p>
            <w:pPr>
              <w:pStyle w:val="BodyA"/>
              <w:spacing w:lineRule="auto" w:line="240" w:before="0" w:after="0"/>
              <w:rPr/>
            </w:pPr>
            <w:r>
              <w:rPr/>
              <w:t>- grid expansion s 49</w:t>
            </w:r>
          </w:p>
          <w:p>
            <w:pPr>
              <w:pStyle w:val="BodyA"/>
              <w:spacing w:lineRule="auto" w:line="240" w:before="0" w:after="0"/>
              <w:rPr/>
            </w:pPr>
            <w:r>
              <w:rPr/>
              <w:t>- SVK Grid development plan 2024–2033</w:t>
            </w:r>
          </w:p>
          <w:p>
            <w:pPr>
              <w:pStyle w:val="BodyA"/>
              <w:spacing w:lineRule="auto" w:line="240" w:before="0" w:after="0"/>
              <w:rPr/>
            </w:pPr>
            <w:r>
              <w:rPr/>
              <w:t xml:space="preserve">- Industrial leap programme: </w:t>
            </w:r>
            <w:r>
              <w:rPr>
                <w:rStyle w:val="Hyperlink"/>
              </w:rPr>
              <w:t>https://www.energimyndigheten.se/en/innovations-r--d/energyintensive-industry/the-industrial-leap/</w:t>
            </w:r>
          </w:p>
          <w:p>
            <w:pPr>
              <w:pStyle w:val="BodyA"/>
              <w:spacing w:lineRule="auto" w:line="240" w:before="0" w:after="0"/>
              <w:rPr/>
            </w:pPr>
            <w:r>
              <w:rPr/>
              <w:t xml:space="preserve">- 2024 energy bill: </w:t>
            </w:r>
            <w:hyperlink r:id="rId9">
              <w:r>
                <w:rPr>
                  <w:rStyle w:val="Hyperlink"/>
                </w:rPr>
                <w:t>https://www.riksdagen.se/sv/dokument-och-lagar/dokument/proposition/energipolitikens-langsiktiga-inriktning_hb03105/html/</w:t>
              </w:r>
            </w:hyperlink>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r>
          </w:p>
        </w:tc>
      </w:tr>
    </w:tbl>
    <w:p>
      <w:pPr>
        <w:pStyle w:val="BodyA"/>
        <w:widowControl w:val="false"/>
        <w:spacing w:lineRule="auto" w:line="240" w:before="0" w:after="0"/>
        <w:rPr/>
      </w:pPr>
      <w:r>
        <w:rPr/>
      </w:r>
    </w:p>
    <w:tbl>
      <w:tblPr>
        <w:tblW w:w="8931"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144"/>
        <w:gridCol w:w="7786"/>
      </w:tblGrid>
      <w:tr>
        <w:trPr>
          <w:trHeight w:val="2661" w:hRule="atLeast"/>
        </w:trPr>
        <w:tc>
          <w:tcPr>
            <w:tcW w:w="1144" w:type="dxa"/>
            <w:tcBorders>
              <w:right w:val="dotted" w:sz="4" w:space="0" w:color="000000"/>
            </w:tcBorders>
            <w:shd w:color="auto" w:fill="FFFFFF" w:val="clear"/>
          </w:tcPr>
          <w:p>
            <w:pPr>
              <w:pStyle w:val="BodyA"/>
              <w:spacing w:lineRule="auto" w:line="240" w:before="0" w:after="0"/>
              <w:rPr>
                <w:rFonts w:ascii="Times New Roman" w:hAnsi="Times New Roman"/>
                <w:b/>
                <w:bCs/>
                <w:sz w:val="18"/>
                <w:szCs w:val="18"/>
              </w:rPr>
            </w:pPr>
            <w:r>
              <w:rPr>
                <w:rFonts w:ascii="Times New Roman" w:hAnsi="Times New Roman"/>
                <w:b/>
                <w:bCs/>
                <w:sz w:val="18"/>
                <w:szCs w:val="18"/>
              </w:rPr>
              <w:t>AI</w:t>
            </w:r>
          </w:p>
          <w:p>
            <w:pPr>
              <w:pStyle w:val="BodyA"/>
              <w:spacing w:lineRule="auto" w:line="240" w:before="0" w:after="0"/>
              <w:rPr>
                <w:sz w:val="24"/>
                <w:szCs w:val="24"/>
              </w:rPr>
            </w:pPr>
            <w:r>
              <w:rPr>
                <w:rFonts w:ascii="Times New Roman" w:hAnsi="Times New Roman"/>
                <w:b/>
                <w:bCs/>
                <w:sz w:val="18"/>
                <w:szCs w:val="18"/>
              </w:rPr>
              <w:t>Declaration:</w:t>
            </w:r>
          </w:p>
        </w:tc>
        <w:tc>
          <w:tcPr>
            <w:tcW w:w="7786" w:type="dxa"/>
            <w:tcBorders>
              <w:top w:val="dotted" w:sz="4" w:space="0" w:color="000000"/>
              <w:left w:val="dotted" w:sz="4" w:space="0" w:color="000000"/>
              <w:bottom w:val="dotted" w:sz="4" w:space="0" w:color="000000"/>
              <w:right w:val="dotted" w:sz="4" w:space="0" w:color="000000"/>
            </w:tcBorders>
            <w:shd w:color="auto" w:fill="EAF1DD" w:val="clear"/>
          </w:tcPr>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t>(List all the generative AI tools used in this assignment, if you have used any, and the purpose for using it. If you have not used generative AI, you should say that)</w:t>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color w:themeColor="background2" w:themeTint="99" w:val="979797"/>
              </w:rPr>
            </w:pPr>
            <w:r>
              <w:rPr>
                <w:color w:themeColor="background2" w:themeTint="99" w:val="979797"/>
              </w:rPr>
            </w:r>
          </w:p>
        </w:tc>
      </w:tr>
    </w:tbl>
    <w:p>
      <w:pPr>
        <w:pStyle w:val="BodyA"/>
        <w:widowControl w:val="false"/>
        <w:spacing w:lineRule="auto" w:line="240" w:before="0" w:after="0"/>
        <w:rPr/>
      </w:pPr>
      <w:r>
        <w:rPr/>
      </w:r>
    </w:p>
    <w:sectPr>
      <w:headerReference w:type="even" r:id="rId10"/>
      <w:headerReference w:type="default" r:id="rId11"/>
      <w:headerReference w:type="first" r:id="rId12"/>
      <w:footerReference w:type="even" r:id="rId13"/>
      <w:footerReference w:type="default" r:id="rId14"/>
      <w:footerReference w:type="first" r:id="rId15"/>
      <w:type w:val="nextPage"/>
      <w:pgSz w:w="11906" w:h="16838"/>
      <w:pgMar w:left="1417" w:right="1417" w:gutter="0" w:header="708" w:top="1417" w:footer="708" w:bottom="141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roman"/>
    <w:pitch w:val="variable"/>
  </w:font>
  <w:font w:name="Arial">
    <w:charset w:val="01"/>
    <w:family w:val="swiss"/>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1304"/>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Heading2">
    <w:name w:val="heading 2"/>
    <w:next w:val="BodyA"/>
    <w:uiPriority w:val="9"/>
    <w:unhideWhenUsed/>
    <w:qFormat/>
    <w:pPr>
      <w:keepNext w:val="true"/>
      <w:widowControl/>
      <w:suppressAutoHyphens w:val="true"/>
      <w:bidi w:val="0"/>
      <w:spacing w:lineRule="auto" w:line="276" w:before="240" w:after="60"/>
      <w:jc w:val="left"/>
      <w:outlineLvl w:val="1"/>
    </w:pPr>
    <w:rPr>
      <w:rFonts w:ascii="Cambria" w:hAnsi="Cambria" w:eastAsia="Cambria" w:cs="Cambria"/>
      <w:b/>
      <w:bCs/>
      <w:i/>
      <w:iCs/>
      <w:color w:val="000000"/>
      <w:kern w:val="0"/>
      <w:sz w:val="28"/>
      <w:szCs w:val="28"/>
      <w:u w:val="none" w:color="000000"/>
      <w:lang w:val="en-US" w:eastAsia="en-US" w:bidi="ar-SA"/>
      <w14:textOutline w14:w="12700" w14:cap="flat" w14:cmpd="sng" w14:algn="ctr">
        <w14:noFill/>
        <w14:prstDash w14:val="solid"/>
        <w14:miter w14:lim="400000"/>
      </w14:textOutline>
    </w:rPr>
  </w:style>
  <w:style w:type="character" w:styleId="DefaultParagraphFont" w:default="1">
    <w:name w:val="Default Paragraph Font"/>
    <w:uiPriority w:val="1"/>
    <w:semiHidden/>
    <w:unhideWhenUsed/>
    <w:qFormat/>
    <w:rPr/>
  </w:style>
  <w:style w:type="character" w:styleId="Hyperlink">
    <w:name w:val="Hyperlink"/>
    <w:rPr>
      <w:u w:val="single"/>
    </w:rPr>
  </w:style>
  <w:style w:type="character" w:styleId="UnresolvedMention">
    <w:name w:val="Unresolved Mention"/>
    <w:basedOn w:val="DefaultParagraphFont"/>
    <w:uiPriority w:val="99"/>
    <w:semiHidden/>
    <w:unhideWhenUsed/>
    <w:qFormat/>
    <w:rsid w:val="00747596"/>
    <w:rPr>
      <w:color w:val="605E5C"/>
      <w:shd w:fill="E1DFDD" w:val="clear"/>
    </w:rPr>
  </w:style>
  <w:style w:type="character" w:styleId="textlayer--absolute" w:customStyle="1">
    <w:name w:val="textlayer--absolute"/>
    <w:basedOn w:val="DefaultParagraphFont"/>
    <w:qFormat/>
    <w:rsid w:val="00850151"/>
    <w:rPr/>
  </w:style>
  <w:style w:type="paragraph" w:styleId="Heading">
    <w:name w:val="Heading"/>
    <w:basedOn w:val="Normal"/>
    <w:next w:val="BodyText"/>
    <w:qFormat/>
    <w:pPr>
      <w:keepNext w:val="true"/>
      <w:spacing w:before="240" w:after="120"/>
    </w:pPr>
    <w:rPr>
      <w:rFonts w:ascii="Liberation Sans" w:hAnsi="Liberation Sans" w:eastAsia="Liberation Sans" w:cs="Liberation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Footer" w:customStyle="1">
    <w:name w:val="Header &amp; Footer"/>
    <w:qFormat/>
    <w:pPr>
      <w:widowControl/>
      <w:tabs>
        <w:tab w:val="clear" w:pos="1304"/>
        <w:tab w:val="right" w:pos="9020" w:leader="none"/>
      </w:tabs>
      <w:suppressAutoHyphens w:val="true"/>
      <w:bidi w:val="0"/>
      <w:spacing w:before="0" w:after="0"/>
      <w:jc w:val="left"/>
    </w:pPr>
    <w:rPr>
      <w:rFonts w:ascii="Helvetica Neue" w:hAnsi="Helvetica Neue" w:eastAsia="Arial Unicode MS" w:cs="Arial Unicode MS"/>
      <w:color w:val="000000"/>
      <w:kern w:val="0"/>
      <w:sz w:val="24"/>
      <w:szCs w:val="24"/>
      <w:lang w:val="en-US" w:eastAsia="en-US" w:bidi="ar-SA"/>
      <w14:textOutline w14:w="0" w14:cap="flat" w14:cmpd="sng" w14:algn="ctr">
        <w14:noFill/>
        <w14:prstDash w14:val="solid"/>
        <w14:bevel/>
      </w14:textOutline>
    </w:rPr>
  </w:style>
  <w:style w:type="paragraph" w:styleId="Title">
    <w:name w:val="Title"/>
    <w:next w:val="BodyA"/>
    <w:uiPriority w:val="10"/>
    <w:qFormat/>
    <w:pPr>
      <w:widowControl/>
      <w:suppressAutoHyphens w:val="true"/>
      <w:bidi w:val="0"/>
      <w:spacing w:before="240" w:after="60"/>
      <w:jc w:val="center"/>
      <w:outlineLvl w:val="0"/>
    </w:pPr>
    <w:rPr>
      <w:rFonts w:ascii="Cambria" w:hAnsi="Cambria" w:eastAsia="Arial Unicode MS" w:cs="Arial Unicode MS"/>
      <w:b/>
      <w:bCs/>
      <w:color w:val="000000"/>
      <w:kern w:val="2"/>
      <w:sz w:val="32"/>
      <w:szCs w:val="32"/>
      <w:u w:val="none" w:color="000000"/>
      <w:lang w:val="en-US" w:eastAsia="en-US" w:bidi="ar-SA"/>
      <w14:textOutline w14:w="12700" w14:cap="flat" w14:cmpd="sng" w14:algn="ctr">
        <w14:noFill/>
        <w14:prstDash w14:val="solid"/>
        <w14:miter w14:lim="400000"/>
      </w14:textOutline>
    </w:rPr>
  </w:style>
  <w:style w:type="paragraph" w:styleId="BodyA" w:customStyle="1">
    <w:name w:val="Body A"/>
    <w:qFormat/>
    <w:pPr>
      <w:widowControl/>
      <w:suppressAutoHyphens w:val="true"/>
      <w:bidi w:val="0"/>
      <w:spacing w:lineRule="auto" w:line="276" w:before="0" w:after="200"/>
      <w:jc w:val="left"/>
    </w:pPr>
    <w:rPr>
      <w:rFonts w:ascii="Calibri" w:hAnsi="Calibri" w:eastAsia="Arial Unicode MS" w:cs="Arial Unicode MS"/>
      <w:color w:val="000000"/>
      <w:kern w:val="0"/>
      <w:sz w:val="22"/>
      <w:szCs w:val="22"/>
      <w:u w:val="none" w:color="000000"/>
      <w:lang w:val="en-US" w:eastAsia="en-US" w:bidi="ar-SA"/>
      <w14:textOutline w14:w="12700" w14:cap="flat" w14:cmpd="sng" w14:algn="ctr">
        <w14:noFill/>
        <w14:prstDash w14:val="solid"/>
        <w14:miter w14:lim="400000"/>
      </w14:textOutline>
    </w:rPr>
  </w:style>
  <w:style w:type="paragraph" w:styleId="ListParagraph">
    <w:name w:val="List Paragraph"/>
    <w:qFormat/>
    <w:pPr>
      <w:widowControl/>
      <w:suppressAutoHyphens w:val="true"/>
      <w:bidi w:val="0"/>
      <w:spacing w:lineRule="auto" w:line="276" w:before="0" w:after="200"/>
      <w:ind w:left="720"/>
      <w:jc w:val="left"/>
    </w:pPr>
    <w:rPr>
      <w:rFonts w:ascii="Calibri" w:hAnsi="Calibri" w:eastAsia="Arial Unicode MS" w:cs="Arial Unicode MS"/>
      <w:color w:val="000000"/>
      <w:kern w:val="0"/>
      <w:sz w:val="22"/>
      <w:szCs w:val="22"/>
      <w:u w:val="none" w:color="000000"/>
      <w:lang w:val="sv-SE"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ea.org/countries" TargetMode="External"/><Relationship Id="rId3" Type="http://schemas.openxmlformats.org/officeDocument/2006/relationships/hyperlink" Target="https://ec.europa.eu/eurostat/statistics-explained/index.php?title=Renewable_energy_statistics" TargetMode="External"/><Relationship Id="rId4" Type="http://schemas.openxmlformats.org/officeDocument/2006/relationships/hyperlink" Target="https://spotprices.eu/se" TargetMode="External"/><Relationship Id="rId5" Type="http://schemas.openxmlformats.org/officeDocument/2006/relationships/hyperlink" Target="https://www.regeringen.se/rattsliga-dokument/skrivelse/2023/12/skr.-20232459" TargetMode="External"/><Relationship Id="rId6" Type="http://schemas.openxmlformats.org/officeDocument/2006/relationships/hyperlink" Target="https://www.klimatpolitiskaradet.se/rapport-2024/" TargetMode="External"/><Relationship Id="rId7" Type="http://schemas.openxmlformats.org/officeDocument/2006/relationships/hyperlink" Target="https://fossilfrittsverige.se/en/start-english/" TargetMode="External"/><Relationship Id="rId8" Type="http://schemas.openxmlformats.org/officeDocument/2006/relationships/hyperlink" Target="https://www.riksdagen.se/en/news/articles/2023/jun/20/yes-to-the-governments-spring-amending-budget-_cmsff94b926-2480-4016-a66a-74e624cf4cdden/" TargetMode="External"/><Relationship Id="rId9" Type="http://schemas.openxmlformats.org/officeDocument/2006/relationships/hyperlink" Target="https://www.riksdagen.se/sv/dokument-och-lagar/dokument/proposition/energipolitikens-langsiktiga-inriktning_hb03105/html/"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ma">
  <a:themeElements>
    <a:clrScheme name="Office-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ema">
      <a:majorFont>
        <a:latin typeface="Cambria" pitchFamily="0" charset="1"/>
        <a:ea typeface="Cambria" pitchFamily="0" charset="1"/>
        <a:cs typeface="Cambria"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581</TotalTime>
  <Application>LibreOffice/24.8.4.2$MacOSX_X86_64 LibreOffice_project/bb3cfa12c7b1bf994ecc5649a80400d06cd71002</Application>
  <AppVersion>15.0000</AppVersion>
  <Pages>4</Pages>
  <Words>863</Words>
  <Characters>4797</Characters>
  <CharactersWithSpaces>5624</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2022-10-28T20:16:00Z</dcterms:created>
  <dc:creator/>
  <dc:description/>
  <dc:language>se-NO</dc:language>
  <cp:lastModifiedBy/>
  <dcterms:modified xsi:type="dcterms:W3CDTF">2025-01-31T16:58:28Z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