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color="C0504D"/>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color="C0504D"/>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 (Lennon, Dunphy, Sanvicente 2019):</w:t>
              <w:br/>
              <w:t>- Detriments to human health;</w:t>
              <w:br/>
              <w:t>- Biodiversity loss, for instance due to bird collisions wind turbines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Speaking of wind power, a commercial wind farm project described by Lennon, Dunphy and Sanvicente (2019)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(Lennon, Dunphy, Sanvicente 2019).</w:t>
            </w:r>
          </w:p>
          <w:p>
            <w:pPr>
              <w:pStyle w:val="Normal"/>
              <w:spacing w:lineRule="auto" w:line="259" w:before="0" w:after="160"/>
              <w:rPr/>
            </w:pPr>
            <w:r>
              <w:rPr/>
              <w:t>Lennon, Dunphy and Sanvicente (2019) emphasize the importance of local participation and ownership, perception of fairness and trust towards the leaders of change. These are crucial not only to incentivize people to work together, but also to prevent conflicts and winners-losers situations from arising in the communities. 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(Lennon, Dunphy, Sanvicente 2019).</w:t>
            </w:r>
          </w:p>
          <w:p>
            <w:pPr>
              <w:pStyle w:val="Normal"/>
              <w:spacing w:lineRule="auto" w:line="259" w:before="0" w:after="160"/>
              <w:rPr/>
            </w:pPr>
            <w:r>
              <w:rPr/>
              <w:t>Finally, Lennon, Dunphy and Sanvicente (2019) point to the paradox in the facts that 1) energy is crucial to nearly every human activity and 2) people feel alienation and lack of agency in relation to energy systems.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Lennon, Dunphy, Sanvicente 2019</w:t>
            </w:r>
          </w:p>
          <w:p>
            <w:pPr>
              <w:pStyle w:val="Normal"/>
              <w:rPr/>
            </w:pPr>
            <w:r>
              <w:rPr/>
            </w:r>
          </w:p>
          <w:p>
            <w:pPr>
              <w:pStyle w:val="Normal"/>
              <w:rPr/>
            </w:pPr>
            <w:r>
              <w:rPr/>
              <w:t>Mulvaney, 2020</w:t>
            </w:r>
          </w:p>
          <w:p>
            <w:pPr>
              <w:pStyle w:val="Normal"/>
              <w:rPr/>
            </w:pPr>
            <w:r>
              <w:rPr/>
            </w:r>
          </w:p>
          <w:p>
            <w:pPr>
              <w:pStyle w:val="Normal"/>
              <w:rPr/>
            </w:pPr>
            <w:r>
              <w:rPr/>
              <w:t>Pasqualetti, 2011</w:t>
              <w:br/>
            </w:r>
          </w:p>
          <w:p>
            <w:pPr>
              <w:pStyle w:val="Normal"/>
              <w:rPr/>
            </w:pPr>
            <w:r>
              <w:rPr/>
              <w:t>Bernardino et al. 2018</w:t>
            </w:r>
          </w:p>
          <w:p>
            <w:pPr>
              <w:pStyle w:val="Normal"/>
              <w:rPr/>
            </w:pPr>
            <w:r>
              <w:rPr/>
            </w:r>
          </w:p>
          <w:p>
            <w:pPr>
              <w:pStyle w:val="Normal"/>
              <w:rPr/>
            </w:pPr>
            <w:r>
              <w:rPr/>
              <w:t>Pasqualetti, 2001</w:t>
            </w:r>
          </w:p>
          <w:p>
            <w:pPr>
              <w:pStyle w:val="Normal"/>
              <w:rPr/>
            </w:pPr>
            <w:r>
              <w:rPr/>
            </w:r>
          </w:p>
          <w:p>
            <w:pPr>
              <w:pStyle w:val="Normal"/>
              <w:rPr/>
            </w:pPr>
            <w:r>
              <w:rPr/>
              <w:t>Amnesty International, 2025</w:t>
            </w:r>
          </w:p>
          <w:p>
            <w:pPr>
              <w:pStyle w:val="Normal"/>
              <w:rPr/>
            </w:pPr>
            <w:r>
              <w:rPr/>
            </w:r>
          </w:p>
          <w:p>
            <w:pPr>
              <w:pStyle w:val="Normal"/>
              <w:rPr/>
            </w:pPr>
            <w:r>
              <w:rPr/>
              <w:t>Patagonia, 2021</w:t>
            </w:r>
          </w:p>
          <w:p>
            <w:pPr>
              <w:pStyle w:val="Normal"/>
              <w:rPr/>
            </w:pPr>
            <w:r>
              <w:rPr/>
            </w:r>
          </w:p>
          <w:p>
            <w:pPr>
              <w:pStyle w:val="Normal"/>
              <w:rPr/>
            </w:pPr>
            <w:r>
              <w:rPr/>
              <w:t>Magnusson and Palm, 2019</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color="C0504D"/>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color="C0504D"/>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color="C0504D"/>
        </w:rPr>
      </w:pPr>
      <w:r>
        <w:rPr>
          <w:rFonts w:eastAsia="Times New Roman" w:cs="Times New Roman" w:ascii="Times New Roman" w:hAnsi="Times New Roman"/>
          <w:sz w:val="24"/>
          <w:szCs w:val="24"/>
          <w:u w:val="none" w:color="C0504D"/>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87"/>
        <w:gridCol w:w="7978"/>
      </w:tblGrid>
      <w:tr>
        <w:trPr>
          <w:trHeight w:val="2661" w:hRule="atLeast"/>
        </w:trPr>
        <w:tc>
          <w:tcPr>
            <w:tcW w:w="1087"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978"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p>
            <w:pPr>
              <w:pStyle w:val="Normal"/>
              <w:rPr/>
            </w:pPr>
            <w:r>
              <w:rPr/>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ind w:hanging="216" w:left="21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13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2058</TotalTime>
  <Application>LibreOffice/24.2.7.2$Linux_X86_64 LibreOffice_project/420$Build-2</Application>
  <AppVersion>15.0000</AppVersion>
  <Pages>4</Pages>
  <Words>866</Words>
  <Characters>4772</Characters>
  <CharactersWithSpaces>5608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2025-02-20T23:19:09Z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