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707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d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07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203C"/>
          <w:sz w:val="48"/>
        </w:rPr>
        <w:t>hulm.pro</w:t>
        <w:br/>
        <w:t>Brand Guide v1.0</w:t>
      </w:r>
    </w:p>
    <w:p>
      <w:pPr>
        <w:jc w:val="center"/>
      </w:pPr>
      <w:r>
        <w:rPr>
          <w:sz w:val="22"/>
        </w:rPr>
        <w:t>Lokalny wariant sennik.tv dla: świat arabskojęzyczny / MENA</w:t>
        <w:br/>
        <w:t>Domena: hulm.pro</w:t>
      </w:r>
    </w:p>
    <w:p>
      <w:r>
        <w:drawing>
          <wp:inline xmlns:a="http://schemas.openxmlformats.org/drawingml/2006/main" xmlns:pic="http://schemas.openxmlformats.org/drawingml/2006/picture">
            <wp:extent cx="6126480" cy="41694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-n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69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Esencja marki</w:t>
      </w:r>
    </w:p>
    <w:p>
      <w:r>
        <w:t>hulm.pro ma wyglądać jak lokalna siostra sennik.tv, nie jak zupełnie nowy produkt. Zachowujemy nocne niebo, miękkie światło Księżyca, kartowy blog, duży search-first hero i lawendowo-złotą kolorystykę.</w:t>
      </w:r>
    </w:p>
    <w:p>
      <w:r>
        <w:t>Adaptacja arabska powinna używać kierunku RTL, subtelnych motywów hilal/qamar i drobnej geometrii gwiazd. Nie idziemy w religijność, wróżbiarstwo ani ciężką kaligrafię - to nadal spokojna, nowoczesna siostra sennik.tv.</w:t>
      </w:r>
    </w:p>
    <w:p>
      <w:r>
        <w:t>Pozycjonowanie: Spokojny, nowoczesny słownik snów po arabsku, oparty o jasne interpretacje, nie fatalizm.</w:t>
      </w:r>
    </w:p>
    <w:p>
      <w:r>
        <w:t>Obietnica: Pomagamy opisać symbole i emocje ze snów w języku prostym, ciepłym i kulturowo uważnym.</w:t>
      </w:r>
    </w:p>
    <w:p>
      <w:pPr>
        <w:pStyle w:val="Heading1"/>
      </w:pPr>
      <w:r>
        <w:t>2. Nazwa i logo</w:t>
      </w:r>
    </w:p>
    <w:p>
      <w:r>
        <w:drawing>
          <wp:inline xmlns:a="http://schemas.openxmlformats.org/drawingml/2006/main" xmlns:pic="http://schemas.openxmlformats.org/drawingml/2006/picture">
            <wp:extent cx="2834640" cy="731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n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 komunikacji używamy zapisu hulm.pro. Logotyp jest lowercase, miękki i bardzo bliski sennik.tv: półksiężyc, chmura, mały detal gwiazdy i spokojny wordmark.</w:t>
      </w:r>
    </w:p>
    <w:p>
      <w:r>
        <w:t>Dla kontekstu editorialnego można używać opcjonalnego lockupu arabskiego حُلْم.pro, ale główny znak domenowy pozostaje hulm.pro.</w:t>
      </w:r>
    </w:p>
    <w:p>
      <w:pPr>
        <w:pStyle w:val="ListBullet"/>
      </w:pPr>
      <w:r>
        <w:rPr>
          <w:sz w:val="19"/>
        </w:rPr>
        <w:t>Clearspace: minimum wysokość półksiężyca z każdej strony.</w:t>
      </w:r>
    </w:p>
    <w:p>
      <w:pPr>
        <w:pStyle w:val="ListBullet"/>
      </w:pPr>
      <w:r>
        <w:rPr>
          <w:sz w:val="19"/>
        </w:rPr>
        <w:t>Minimalna szerokość pełnego logo w web: 132 px.</w:t>
      </w:r>
    </w:p>
    <w:p>
      <w:pPr>
        <w:pStyle w:val="ListBullet"/>
      </w:pPr>
      <w:r>
        <w:rPr>
          <w:sz w:val="19"/>
        </w:rPr>
        <w:t>Minimalna szerokość symbolu: 24 px.</w:t>
      </w:r>
    </w:p>
    <w:p>
      <w:pPr>
        <w:pStyle w:val="ListBullet"/>
      </w:pPr>
      <w:r>
        <w:rPr>
          <w:sz w:val="19"/>
        </w:rPr>
        <w:t>Nie rozciągać, nie obracać, nie dodawać neonowego glow.</w:t>
      </w:r>
    </w:p>
    <w:p>
      <w:pPr>
        <w:pStyle w:val="ListBullet"/>
      </w:pPr>
      <w:r>
        <w:rPr>
          <w:sz w:val="19"/>
        </w:rPr>
        <w:t>Nie używać lokalnych symboli w sposób dosłowny lub polityczny.</w:t>
      </w:r>
    </w:p>
    <w:p>
      <w:pPr>
        <w:pStyle w:val="Heading1"/>
      </w:pPr>
      <w:r>
        <w:t>3. Kolorystyka</w:t>
      </w:r>
    </w:p>
    <w:p>
      <w:r>
        <w:t>Paleta pozostaje bardzo bliska sennik.tv: ciemna noc, kremowy dzień, lawenda i złoto. Lokalny akcent służy tylko jako detal.</w:t>
      </w:r>
    </w:p>
    <w:p>
      <w:pPr>
        <w:pStyle w:val="Heading3"/>
      </w:pPr>
      <w:r>
        <w:t>Tryb nocny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FE8F2"/>
          </w:tcPr>
          <w:p>
            <w:r/>
            <w:r>
              <w:rPr>
                <w:rFonts w:ascii="Inter" w:hAnsi="Inter"/>
                <w:b/>
                <w:sz w:val="16"/>
              </w:rPr>
              <w:t>Token</w:t>
            </w:r>
          </w:p>
        </w:tc>
        <w:tc>
          <w:tcPr>
            <w:tcW w:type="dxa" w:w="2592"/>
            <w:shd w:fill="EFE8F2"/>
          </w:tcPr>
          <w:p>
            <w:r/>
            <w:r>
              <w:rPr>
                <w:rFonts w:ascii="Inter" w:hAnsi="Inter"/>
                <w:b/>
                <w:sz w:val="16"/>
              </w:rPr>
              <w:t>HEX</w:t>
            </w:r>
          </w:p>
        </w:tc>
        <w:tc>
          <w:tcPr>
            <w:tcW w:type="dxa" w:w="2592"/>
            <w:shd w:fill="EFE8F2"/>
          </w:tcPr>
          <w:p>
            <w:r/>
            <w:r>
              <w:rPr>
                <w:rFonts w:ascii="Inter" w:hAnsi="Inter"/>
                <w:b/>
                <w:sz w:val="16"/>
              </w:rPr>
              <w:t>Próbka</w:t>
            </w:r>
          </w:p>
        </w:tc>
        <w:tc>
          <w:tcPr>
            <w:tcW w:type="dxa" w:w="2592"/>
            <w:shd w:fill="EFE8F2"/>
          </w:tcPr>
          <w:p>
            <w:r/>
            <w:r>
              <w:rPr>
                <w:rFonts w:ascii="Inter" w:hAnsi="Inter"/>
                <w:b/>
                <w:sz w:val="16"/>
              </w:rPr>
              <w:t>Użycie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--hp-bg</w:t>
            </w:r>
          </w:p>
        </w:tc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#0F1326</w:t>
            </w:r>
          </w:p>
        </w:tc>
        <w:tc>
          <w:tcPr>
            <w:tcW w:type="dxa" w:w="2592"/>
            <w:shd w:fill="0F1326"/>
          </w:tcPr>
          <w:p/>
        </w:tc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główne tło nocne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--hp-surface</w:t>
            </w:r>
          </w:p>
        </w:tc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#1A1F38</w:t>
            </w:r>
          </w:p>
        </w:tc>
        <w:tc>
          <w:tcPr>
            <w:tcW w:type="dxa" w:w="2592"/>
            <w:shd w:fill="1A1F38"/>
          </w:tcPr>
          <w:p/>
        </w:tc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karty i inputy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--hp-text</w:t>
            </w:r>
          </w:p>
        </w:tc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#F4DED3</w:t>
            </w:r>
          </w:p>
        </w:tc>
        <w:tc>
          <w:tcPr>
            <w:tcW w:type="dxa" w:w="2592"/>
            <w:shd w:fill="F4DED3"/>
          </w:tcPr>
          <w:p/>
        </w:tc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nagłówki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--hp-body</w:t>
            </w:r>
          </w:p>
        </w:tc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#BBB0C4</w:t>
            </w:r>
          </w:p>
        </w:tc>
        <w:tc>
          <w:tcPr>
            <w:tcW w:type="dxa" w:w="2592"/>
            <w:shd w:fill="BBB0C4"/>
          </w:tcPr>
          <w:p/>
        </w:tc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akapity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--hp-primary</w:t>
            </w:r>
          </w:p>
        </w:tc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#B08AC6</w:t>
            </w:r>
          </w:p>
        </w:tc>
        <w:tc>
          <w:tcPr>
            <w:tcW w:type="dxa" w:w="2592"/>
            <w:shd w:fill="B08AC6"/>
          </w:tcPr>
          <w:p/>
        </w:tc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focus, aktywne stany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--hp-gold</w:t>
            </w:r>
          </w:p>
        </w:tc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#E0A14B</w:t>
            </w:r>
          </w:p>
        </w:tc>
        <w:tc>
          <w:tcPr>
            <w:tcW w:type="dxa" w:w="2592"/>
            <w:shd w:fill="E0A14B"/>
          </w:tcPr>
          <w:p/>
        </w:tc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Księżyc, gwiazdy</w:t>
            </w:r>
          </w:p>
        </w:tc>
      </w:tr>
    </w:tbl>
    <w:p/>
    <w:p>
      <w:pPr>
        <w:pStyle w:val="Heading3"/>
      </w:pPr>
      <w:r>
        <w:t>Tryb dzienny i akcent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FE8F2"/>
          </w:tcPr>
          <w:p>
            <w:r/>
            <w:r>
              <w:rPr>
                <w:rFonts w:ascii="Inter" w:hAnsi="Inter"/>
                <w:b/>
                <w:sz w:val="16"/>
              </w:rPr>
              <w:t>Token</w:t>
            </w:r>
          </w:p>
        </w:tc>
        <w:tc>
          <w:tcPr>
            <w:tcW w:type="dxa" w:w="2592"/>
            <w:shd w:fill="EFE8F2"/>
          </w:tcPr>
          <w:p>
            <w:r/>
            <w:r>
              <w:rPr>
                <w:rFonts w:ascii="Inter" w:hAnsi="Inter"/>
                <w:b/>
                <w:sz w:val="16"/>
              </w:rPr>
              <w:t>HEX</w:t>
            </w:r>
          </w:p>
        </w:tc>
        <w:tc>
          <w:tcPr>
            <w:tcW w:type="dxa" w:w="2592"/>
            <w:shd w:fill="EFE8F2"/>
          </w:tcPr>
          <w:p>
            <w:r/>
            <w:r>
              <w:rPr>
                <w:rFonts w:ascii="Inter" w:hAnsi="Inter"/>
                <w:b/>
                <w:sz w:val="16"/>
              </w:rPr>
              <w:t>Próbka</w:t>
            </w:r>
          </w:p>
        </w:tc>
        <w:tc>
          <w:tcPr>
            <w:tcW w:type="dxa" w:w="2592"/>
            <w:shd w:fill="EFE8F2"/>
          </w:tcPr>
          <w:p>
            <w:r/>
            <w:r>
              <w:rPr>
                <w:rFonts w:ascii="Inter" w:hAnsi="Inter"/>
                <w:b/>
                <w:sz w:val="16"/>
              </w:rPr>
              <w:t>Użycie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--hp-bg</w:t>
            </w:r>
          </w:p>
        </w:tc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#F9DFC2</w:t>
            </w:r>
          </w:p>
        </w:tc>
        <w:tc>
          <w:tcPr>
            <w:tcW w:type="dxa" w:w="2592"/>
            <w:shd w:fill="F9DFC2"/>
          </w:tcPr>
          <w:p/>
        </w:tc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główne tło dzienne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--hp-surface</w:t>
            </w:r>
          </w:p>
        </w:tc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#FBE9D4</w:t>
            </w:r>
          </w:p>
        </w:tc>
        <w:tc>
          <w:tcPr>
            <w:tcW w:type="dxa" w:w="2592"/>
            <w:shd w:fill="FBE9D4"/>
          </w:tcPr>
          <w:p/>
        </w:tc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karty i inputy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--hp-border</w:t>
            </w:r>
          </w:p>
        </w:tc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#E4C39D</w:t>
            </w:r>
          </w:p>
        </w:tc>
        <w:tc>
          <w:tcPr>
            <w:tcW w:type="dxa" w:w="2592"/>
            <w:shd w:fill="E4C39D"/>
          </w:tcPr>
          <w:p/>
        </w:tc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obrysy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--hp-text</w:t>
            </w:r>
          </w:p>
        </w:tc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#14203C</w:t>
            </w:r>
          </w:p>
        </w:tc>
        <w:tc>
          <w:tcPr>
            <w:tcW w:type="dxa" w:w="2592"/>
            <w:shd w:fill="14203C"/>
          </w:tcPr>
          <w:p/>
        </w:tc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nagłówki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--hp-oasisTeal</w:t>
            </w:r>
          </w:p>
        </w:tc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#2F8A84</w:t>
            </w:r>
          </w:p>
        </w:tc>
        <w:tc>
          <w:tcPr>
            <w:tcW w:type="dxa" w:w="2592"/>
            <w:shd w:fill="2F8A84"/>
          </w:tcPr>
          <w:p/>
        </w:tc>
        <w:tc>
          <w:tcPr>
            <w:tcW w:type="dxa" w:w="2592"/>
          </w:tcPr>
          <w:p>
            <w:r/>
            <w:r>
              <w:rPr>
                <w:rFonts w:ascii="Inter" w:hAnsi="Inter"/>
                <w:b w:val="0"/>
                <w:sz w:val="16"/>
              </w:rPr>
              <w:t>oaza / teal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575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palet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Typografia</w:t>
      </w:r>
    </w:p>
    <w:p>
      <w:r>
        <w:t>Rekomendowany stack: Noto Sans Arabic, IBM Plex Sans Arabic, Tajawal, Inter, system-ui, sans-serif</w:t>
      </w:r>
    </w:p>
    <w:p>
      <w:r>
        <w:t>Sprawdzić ligatury, kerning i interpunkcję RTL; HTML powinien mieć `lang="ar" dir="rtl"`.</w:t>
      </w:r>
    </w:p>
    <w:p>
      <w:pPr>
        <w:pStyle w:val="ListBullet"/>
      </w:pPr>
      <w:r>
        <w:rPr>
          <w:sz w:val="19"/>
        </w:rPr>
        <w:t>H1 hero: 56-72 px desktop, 42-48 px mobile, ExtraBold.</w:t>
      </w:r>
    </w:p>
    <w:p>
      <w:pPr>
        <w:pStyle w:val="ListBullet"/>
      </w:pPr>
      <w:r>
        <w:rPr>
          <w:sz w:val="19"/>
        </w:rPr>
        <w:t>H2 strony: 34-44 px, ExtraBold.</w:t>
      </w:r>
    </w:p>
    <w:p>
      <w:pPr>
        <w:pStyle w:val="ListBullet"/>
      </w:pPr>
      <w:r>
        <w:rPr>
          <w:sz w:val="19"/>
        </w:rPr>
        <w:t>Body: 16-18 px, line-height 1.6.</w:t>
      </w:r>
    </w:p>
    <w:p>
      <w:pPr>
        <w:pStyle w:val="ListBullet"/>
      </w:pPr>
      <w:r>
        <w:rPr>
          <w:sz w:val="19"/>
        </w:rPr>
        <w:t>Meta/kicker: 12-13 px, semibold/uppercase tam, gdzie pasuje do pisma.</w:t>
      </w:r>
    </w:p>
    <w:p>
      <w:pPr>
        <w:pStyle w:val="Heading1"/>
      </w:pPr>
      <w:r>
        <w:t>5. Język marki i lokalne copy</w:t>
      </w:r>
    </w:p>
    <w:p>
      <w:r>
        <w:t>Marka mówi spokojnie i jasno. Nie straszy, nie obiecuje przepowiedni, nie używa kategorycznych diagnoz.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rFonts w:ascii="Inter" w:hAnsi="Inter"/>
                <w:b/>
                <w:sz w:val="18"/>
              </w:rPr>
              <w:t>Używać</w:t>
            </w:r>
          </w:p>
        </w:tc>
        <w:tc>
          <w:tcPr>
            <w:tcW w:type="dxa" w:w="5184"/>
          </w:tcPr>
          <w:p>
            <w:r/>
            <w:r>
              <w:rPr>
                <w:rFonts w:ascii="Inter" w:hAnsi="Inter"/>
                <w:b/>
                <w:sz w:val="18"/>
              </w:rPr>
              <w:t>Unikać</w:t>
            </w:r>
          </w:p>
        </w:tc>
      </w:tr>
      <w:tr>
        <w:tc>
          <w:tcPr>
            <w:tcW w:type="dxa" w:w="5184"/>
          </w:tcPr>
          <w:p>
            <w:pPr>
              <w:jc w:val="right"/>
              <w:bidi/>
            </w:pPr>
            <w:r/>
            <w:r>
              <w:rPr>
                <w:rFonts w:ascii="Noto Sans Arabic" w:hAnsi="Noto Sans Arabic" w:cs="Noto Sans Arabic"/>
                <w:b w:val="0"/>
                <w:sz w:val="18"/>
              </w:rPr>
              <w:t>قد يدل على</w:t>
            </w:r>
          </w:p>
        </w:tc>
        <w:tc>
          <w:tcPr>
            <w:tcW w:type="dxa" w:w="5184"/>
          </w:tcPr>
          <w:p>
            <w:pPr>
              <w:jc w:val="right"/>
              <w:bidi/>
            </w:pPr>
            <w:r/>
            <w:r>
              <w:rPr>
                <w:rFonts w:ascii="Noto Sans Arabic" w:hAnsi="Noto Sans Arabic" w:cs="Noto Sans Arabic"/>
                <w:b w:val="0"/>
                <w:sz w:val="18"/>
              </w:rPr>
              <w:t>سيحدث لك حتماً</w:t>
            </w:r>
          </w:p>
        </w:tc>
      </w:tr>
      <w:tr>
        <w:tc>
          <w:tcPr>
            <w:tcW w:type="dxa" w:w="5184"/>
          </w:tcPr>
          <w:p>
            <w:pPr>
              <w:jc w:val="right"/>
              <w:bidi/>
            </w:pPr>
            <w:r/>
            <w:r>
              <w:rPr>
                <w:rFonts w:ascii="Noto Sans Arabic" w:hAnsi="Noto Sans Arabic" w:cs="Noto Sans Arabic"/>
                <w:b w:val="0"/>
                <w:sz w:val="18"/>
              </w:rPr>
              <w:t>يمكن أن يشير إلى</w:t>
            </w:r>
          </w:p>
        </w:tc>
        <w:tc>
          <w:tcPr>
            <w:tcW w:type="dxa" w:w="5184"/>
          </w:tcPr>
          <w:p>
            <w:pPr>
              <w:jc w:val="right"/>
              <w:bidi/>
            </w:pPr>
            <w:r/>
            <w:r>
              <w:rPr>
                <w:rFonts w:ascii="Noto Sans Arabic" w:hAnsi="Noto Sans Arabic" w:cs="Noto Sans Arabic"/>
                <w:b w:val="0"/>
                <w:sz w:val="18"/>
              </w:rPr>
              <w:t>مصيرك</w:t>
            </w:r>
          </w:p>
        </w:tc>
      </w:tr>
      <w:tr>
        <w:tc>
          <w:tcPr>
            <w:tcW w:type="dxa" w:w="5184"/>
          </w:tcPr>
          <w:p>
            <w:pPr>
              <w:jc w:val="right"/>
              <w:bidi/>
            </w:pPr>
            <w:r/>
            <w:r>
              <w:rPr>
                <w:rFonts w:ascii="Noto Sans Arabic" w:hAnsi="Noto Sans Arabic" w:cs="Noto Sans Arabic"/>
                <w:b w:val="0"/>
                <w:sz w:val="18"/>
              </w:rPr>
              <w:t>غالباً</w:t>
            </w:r>
          </w:p>
        </w:tc>
        <w:tc>
          <w:tcPr>
            <w:tcW w:type="dxa" w:w="5184"/>
          </w:tcPr>
          <w:p>
            <w:pPr>
              <w:jc w:val="right"/>
              <w:bidi/>
            </w:pPr>
            <w:r/>
            <w:r>
              <w:rPr>
                <w:rFonts w:ascii="Noto Sans Arabic" w:hAnsi="Noto Sans Arabic" w:cs="Noto Sans Arabic"/>
                <w:b w:val="0"/>
                <w:sz w:val="18"/>
              </w:rPr>
              <w:t>لعنة</w:t>
            </w:r>
          </w:p>
        </w:tc>
      </w:tr>
      <w:tr>
        <w:tc>
          <w:tcPr>
            <w:tcW w:type="dxa" w:w="5184"/>
          </w:tcPr>
          <w:p>
            <w:pPr>
              <w:jc w:val="right"/>
              <w:bidi/>
            </w:pPr>
            <w:r/>
            <w:r>
              <w:rPr>
                <w:rFonts w:ascii="Noto Sans Arabic" w:hAnsi="Noto Sans Arabic" w:cs="Noto Sans Arabic"/>
                <w:b w:val="0"/>
                <w:sz w:val="18"/>
              </w:rPr>
              <w:t>أحياناً</w:t>
            </w:r>
          </w:p>
        </w:tc>
        <w:tc>
          <w:tcPr>
            <w:tcW w:type="dxa" w:w="5184"/>
          </w:tcPr>
          <w:p>
            <w:pPr>
              <w:jc w:val="right"/>
              <w:bidi/>
            </w:pPr>
            <w:r/>
            <w:r>
              <w:rPr>
                <w:rFonts w:ascii="Noto Sans Arabic" w:hAnsi="Noto Sans Arabic" w:cs="Noto Sans Arabic"/>
                <w:b w:val="0"/>
                <w:sz w:val="18"/>
              </w:rPr>
              <w:t>نبوءة مؤكدة</w:t>
            </w:r>
          </w:p>
        </w:tc>
      </w:tr>
      <w:tr>
        <w:tc>
          <w:tcPr>
            <w:tcW w:type="dxa" w:w="5184"/>
          </w:tcPr>
          <w:p>
            <w:pPr>
              <w:jc w:val="right"/>
              <w:bidi/>
            </w:pPr>
            <w:r/>
            <w:r>
              <w:rPr>
                <w:rFonts w:ascii="Noto Sans Arabic" w:hAnsi="Noto Sans Arabic" w:cs="Noto Sans Arabic"/>
                <w:b w:val="0"/>
                <w:sz w:val="18"/>
              </w:rPr>
              <w:t>قراءة محتملة</w:t>
            </w:r>
          </w:p>
        </w:tc>
        <w:tc>
          <w:tcPr>
            <w:tcW w:type="dxa" w:w="5184"/>
          </w:tcPr>
          <w:p>
            <w:pPr>
              <w:jc w:val="right"/>
              <w:bidi/>
            </w:pPr>
            <w:r/>
            <w:r>
              <w:rPr>
                <w:rFonts w:ascii="Noto Sans Arabic" w:hAnsi="Noto Sans Arabic" w:cs="Noto Sans Arabic"/>
                <w:b w:val="0"/>
                <w:sz w:val="18"/>
              </w:rPr>
              <w:t>لا شك أن</w:t>
            </w:r>
          </w:p>
        </w:tc>
      </w:tr>
    </w:tbl>
    <w:p>
      <w:pPr>
        <w:pStyle w:val="Heading2"/>
      </w:pPr>
      <w:r>
        <w:t>Hero</w:t>
      </w:r>
    </w:p>
    <w:p>
      <w:pPr>
        <w:jc w:val="right"/>
        <w:bidi/>
      </w:pPr>
      <w:r>
        <w:rPr>
          <w:b/>
        </w:rPr>
        <w:t xml:space="preserve">H1: </w:t>
      </w:r>
      <w:r>
        <w:rPr>
          <w:rFonts w:ascii="Noto Sans Arabic" w:hAnsi="Noto Sans Arabic"/>
          <w:sz w:val="19"/>
        </w:rPr>
        <w:t>ماذا يعني حلمك؟</w:t>
      </w:r>
    </w:p>
    <w:p>
      <w:pPr>
        <w:jc w:val="right"/>
        <w:bidi/>
      </w:pPr>
      <w:r>
        <w:rPr>
          <w:b/>
        </w:rPr>
        <w:t xml:space="preserve">Lead: </w:t>
      </w:r>
      <w:r>
        <w:rPr>
          <w:rFonts w:ascii="Noto Sans Arabic" w:hAnsi="Noto Sans Arabic"/>
          <w:sz w:val="19"/>
        </w:rPr>
        <w:t>اكتب ما رأيت في حلمك - كلمة واحدة أو مشهداً كاملاً. ستجد تفسيرات واضحة ومطمئنة للرموز والتركيبات مثل 'كلب أسود' أو 'ثعبان في الماء'.</w:t>
      </w:r>
    </w:p>
    <w:p>
      <w:pPr>
        <w:jc w:val="right"/>
        <w:bidi/>
      </w:pPr>
      <w:r>
        <w:rPr>
          <w:b/>
        </w:rPr>
        <w:t xml:space="preserve">Placeholder: </w:t>
      </w:r>
      <w:r>
        <w:rPr>
          <w:rFonts w:ascii="Noto Sans Arabic" w:hAnsi="Noto Sans Arabic"/>
          <w:sz w:val="19"/>
        </w:rPr>
        <w:t>احكِ حلمك...</w:t>
      </w:r>
    </w:p>
    <w:p>
      <w:pPr>
        <w:jc w:val="right"/>
        <w:bidi/>
      </w:pPr>
      <w:r>
        <w:rPr>
          <w:b/>
        </w:rPr>
        <w:t xml:space="preserve">Helper 1: </w:t>
      </w:r>
      <w:r>
        <w:rPr>
          <w:rFonts w:ascii="Noto Sans Arabic" w:hAnsi="Noto Sans Arabic"/>
          <w:sz w:val="19"/>
        </w:rPr>
        <w:t>لم تجد؟ صِف حلمك ←</w:t>
      </w:r>
    </w:p>
    <w:p>
      <w:pPr>
        <w:jc w:val="right"/>
        <w:bidi/>
      </w:pPr>
      <w:r>
        <w:rPr>
          <w:b/>
        </w:rPr>
        <w:t xml:space="preserve">Helper 2: </w:t>
      </w:r>
      <w:r>
        <w:rPr>
          <w:rFonts w:ascii="Noto Sans Arabic" w:hAnsi="Noto Sans Arabic"/>
          <w:sz w:val="19"/>
        </w:rPr>
        <w:t>احفظ الحلم في يومياتك ←</w:t>
      </w:r>
    </w:p>
    <w:p>
      <w:pPr>
        <w:pStyle w:val="Heading1"/>
      </w:pPr>
      <w:r>
        <w:t>6. UI i layout</w:t>
      </w:r>
    </w:p>
    <w:p>
      <w:r>
        <w:t>Layout bazuje na sennik.tv: header 64 px, duży hero, centralny input, spokojne karty blogowe, przełącznik Dzień/Noc.</w:t>
      </w:r>
    </w:p>
    <w:p>
      <w:r>
        <w:t>Dla hulm.pro UI działa w RTL: logo i czytanie od prawej, input align-right, karty odwrócone, ale proporcje i rytm zostają takie same jak w sennik.tv.</w:t>
      </w:r>
    </w:p>
    <w:p>
      <w:r>
        <w:drawing>
          <wp:inline xmlns:a="http://schemas.openxmlformats.org/drawingml/2006/main" xmlns:pic="http://schemas.openxmlformats.org/drawingml/2006/picture">
            <wp:extent cx="6126480" cy="52755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g-d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275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Karty blogowe - przykłady</w:t>
      </w:r>
    </w:p>
    <w:p>
      <w:pPr>
        <w:jc w:val="right"/>
        <w:bidi/>
      </w:pPr>
      <w:r>
        <w:rPr>
          <w:b/>
        </w:rPr>
        <w:t>ماذا يعني الحلم بشريك سابق؟</w:t>
      </w:r>
      <w:r>
        <w:t xml:space="preserve"> - قد يظهر الشريك السابق في الحلم فتستيقظ مع مشاعر كثيرة. هذه قراءة هادئة لا تخوّف ولا تقدّم وعوداً حاسمة. (5 يوليو 2026 · 7 دقائق قراءة)</w:t>
      </w:r>
    </w:p>
    <w:p>
      <w:pPr>
        <w:jc w:val="right"/>
        <w:bidi/>
      </w:pPr>
      <w:r>
        <w:rPr>
          <w:b/>
        </w:rPr>
        <w:t>لماذا نحلم بمن رحلوا؟</w:t>
      </w:r>
      <w:r>
        <w:t xml:space="preserve"> - أحلام الأحبة الراحلين قد تبدو واقعية جداً. نقرأها من زاوية الذاكرة والارتباط والاشتياق، لا من زاوية الخوف. (4 يوليو 2026 · 6 دقائق قراءة)</w:t>
      </w:r>
    </w:p>
    <w:p>
      <w:pPr>
        <w:jc w:val="right"/>
        <w:bidi/>
      </w:pPr>
      <w:r>
        <w:rPr>
          <w:b/>
        </w:rPr>
        <w:t>لماذا ننسى أحلامنا وكيف نتذكرها؟</w:t>
      </w:r>
      <w:r>
        <w:t xml:space="preserve"> - يختفي الحلم أحياناً قبل أن نفتح أعيننا جيداً. هذه عادات بسيطة تساعدك على تذكّر الصور الليلية مدة أطول. (4 يوليو 2026 · 7 دقائق قراءة)</w:t>
      </w:r>
    </w:p>
    <w:p>
      <w:pPr>
        <w:pStyle w:val="Heading1"/>
      </w:pPr>
      <w:r>
        <w:t>7. Ilustracje</w:t>
      </w:r>
    </w:p>
    <w:p>
      <w:r>
        <w:t>Styl powinien pozostać jak w sennik.tv: książkowy, miękki, nocny, z dużym Księżycem i łagodną teksturą.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rFonts w:ascii="Inter" w:hAnsi="Inter"/>
                <w:b/>
                <w:sz w:val="18"/>
              </w:rPr>
              <w:t>Do</w:t>
            </w:r>
          </w:p>
        </w:tc>
        <w:tc>
          <w:tcPr>
            <w:tcW w:type="dxa" w:w="5184"/>
          </w:tcPr>
          <w:p>
            <w:r/>
            <w:r>
              <w:rPr>
                <w:rFonts w:ascii="Inter" w:hAnsi="Inter"/>
                <w:b/>
                <w:sz w:val="18"/>
              </w:rPr>
              <w:t>Don't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Inter" w:hAnsi="Inter"/>
                <w:b w:val="0"/>
                <w:sz w:val="18"/>
              </w:rPr>
              <w:t>duży Księżyc albo półksiężyc jako spokojne światło</w:t>
            </w:r>
          </w:p>
        </w:tc>
        <w:tc>
          <w:tcPr>
            <w:tcW w:type="dxa" w:w="5184"/>
          </w:tcPr>
          <w:p>
            <w:r/>
            <w:r>
              <w:rPr>
                <w:rFonts w:ascii="Inter" w:hAnsi="Inter"/>
                <w:b w:val="0"/>
                <w:sz w:val="18"/>
              </w:rPr>
              <w:t>nadmiar religijnych lub politycznych symboli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Inter" w:hAnsi="Inter"/>
                <w:b w:val="0"/>
                <w:sz w:val="18"/>
              </w:rPr>
              <w:t>delikatna geometria gwiazd i miękkie łuki</w:t>
            </w:r>
          </w:p>
        </w:tc>
        <w:tc>
          <w:tcPr>
            <w:tcW w:type="dxa" w:w="5184"/>
          </w:tcPr>
          <w:p>
            <w:r/>
            <w:r>
              <w:rPr>
                <w:rFonts w:ascii="Inter" w:hAnsi="Inter"/>
                <w:b w:val="0"/>
                <w:sz w:val="18"/>
              </w:rPr>
              <w:t>ciężka kaligrafia w całym UI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Inter" w:hAnsi="Inter"/>
                <w:b w:val="0"/>
                <w:sz w:val="18"/>
              </w:rPr>
              <w:t>ciepły beż, daktylowe złoto, nocna lawenda</w:t>
            </w:r>
          </w:p>
        </w:tc>
        <w:tc>
          <w:tcPr>
            <w:tcW w:type="dxa" w:w="5184"/>
          </w:tcPr>
          <w:p>
            <w:r/>
            <w:r>
              <w:rPr>
                <w:rFonts w:ascii="Inter" w:hAnsi="Inter"/>
                <w:b w:val="0"/>
                <w:sz w:val="18"/>
              </w:rPr>
              <w:t>fatalizm, przepowiednie, straszenie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Inter" w:hAnsi="Inter"/>
                <w:b w:val="0"/>
                <w:sz w:val="18"/>
              </w:rPr>
              <w:t>neutralne sylwetki i domowe sceny</w:t>
            </w:r>
          </w:p>
        </w:tc>
        <w:tc>
          <w:tcPr>
            <w:tcW w:type="dxa" w:w="5184"/>
          </w:tcPr>
          <w:p>
            <w:r/>
            <w:r>
              <w:rPr>
                <w:rFonts w:ascii="Inter" w:hAnsi="Inter"/>
                <w:b w:val="0"/>
                <w:sz w:val="18"/>
              </w:rPr>
              <w:t>orientalistyczne stereotypy i stockowe pustynie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4519" cy="10650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-partn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0650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874519" cy="10650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ved-o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0650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874519" cy="10650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ember-drea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0650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pStyle w:val="Heading1"/>
      </w:pPr>
      <w:r>
        <w:t>8. SEO i content</w:t>
      </w:r>
    </w:p>
    <w:p>
      <w:pPr>
        <w:pStyle w:val="ListBullet"/>
        <w:jc w:val="right"/>
        <w:bidi/>
      </w:pPr>
      <w:r>
        <w:t>حلم كلب أسود -&gt; /tafsir-hulm-kalb-aswad -&gt; حلم كلب أسود: معانٍ محتملة وقراءة هادئة</w:t>
      </w:r>
    </w:p>
    <w:p>
      <w:pPr>
        <w:pStyle w:val="ListBullet"/>
        <w:jc w:val="right"/>
        <w:bidi/>
      </w:pPr>
      <w:r>
        <w:t>حلم ثعبان في الماء -&gt; /tafsir-hulm-thuban-fi-al-maa -&gt; حلم ثعبان في الماء: ماذا يمكن أن يشير؟</w:t>
      </w:r>
    </w:p>
    <w:p>
      <w:pPr>
        <w:pStyle w:val="ListBullet"/>
        <w:jc w:val="right"/>
        <w:bidi/>
      </w:pPr>
      <w:r>
        <w:t>حلم سقوط الأسنان -&gt; /tafsir-hulm-suqut-al-asnan -&gt; حلم سقوط الأسنان: قلق، تغير أم حاجة للعناية؟</w:t>
      </w:r>
    </w:p>
    <w:p>
      <w:r>
        <w:t>Zasada: tytuły mają brzmieć jak pomocna interpretacja, nie jak wyrok. Długie frazy i kombinacje symboli są ważniejsze niż krótkie hasła ogólne.</w:t>
      </w:r>
    </w:p>
    <w:p>
      <w:pPr>
        <w:pStyle w:val="Heading1"/>
      </w:pPr>
      <w:r>
        <w:t>9. Implementacja i pliki</w:t>
      </w:r>
    </w:p>
    <w:p>
      <w:pPr>
        <w:pStyle w:val="ListBullet"/>
      </w:pPr>
      <w:r>
        <w:rPr>
          <w:sz w:val="19"/>
        </w:rPr>
        <w:t>assets/css/hulm-theme.css - zmienne i layout bazowy.</w:t>
      </w:r>
    </w:p>
    <w:p>
      <w:pPr>
        <w:pStyle w:val="ListBullet"/>
      </w:pPr>
      <w:r>
        <w:rPr>
          <w:sz w:val="19"/>
        </w:rPr>
        <w:t>assets/css/hulm-components.css - komponenty i footer.</w:t>
      </w:r>
    </w:p>
    <w:p>
      <w:pPr>
        <w:pStyle w:val="ListBullet"/>
      </w:pPr>
      <w:r>
        <w:rPr>
          <w:sz w:val="19"/>
        </w:rPr>
        <w:t>assets/tokens/design-tokens.json - tokeny design/dev.</w:t>
      </w:r>
    </w:p>
    <w:p>
      <w:pPr>
        <w:pStyle w:val="ListBullet"/>
      </w:pPr>
      <w:r>
        <w:rPr>
          <w:sz w:val="19"/>
        </w:rPr>
        <w:t>assets/html/homepage-night-preview.html - statyczny preview night.</w:t>
      </w:r>
    </w:p>
    <w:p>
      <w:pPr>
        <w:pStyle w:val="ListBullet"/>
      </w:pPr>
      <w:r>
        <w:rPr>
          <w:sz w:val="19"/>
        </w:rPr>
        <w:t>assets/html/blog-day-preview.html - statyczny preview day.</w:t>
      </w:r>
    </w:p>
    <w:p>
      <w:pPr>
        <w:pStyle w:val="ListBullet"/>
      </w:pPr>
      <w:r>
        <w:rPr>
          <w:sz w:val="19"/>
        </w:rPr>
        <w:t>implementation/hero-search.html i article-card.html - starter markup.</w:t>
      </w:r>
    </w:p>
    <w:p>
      <w:pPr>
        <w:pStyle w:val="Heading1"/>
      </w:pPr>
      <w:r>
        <w:t>10. Checklist launch</w:t>
      </w:r>
    </w:p>
    <w:p>
      <w:pPr>
        <w:pStyle w:val="ListBullet"/>
      </w:pPr>
      <w:r>
        <w:rPr>
          <w:sz w:val="19"/>
        </w:rPr>
        <w:t>Logo w SVG i PNG podpięte w headerze.</w:t>
      </w:r>
    </w:p>
    <w:p>
      <w:pPr>
        <w:pStyle w:val="ListBullet"/>
      </w:pPr>
      <w:r>
        <w:rPr>
          <w:sz w:val="19"/>
        </w:rPr>
        <w:t>Favicon site-icon.svg i PNG 512.</w:t>
      </w:r>
    </w:p>
    <w:p>
      <w:pPr>
        <w:pStyle w:val="ListBullet"/>
      </w:pPr>
      <w:r>
        <w:rPr>
          <w:sz w:val="19"/>
        </w:rPr>
        <w:t>HTML ma lang="ar" i dir="rtl".</w:t>
      </w:r>
    </w:p>
    <w:p>
      <w:pPr>
        <w:pStyle w:val="ListBullet"/>
      </w:pPr>
      <w:r>
        <w:rPr>
          <w:sz w:val="19"/>
        </w:rPr>
        <w:t>Tryby day/night testowane na mobile.</w:t>
      </w:r>
    </w:p>
    <w:p>
      <w:pPr>
        <w:pStyle w:val="ListBullet"/>
      </w:pPr>
      <w:r>
        <w:rPr>
          <w:sz w:val="19"/>
        </w:rPr>
        <w:t>Focus inputu widoczny klawiaturą.</w:t>
      </w:r>
    </w:p>
    <w:p>
      <w:pPr>
        <w:pStyle w:val="ListBullet"/>
      </w:pPr>
      <w:r>
        <w:rPr>
          <w:sz w:val="19"/>
        </w:rPr>
        <w:t>Karty mają alt text albo puste alt, jeśli obraz jest dekoracyjny.</w:t>
      </w:r>
    </w:p>
    <w:p>
      <w:pPr>
        <w:pStyle w:val="ListBullet"/>
      </w:pPr>
      <w:r>
        <w:rPr>
          <w:sz w:val="19"/>
        </w:rPr>
        <w:t>Ton tekstów: spokojny, pomocny, bez straszenia.</w:t>
      </w:r>
    </w:p>
    <w:p>
      <w:pPr>
        <w:pStyle w:val="ListBullet"/>
      </w:pPr>
      <w:r>
        <w:rPr>
          <w:sz w:val="19"/>
        </w:rPr>
        <w:t>Fonty testowane na lokalnych znakach i realnych danych.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1720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5F4A7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5F4A7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b/>
      <w:color w:val="1720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