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E853D" w14:textId="77777777" w:rsidR="00C17EE8" w:rsidRDefault="004F4AD0">
      <w:pPr>
        <w:spacing w:after="120"/>
      </w:pPr>
      <w:r>
        <w:rPr>
          <w:noProof/>
        </w:rPr>
        <w:drawing>
          <wp:inline distT="0" distB="0" distL="0" distR="0" wp14:anchorId="066886EA" wp14:editId="730C7122">
            <wp:extent cx="609600" cy="60960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 cy="609600"/>
                    </a:xfrm>
                    <a:prstGeom prst="rect">
                      <a:avLst/>
                    </a:prstGeom>
                  </pic:spPr>
                </pic:pic>
              </a:graphicData>
            </a:graphic>
          </wp:inline>
        </w:drawing>
      </w:r>
      <w:r>
        <w:rPr>
          <w:b/>
          <w:bCs/>
          <w:color w:val="4B0082"/>
          <w:spacing w:val="60"/>
          <w:sz w:val="28"/>
          <w:szCs w:val="28"/>
        </w:rPr>
        <w:t xml:space="preserve">   SUPPLEMENTAL</w:t>
      </w:r>
    </w:p>
    <w:p w14:paraId="66DA31B3" w14:textId="77777777" w:rsidR="00C17EE8" w:rsidRDefault="00C17EE8">
      <w:pPr>
        <w:pBdr>
          <w:bottom w:val="single" w:sz="24" w:space="4" w:color="4B0082"/>
        </w:pBdr>
        <w:spacing w:after="80"/>
      </w:pPr>
    </w:p>
    <w:p w14:paraId="5BB1973D" w14:textId="77777777" w:rsidR="00C17EE8" w:rsidRDefault="004F4AD0">
      <w:pPr>
        <w:spacing w:after="1200"/>
      </w:pPr>
      <w:r>
        <w:rPr>
          <w:color w:val="6B7280"/>
          <w:spacing w:val="40"/>
          <w:sz w:val="16"/>
          <w:szCs w:val="16"/>
        </w:rPr>
        <w:t>PRAWO ŻYWNOŚCIOWE  ·  COMPLIANCE SUPLEMENTÓW  ·  AI</w:t>
      </w:r>
    </w:p>
    <w:p w14:paraId="4703D8A0" w14:textId="77777777" w:rsidR="00C17EE8" w:rsidRDefault="004F4AD0">
      <w:pPr>
        <w:spacing w:after="200"/>
      </w:pPr>
      <w:r>
        <w:rPr>
          <w:b/>
          <w:bCs/>
          <w:spacing w:val="60"/>
          <w:sz w:val="56"/>
          <w:szCs w:val="56"/>
        </w:rPr>
        <w:t>OPINIA PRAWNA</w:t>
      </w:r>
    </w:p>
    <w:p w14:paraId="799A4751" w14:textId="77777777" w:rsidR="00C17EE8" w:rsidRDefault="004F4AD0">
      <w:pPr>
        <w:spacing w:after="360"/>
      </w:pPr>
      <w:r>
        <w:rPr>
          <w:i/>
          <w:iCs/>
          <w:color w:val="6B21A8"/>
          <w:sz w:val="26"/>
          <w:szCs w:val="26"/>
        </w:rPr>
        <w:t>w sprawie projektu ustawy o zmianie ustawy</w:t>
      </w:r>
    </w:p>
    <w:p w14:paraId="2EAEDC6C" w14:textId="77777777" w:rsidR="00C17EE8" w:rsidRDefault="004F4AD0">
      <w:pPr>
        <w:spacing w:after="160"/>
      </w:pPr>
      <w:r>
        <w:rPr>
          <w:b/>
          <w:bCs/>
          <w:sz w:val="26"/>
          <w:szCs w:val="26"/>
        </w:rPr>
        <w:t>o bezpieczeństwie żywności i żywienia oraz ustawy o Państwowej Inspekcji Sanitarnej</w:t>
      </w:r>
    </w:p>
    <w:p w14:paraId="054AE797" w14:textId="77777777" w:rsidR="00C17EE8" w:rsidRDefault="00C17EE8">
      <w:pPr>
        <w:spacing w:after="400"/>
      </w:pPr>
    </w:p>
    <w:p w14:paraId="25A342DB" w14:textId="77777777" w:rsidR="00C17EE8" w:rsidRDefault="004F4AD0">
      <w:pPr>
        <w:spacing w:after="60"/>
      </w:pPr>
      <w:r>
        <w:t xml:space="preserve">Wersja projektu:  </w:t>
      </w:r>
      <w:r>
        <w:rPr>
          <w:b/>
          <w:bCs/>
          <w:color w:val="4B0082"/>
        </w:rPr>
        <w:t>projekt z 13 kwietnia 2026 r. (UD 247)</w:t>
      </w:r>
    </w:p>
    <w:p w14:paraId="03488B7A" w14:textId="77777777" w:rsidR="00C17EE8" w:rsidRDefault="004F4AD0">
      <w:pPr>
        <w:spacing w:after="60"/>
      </w:pPr>
      <w:r>
        <w:t xml:space="preserve">Adresat:  </w:t>
      </w:r>
      <w:r>
        <w:rPr>
          <w:b/>
          <w:bCs/>
        </w:rPr>
        <w:t>Ministerstwo Zdrowia  ·  Główny Inspektorat Sanitarny  ·  Rządowe Centrum Legislacji</w:t>
      </w:r>
    </w:p>
    <w:p w14:paraId="111B787A" w14:textId="77777777" w:rsidR="00C17EE8" w:rsidRDefault="004F4AD0">
      <w:pPr>
        <w:spacing w:after="60"/>
      </w:pPr>
      <w:r>
        <w:t>Tryb:  konsultacje publiczne / proces legislacyjny</w:t>
      </w:r>
    </w:p>
    <w:p w14:paraId="65E999CA" w14:textId="77777777" w:rsidR="00C17EE8" w:rsidRDefault="004F4AD0">
      <w:pPr>
        <w:spacing w:after="60"/>
      </w:pPr>
      <w:r>
        <w:t xml:space="preserve">Data sporządzenia:  </w:t>
      </w:r>
      <w:r>
        <w:rPr>
          <w:b/>
          <w:bCs/>
          <w:color w:val="4B0082"/>
        </w:rPr>
        <w:t>28 kwietnia 2026 r.</w:t>
      </w:r>
    </w:p>
    <w:p w14:paraId="4DBDD770" w14:textId="77777777" w:rsidR="00C17EE8" w:rsidRDefault="00C17EE8">
      <w:pPr>
        <w:spacing w:after="800"/>
      </w:pPr>
    </w:p>
    <w:p w14:paraId="06FEC399" w14:textId="77777777" w:rsidR="00C17EE8" w:rsidRDefault="00C17EE8">
      <w:pPr>
        <w:pBdr>
          <w:top w:val="single" w:sz="6" w:space="6" w:color="4B0082"/>
        </w:pBdr>
        <w:spacing w:after="60"/>
      </w:pPr>
    </w:p>
    <w:p w14:paraId="54C48803" w14:textId="720C5923" w:rsidR="00C17EE8" w:rsidRDefault="004F4AD0">
      <w:pPr>
        <w:spacing w:after="60"/>
      </w:pPr>
      <w:r>
        <w:rPr>
          <w:color w:val="6B7280"/>
          <w:sz w:val="20"/>
          <w:szCs w:val="20"/>
        </w:rPr>
        <w:t xml:space="preserve">Autor opinii:  </w:t>
      </w:r>
      <w:r>
        <w:rPr>
          <w:b/>
          <w:bCs/>
          <w:sz w:val="20"/>
          <w:szCs w:val="20"/>
        </w:rPr>
        <w:t>Tomasz Krawczyk</w:t>
      </w:r>
    </w:p>
    <w:p w14:paraId="12A2C7AA" w14:textId="77777777" w:rsidR="00C17EE8" w:rsidRDefault="004F4AD0">
      <w:pPr>
        <w:spacing w:after="60"/>
      </w:pPr>
      <w:r>
        <w:rPr>
          <w:color w:val="6B7280"/>
          <w:sz w:val="20"/>
          <w:szCs w:val="20"/>
        </w:rPr>
        <w:t xml:space="preserve">Kontakt:  </w:t>
      </w:r>
      <w:r>
        <w:rPr>
          <w:sz w:val="20"/>
          <w:szCs w:val="20"/>
        </w:rPr>
        <w:t>+48 608 699 845  ·  tomaszkrawczyk@supplemental.pl  ·  supplemental.pl</w:t>
      </w:r>
    </w:p>
    <w:p w14:paraId="09D27FCE" w14:textId="77777777" w:rsidR="00C17EE8" w:rsidRDefault="004F4AD0">
      <w:pPr>
        <w:spacing w:after="60"/>
      </w:pPr>
      <w:r>
        <w:rPr>
          <w:color w:val="6B7280"/>
          <w:sz w:val="20"/>
          <w:szCs w:val="20"/>
        </w:rPr>
        <w:t xml:space="preserve">Sygnatura:  </w:t>
      </w:r>
      <w:r>
        <w:rPr>
          <w:sz w:val="20"/>
          <w:szCs w:val="20"/>
        </w:rPr>
        <w:t>SUP-2026-OP-UD247-v19</w:t>
      </w:r>
    </w:p>
    <w:p w14:paraId="6B7DBA68" w14:textId="1143FC57" w:rsidR="00C17EE8" w:rsidRDefault="00C17EE8"/>
    <w:p w14:paraId="516506F0" w14:textId="77777777" w:rsidR="00C17EE8" w:rsidRDefault="004F4AD0">
      <w:pPr>
        <w:pStyle w:val="Nagwek1"/>
      </w:pPr>
      <w:r>
        <w:t>1. Słownik skrótów i terminów</w:t>
      </w:r>
    </w:p>
    <w:p w14:paraId="2BC81941" w14:textId="77777777" w:rsidR="00C17EE8" w:rsidRDefault="004F4AD0">
      <w:pPr>
        <w:spacing w:after="120" w:line="300" w:lineRule="auto"/>
        <w:jc w:val="both"/>
      </w:pPr>
      <w:r>
        <w:t>Opinia ta adresowana jest do szerokiego kręgu odbiorców uczestniczących w konsultacjach publicznych — także do osób, które nie zajmują się zawodowo prawem żywnościowym lub administracyjnym. Poniższy słownik wyjaśnia skróty i pojęcia używane w dalszej części opinii.</w:t>
      </w:r>
    </w:p>
    <w:p w14:paraId="367D93F4" w14:textId="77777777" w:rsidR="00C17EE8" w:rsidRDefault="00C17EE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17EE8" w14:paraId="727DC78F" w14:textId="77777777">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4B0082"/>
            <w:tcMar>
              <w:top w:w="100" w:type="dxa"/>
              <w:left w:w="140" w:type="dxa"/>
              <w:bottom w:w="100" w:type="dxa"/>
              <w:right w:w="140" w:type="dxa"/>
            </w:tcMar>
          </w:tcPr>
          <w:p w14:paraId="0AA1BA1B" w14:textId="77777777" w:rsidR="00C17EE8" w:rsidRDefault="004F4AD0">
            <w:pPr>
              <w:spacing w:line="260" w:lineRule="auto"/>
            </w:pPr>
            <w:r>
              <w:rPr>
                <w:b/>
                <w:bCs/>
                <w:color w:val="FFFFFF"/>
                <w:sz w:val="18"/>
                <w:szCs w:val="18"/>
              </w:rPr>
              <w:t>Skrót / termin</w:t>
            </w:r>
          </w:p>
        </w:tc>
        <w:tc>
          <w:tcPr>
            <w:tcW w:w="7160" w:type="dxa"/>
            <w:tcBorders>
              <w:top w:val="single" w:sz="4" w:space="0" w:color="D1D5DB"/>
              <w:left w:val="single" w:sz="4" w:space="0" w:color="D1D5DB"/>
              <w:bottom w:val="single" w:sz="4" w:space="0" w:color="D1D5DB"/>
              <w:right w:val="single" w:sz="4" w:space="0" w:color="D1D5DB"/>
            </w:tcBorders>
            <w:shd w:val="clear" w:color="auto" w:fill="4B0082"/>
            <w:tcMar>
              <w:top w:w="100" w:type="dxa"/>
              <w:left w:w="140" w:type="dxa"/>
              <w:bottom w:w="100" w:type="dxa"/>
              <w:right w:w="140" w:type="dxa"/>
            </w:tcMar>
          </w:tcPr>
          <w:p w14:paraId="796D55B4" w14:textId="77777777" w:rsidR="00C17EE8" w:rsidRDefault="004F4AD0">
            <w:pPr>
              <w:spacing w:line="260" w:lineRule="auto"/>
            </w:pPr>
            <w:r>
              <w:rPr>
                <w:b/>
                <w:bCs/>
                <w:color w:val="FFFFFF"/>
                <w:sz w:val="18"/>
                <w:szCs w:val="18"/>
              </w:rPr>
              <w:t>Wyjaśnienie</w:t>
            </w:r>
          </w:p>
        </w:tc>
      </w:tr>
      <w:tr w:rsidR="00C17EE8" w14:paraId="5942F6D4"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E5DABD0" w14:textId="77777777" w:rsidR="00C17EE8" w:rsidRDefault="004F4AD0">
            <w:pPr>
              <w:spacing w:line="260" w:lineRule="auto"/>
            </w:pPr>
            <w:r>
              <w:rPr>
                <w:b/>
                <w:bCs/>
                <w:sz w:val="17"/>
                <w:szCs w:val="17"/>
              </w:rPr>
              <w:t>GIS</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A9535EF" w14:textId="77777777" w:rsidR="00C17EE8" w:rsidRDefault="004F4AD0">
            <w:pPr>
              <w:spacing w:line="260" w:lineRule="auto"/>
            </w:pPr>
            <w:r>
              <w:rPr>
                <w:sz w:val="17"/>
                <w:szCs w:val="17"/>
              </w:rPr>
              <w:t>Główny Inspektor Sanitarny — centralny organ administracji rządowej w sprawach sanitarnych, m.in. nadzoru nad bezpieczeństwem żywności i suplementów diety.</w:t>
            </w:r>
          </w:p>
        </w:tc>
      </w:tr>
      <w:tr w:rsidR="00C17EE8" w14:paraId="7D215421"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7903F728" w14:textId="77777777" w:rsidR="00C17EE8" w:rsidRDefault="004F4AD0">
            <w:pPr>
              <w:spacing w:line="260" w:lineRule="auto"/>
            </w:pPr>
            <w:r>
              <w:rPr>
                <w:b/>
                <w:bCs/>
                <w:sz w:val="17"/>
                <w:szCs w:val="17"/>
              </w:rPr>
              <w:t>PIS</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282DB910" w14:textId="77777777" w:rsidR="00C17EE8" w:rsidRDefault="004F4AD0">
            <w:pPr>
              <w:spacing w:line="260" w:lineRule="auto"/>
            </w:pPr>
            <w:r>
              <w:rPr>
                <w:sz w:val="17"/>
                <w:szCs w:val="17"/>
              </w:rPr>
              <w:t>Państwowa Inspekcja Sanitarna — system organów państwowych podległy GIS, sprawujący nadzór sanitarny w terenie (Państwowi Powiatowi i Wojewódzcy Inspektorzy Sanitarni — popularnie „Sanepid”).</w:t>
            </w:r>
          </w:p>
        </w:tc>
      </w:tr>
      <w:tr w:rsidR="00C17EE8" w14:paraId="4D3C02DD"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2A57479" w14:textId="77777777" w:rsidR="00C17EE8" w:rsidRDefault="004F4AD0">
            <w:pPr>
              <w:spacing w:line="260" w:lineRule="auto"/>
            </w:pPr>
            <w:r>
              <w:rPr>
                <w:b/>
                <w:bCs/>
                <w:sz w:val="17"/>
                <w:szCs w:val="17"/>
              </w:rPr>
              <w:t>URPL Prezes Urzędu</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071EA73" w14:textId="77777777" w:rsidR="00C17EE8" w:rsidRDefault="004F4AD0">
            <w:pPr>
              <w:spacing w:line="260" w:lineRule="auto"/>
            </w:pPr>
            <w:r>
              <w:rPr>
                <w:sz w:val="17"/>
                <w:szCs w:val="17"/>
              </w:rPr>
              <w:t>Urząd Rejestracji Produktów Leczniczych, Wyrobów Medycznych i Produktów Biobójczych — centralny organ administracji rządowej; w obecnym modelu (art. 31 ustawy o bezpieczeństwie żywności i żywienia) GIS w toku postępowania wyjaśniającego może zobowiązać podmiot do przedłożenia opinii Prezesa URPL w sprawie kwalifikacji produktu (czy produkt nie powinien być zarejestrowany jako lek lub wyrób medyczny).</w:t>
            </w:r>
          </w:p>
        </w:tc>
      </w:tr>
      <w:tr w:rsidR="00C17EE8" w14:paraId="56E555F4"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1246B4E6" w14:textId="77777777" w:rsidR="00C17EE8" w:rsidRDefault="004F4AD0">
            <w:pPr>
              <w:spacing w:line="260" w:lineRule="auto"/>
            </w:pPr>
            <w:r>
              <w:rPr>
                <w:b/>
                <w:bCs/>
                <w:sz w:val="17"/>
                <w:szCs w:val="17"/>
              </w:rPr>
              <w:t>powiadomienie</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3D96A283" w14:textId="77777777" w:rsidR="00C17EE8" w:rsidRDefault="004F4AD0">
            <w:pPr>
              <w:spacing w:line="260" w:lineRule="auto"/>
            </w:pPr>
            <w:r>
              <w:rPr>
                <w:sz w:val="17"/>
                <w:szCs w:val="17"/>
              </w:rPr>
              <w:t>Zgłoszenie składane przez przedsiębiorcę do GIS przed pierwszym wprowadzeniem suplementu diety do obrotu na terytorium RP. Tryb wynika z art. 29 ustawy o bezpieczeństwie żywności i żywienia. Powiadomienie zawiera m.in. nazwę produktu, skład jakościowy i ilościowy, postać, wzór etykiety.</w:t>
            </w:r>
          </w:p>
        </w:tc>
      </w:tr>
      <w:tr w:rsidR="00C17EE8" w14:paraId="5C26082B"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71F4DBA" w14:textId="77777777" w:rsidR="00C17EE8" w:rsidRDefault="004F4AD0">
            <w:pPr>
              <w:spacing w:line="260" w:lineRule="auto"/>
            </w:pPr>
            <w:r>
              <w:rPr>
                <w:b/>
                <w:bCs/>
                <w:sz w:val="17"/>
                <w:szCs w:val="17"/>
              </w:rPr>
              <w:t>postępowanie wyjaśniające</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6F5BB7A" w14:textId="77777777" w:rsidR="00C17EE8" w:rsidRDefault="004F4AD0">
            <w:pPr>
              <w:spacing w:line="260" w:lineRule="auto"/>
            </w:pPr>
            <w:r>
              <w:rPr>
                <w:sz w:val="17"/>
                <w:szCs w:val="17"/>
              </w:rPr>
              <w:t>Procedura prowadzona przez GIS po otrzymaniu powiadomienia, jeżeli GIS ma wątpliwości co do prawidłowej kwalifikacji produktu (np. czy nie powinien być on lekiem). W jej toku GIS może zażądać od podmiotu uzyskania opinii naukowej.</w:t>
            </w:r>
          </w:p>
        </w:tc>
      </w:tr>
      <w:tr w:rsidR="00C17EE8" w14:paraId="65590111"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3A143316" w14:textId="77777777" w:rsidR="00C17EE8" w:rsidRDefault="004F4AD0">
            <w:pPr>
              <w:spacing w:line="260" w:lineRule="auto"/>
            </w:pPr>
            <w:r>
              <w:rPr>
                <w:b/>
                <w:bCs/>
                <w:sz w:val="17"/>
                <w:szCs w:val="17"/>
              </w:rPr>
              <w:t>domniemanie (prawne)</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33F8A830" w14:textId="77777777" w:rsidR="00C17EE8" w:rsidRDefault="004F4AD0">
            <w:pPr>
              <w:spacing w:line="260" w:lineRule="auto"/>
            </w:pPr>
            <w:r>
              <w:rPr>
                <w:sz w:val="17"/>
                <w:szCs w:val="17"/>
              </w:rPr>
              <w:t>Konstrukcja prawna, w której prawo „uznaje za prawdziwy” określony stan rzeczy bez przeprowadzania dowodu. Domniemanie z projektowanego art. 31a ust. 6 oznacza, że gdy podmiot uchybi obowiązkowi formalnemu, ustawa „uznaje”, że produkt nie spełnia wymagań — bez badania samego produktu.</w:t>
            </w:r>
          </w:p>
        </w:tc>
      </w:tr>
      <w:tr w:rsidR="00C17EE8" w14:paraId="7E0EF2B6"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28ADBE5" w14:textId="77777777" w:rsidR="00C17EE8" w:rsidRDefault="004F4AD0">
            <w:pPr>
              <w:spacing w:line="260" w:lineRule="auto"/>
            </w:pPr>
            <w:r>
              <w:rPr>
                <w:b/>
                <w:bCs/>
                <w:sz w:val="17"/>
                <w:szCs w:val="17"/>
              </w:rPr>
              <w:t>odwrócenie ciężaru dowodu</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4229730" w14:textId="77777777" w:rsidR="00C17EE8" w:rsidRDefault="004F4AD0">
            <w:pPr>
              <w:spacing w:line="260" w:lineRule="auto"/>
            </w:pPr>
            <w:r>
              <w:rPr>
                <w:sz w:val="17"/>
                <w:szCs w:val="17"/>
              </w:rPr>
              <w:t>Normalnie organ administracji ma obowiązek udowodnić, że produkt jest niezgodny z prawem. „Odwrócenie ciężaru dowodu” oznacza, że to przedsiębiorca musi wykazać zgodność produktu — co jest dla niego dużo trudniejsze procesowo i kosztowniejsze.</w:t>
            </w:r>
          </w:p>
        </w:tc>
      </w:tr>
      <w:tr w:rsidR="00C17EE8" w14:paraId="346034A6"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1E822E00" w14:textId="77777777" w:rsidR="00C17EE8" w:rsidRDefault="004F4AD0">
            <w:pPr>
              <w:spacing w:line="260" w:lineRule="auto"/>
            </w:pPr>
            <w:r>
              <w:rPr>
                <w:b/>
                <w:bCs/>
                <w:sz w:val="17"/>
                <w:szCs w:val="17"/>
              </w:rPr>
              <w:t>skład jakościowo-ilościowy</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032B6F79" w14:textId="77777777" w:rsidR="00C17EE8" w:rsidRDefault="004F4AD0">
            <w:pPr>
              <w:spacing w:line="260" w:lineRule="auto"/>
            </w:pPr>
            <w:r>
              <w:rPr>
                <w:sz w:val="17"/>
                <w:szCs w:val="17"/>
              </w:rPr>
              <w:t>Wykaz składników produktu („skład jakościowy” — co dokładnie zawiera) wraz z dokładnymi ilościami każdego składnika („skład ilościowy” — np. „magnez 100 mg, witamina B6 1,4 mg”). Dwa produkty mają „tożsamy skład jakościowo-ilościowy”, jeżeli zawierają te same składniki w tych samych ilościach.</w:t>
            </w:r>
          </w:p>
        </w:tc>
      </w:tr>
      <w:tr w:rsidR="00C17EE8" w14:paraId="202B471E"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9D086EB" w14:textId="77777777" w:rsidR="00C17EE8" w:rsidRDefault="004F4AD0">
            <w:pPr>
              <w:spacing w:line="260" w:lineRule="auto"/>
            </w:pPr>
            <w:r>
              <w:rPr>
                <w:b/>
                <w:bCs/>
                <w:sz w:val="17"/>
                <w:szCs w:val="17"/>
              </w:rPr>
              <w:t>KPA</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FD4C234" w14:textId="77777777" w:rsidR="00C17EE8" w:rsidRDefault="004F4AD0">
            <w:pPr>
              <w:spacing w:line="260" w:lineRule="auto"/>
            </w:pPr>
            <w:r>
              <w:rPr>
                <w:sz w:val="17"/>
                <w:szCs w:val="17"/>
              </w:rPr>
              <w:t>Kodeks postępowania administracyjnego (ustawa z dnia 14 czerwca 1960 r.) — podstawowy akt regulujący sposób, w jaki organy administracji prowadzą sprawy obywateli i przedsiębiorców (m.in. prawo do bycia wysłuchanym, prawo do uzasadnienia decyzji, prawo do odwołania).</w:t>
            </w:r>
          </w:p>
        </w:tc>
      </w:tr>
      <w:tr w:rsidR="00C17EE8" w14:paraId="30D4CA8B"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375417E6" w14:textId="77777777" w:rsidR="00C17EE8" w:rsidRDefault="004F4AD0">
            <w:pPr>
              <w:spacing w:line="260" w:lineRule="auto"/>
            </w:pPr>
            <w:r>
              <w:rPr>
                <w:b/>
                <w:bCs/>
                <w:sz w:val="17"/>
                <w:szCs w:val="17"/>
              </w:rPr>
              <w:t>PPSA</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3025AFC4" w14:textId="77777777" w:rsidR="00C17EE8" w:rsidRDefault="004F4AD0">
            <w:pPr>
              <w:spacing w:line="260" w:lineRule="auto"/>
            </w:pPr>
            <w:r>
              <w:rPr>
                <w:sz w:val="17"/>
                <w:szCs w:val="17"/>
              </w:rPr>
              <w:t>Ustawa z dnia 30 sierpnia 2002 r. — Prawo o postępowaniu przed sądami administracyjnymi. Reguluje m.in. zakres spraw, w których obywatel/przedsiębiorca może złożyć skargę do sądu administracyjnego. Art. 3 § 2 pkt 4 PPSA pozwala zaskarżyć nie tylko formalne decyzje, ale także inne „akty lub czynności” organu wpływające na prawa.</w:t>
            </w:r>
          </w:p>
        </w:tc>
      </w:tr>
      <w:tr w:rsidR="00C17EE8" w14:paraId="78D88BD5"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E6B1640" w14:textId="77777777" w:rsidR="00C17EE8" w:rsidRDefault="004F4AD0">
            <w:pPr>
              <w:spacing w:line="260" w:lineRule="auto"/>
            </w:pPr>
            <w:r>
              <w:rPr>
                <w:b/>
                <w:bCs/>
                <w:sz w:val="17"/>
                <w:szCs w:val="17"/>
              </w:rPr>
              <w:t>NSA / WSA</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D419AB3" w14:textId="77777777" w:rsidR="00C17EE8" w:rsidRDefault="004F4AD0">
            <w:pPr>
              <w:spacing w:line="260" w:lineRule="auto"/>
            </w:pPr>
            <w:r>
              <w:rPr>
                <w:sz w:val="17"/>
                <w:szCs w:val="17"/>
              </w:rPr>
              <w:t>Naczelny Sąd Administracyjny (II instancja) i wojewódzkie sądy administracyjne (I instancja) — sądy badające zgodność z prawem działań organów administracji państwowej.</w:t>
            </w:r>
          </w:p>
        </w:tc>
      </w:tr>
      <w:tr w:rsidR="00C17EE8" w14:paraId="01C83270"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26795D2C" w14:textId="77777777" w:rsidR="00C17EE8" w:rsidRDefault="004F4AD0">
            <w:pPr>
              <w:spacing w:line="260" w:lineRule="auto"/>
            </w:pPr>
            <w:r>
              <w:rPr>
                <w:b/>
                <w:bCs/>
                <w:sz w:val="17"/>
                <w:szCs w:val="17"/>
              </w:rPr>
              <w:t>TK</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18F81EF4" w14:textId="77777777" w:rsidR="00C17EE8" w:rsidRDefault="004F4AD0">
            <w:pPr>
              <w:spacing w:line="260" w:lineRule="auto"/>
            </w:pPr>
            <w:r>
              <w:rPr>
                <w:sz w:val="17"/>
                <w:szCs w:val="17"/>
              </w:rPr>
              <w:t>Trybunał Konstytucyjny — sąd rozstrzygający o zgodności ustaw z Konstytucją Rzeczypospolitej Polskiej z dnia 2 kwietnia 1997 r.</w:t>
            </w:r>
          </w:p>
        </w:tc>
      </w:tr>
      <w:tr w:rsidR="00C17EE8" w14:paraId="4CCE5B9F"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843A436" w14:textId="77777777" w:rsidR="00C17EE8" w:rsidRDefault="004F4AD0">
            <w:pPr>
              <w:spacing w:line="260" w:lineRule="auto"/>
            </w:pPr>
            <w:r>
              <w:rPr>
                <w:b/>
                <w:bCs/>
                <w:sz w:val="17"/>
                <w:szCs w:val="17"/>
              </w:rPr>
              <w:t>TSUE</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5FFAE4B" w14:textId="77777777" w:rsidR="00C17EE8" w:rsidRDefault="004F4AD0">
            <w:pPr>
              <w:spacing w:line="260" w:lineRule="auto"/>
            </w:pPr>
            <w:r>
              <w:rPr>
                <w:sz w:val="17"/>
                <w:szCs w:val="17"/>
              </w:rPr>
              <w:t>Trybunał Sprawiedliwości Unii Europejskiej — sąd UE rozstrzygający m.in. o zgodności prawa krajowego z prawem unijnym oraz dokonujący wiążącej wykładni przepisów UE.</w:t>
            </w:r>
          </w:p>
        </w:tc>
      </w:tr>
      <w:tr w:rsidR="00C17EE8" w14:paraId="1364B45F"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239DBD94" w14:textId="77777777" w:rsidR="00C17EE8" w:rsidRDefault="004F4AD0">
            <w:pPr>
              <w:spacing w:line="260" w:lineRule="auto"/>
            </w:pPr>
            <w:r>
              <w:rPr>
                <w:b/>
                <w:bCs/>
                <w:sz w:val="17"/>
                <w:szCs w:val="17"/>
              </w:rPr>
              <w:t>TFUE</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757E8FEF" w14:textId="77777777" w:rsidR="00C17EE8" w:rsidRDefault="004F4AD0">
            <w:pPr>
              <w:spacing w:line="260" w:lineRule="auto"/>
            </w:pPr>
            <w:r>
              <w:rPr>
                <w:sz w:val="17"/>
                <w:szCs w:val="17"/>
              </w:rPr>
              <w:t>Traktat o funkcjonowaniu Unii Europejskiej — jeden z dwóch podstawowych traktatów UE; art. 34 i 36 dotyczą swobodnego przepływu towarów między państwami członkowskimi.</w:t>
            </w:r>
          </w:p>
        </w:tc>
      </w:tr>
      <w:tr w:rsidR="00C17EE8" w14:paraId="24C20D5C"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9684D3F" w14:textId="77777777" w:rsidR="00C17EE8" w:rsidRDefault="004F4AD0">
            <w:pPr>
              <w:spacing w:line="260" w:lineRule="auto"/>
            </w:pPr>
            <w:r>
              <w:rPr>
                <w:b/>
                <w:bCs/>
                <w:sz w:val="17"/>
                <w:szCs w:val="17"/>
              </w:rPr>
              <w:t>case-by-case</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1682E38" w14:textId="77777777" w:rsidR="00C17EE8" w:rsidRDefault="004F4AD0">
            <w:pPr>
              <w:spacing w:line="260" w:lineRule="auto"/>
            </w:pPr>
            <w:r>
              <w:rPr>
                <w:sz w:val="17"/>
                <w:szCs w:val="17"/>
              </w:rPr>
              <w:t>Termin oznaczający „odrębną ocenę każdego przypadku indywidualnie”. W kontekście suplementów diety oznacza obowiązek oceny każdego konkretnego produktu z osobna, na podstawie jego rzeczywistych właściwości — nie na podstawie ogólnych progów lub schematów.</w:t>
            </w:r>
          </w:p>
        </w:tc>
      </w:tr>
      <w:tr w:rsidR="00C17EE8" w14:paraId="5FA1FCA5"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4387554B" w14:textId="77777777" w:rsidR="00C17EE8" w:rsidRDefault="004F4AD0">
            <w:pPr>
              <w:spacing w:line="260" w:lineRule="auto"/>
            </w:pPr>
            <w:r>
              <w:rPr>
                <w:b/>
                <w:bCs/>
                <w:sz w:val="17"/>
                <w:szCs w:val="17"/>
              </w:rPr>
              <w:t>RODO (GDPR)</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39DFF40A" w14:textId="77777777" w:rsidR="00C17EE8" w:rsidRDefault="004F4AD0">
            <w:pPr>
              <w:spacing w:line="260" w:lineRule="auto"/>
            </w:pPr>
            <w:r>
              <w:rPr>
                <w:sz w:val="17"/>
                <w:szCs w:val="17"/>
              </w:rPr>
              <w:t>Rozporządzenie Parlamentu Europejskiego i Rady (UE) 2016/679 z dnia 27 kwietnia 2016 r. w sprawie ochrony osób fizycznych w związku z przetwarzaniem danych osobowych i w sprawie swobodnego przepływu takich danych (ogólne rozporządzenie o ochronie danych).</w:t>
            </w:r>
          </w:p>
        </w:tc>
      </w:tr>
      <w:tr w:rsidR="00C17EE8" w14:paraId="34D144BC"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4663E0D" w14:textId="77777777" w:rsidR="00C17EE8" w:rsidRDefault="004F4AD0">
            <w:pPr>
              <w:spacing w:line="260" w:lineRule="auto"/>
            </w:pPr>
            <w:r>
              <w:rPr>
                <w:b/>
                <w:bCs/>
                <w:sz w:val="17"/>
                <w:szCs w:val="17"/>
              </w:rPr>
              <w:t>DPIA</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1675915" w14:textId="77777777" w:rsidR="00C17EE8" w:rsidRDefault="004F4AD0">
            <w:pPr>
              <w:spacing w:line="260" w:lineRule="auto"/>
            </w:pPr>
            <w:r>
              <w:rPr>
                <w:sz w:val="17"/>
                <w:szCs w:val="17"/>
              </w:rPr>
              <w:t>Data Protection Impact Assessment — ocena skutków dla ochrony danych osobowych (art. 35 RODO). Dokument analityczny opisujący ryzyka dla prywatności wynikające z planowanego przetwarzania danych oraz środki łagodzenia tych ryzyk. Wymagany m.in. wtedy, gdy przetwarzane są dane szczególnych kategorii (m.in. zdrowotne) na dużą skalę.</w:t>
            </w:r>
          </w:p>
        </w:tc>
      </w:tr>
      <w:tr w:rsidR="00C17EE8" w14:paraId="728FD75C"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5B46AC6C" w14:textId="77777777" w:rsidR="00C17EE8" w:rsidRDefault="004F4AD0">
            <w:pPr>
              <w:spacing w:line="260" w:lineRule="auto"/>
            </w:pPr>
            <w:r>
              <w:rPr>
                <w:b/>
                <w:bCs/>
                <w:sz w:val="17"/>
                <w:szCs w:val="17"/>
              </w:rPr>
              <w:t>dane szczególnych kategorii</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41519A0E" w14:textId="77777777" w:rsidR="00C17EE8" w:rsidRDefault="004F4AD0">
            <w:pPr>
              <w:spacing w:line="260" w:lineRule="auto"/>
            </w:pPr>
            <w:r>
              <w:rPr>
                <w:sz w:val="17"/>
                <w:szCs w:val="17"/>
              </w:rPr>
              <w:t>Dane wrażliwe w rozumieniu art. 9 RODO — m.in. dane o zdrowiu, dane biometryczne, dane genetyczne, dane o pochodzeniu etnicznym, orientacji seksualnej, poglądach politycznych. Korzystają ze wzmożonej ochrony — co do zasady ich przetwarzanie jest zakazane, z wyjątkami wymienionymi w art. 9 ust. 2 RODO.</w:t>
            </w:r>
          </w:p>
        </w:tc>
      </w:tr>
      <w:tr w:rsidR="00C17EE8" w14:paraId="743B0765"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345E12E" w14:textId="77777777" w:rsidR="00C17EE8" w:rsidRDefault="004F4AD0">
            <w:pPr>
              <w:spacing w:line="260" w:lineRule="auto"/>
            </w:pPr>
            <w:r>
              <w:rPr>
                <w:b/>
                <w:bCs/>
                <w:sz w:val="17"/>
                <w:szCs w:val="17"/>
              </w:rPr>
              <w:t>SEPIS</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ADC65D1" w14:textId="77777777" w:rsidR="00C17EE8" w:rsidRDefault="004F4AD0">
            <w:pPr>
              <w:spacing w:line="260" w:lineRule="auto"/>
            </w:pPr>
            <w:r>
              <w:rPr>
                <w:sz w:val="17"/>
                <w:szCs w:val="17"/>
              </w:rPr>
              <w:t>System Ewidencji Państwowej Inspekcji Sanitarnej — projektowany centralny system informatyczny PIS (art. 8b–8d projektu), gromadzący dane o przedsiębiorcach, produktach, świadczeniach zdrowotnych i innych obszarach nadzoru sanitarnego.</w:t>
            </w:r>
          </w:p>
        </w:tc>
      </w:tr>
      <w:tr w:rsidR="00C17EE8" w14:paraId="11F9CEAD"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1797B34B" w14:textId="77777777" w:rsidR="00C17EE8" w:rsidRDefault="004F4AD0">
            <w:pPr>
              <w:spacing w:line="260" w:lineRule="auto"/>
            </w:pPr>
            <w:r>
              <w:rPr>
                <w:b/>
                <w:bCs/>
                <w:sz w:val="17"/>
                <w:szCs w:val="17"/>
              </w:rPr>
              <w:t>e-Sanepid</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31C5F2A1" w14:textId="106B5E03" w:rsidR="00C17EE8" w:rsidRDefault="00F465F8">
            <w:pPr>
              <w:spacing w:line="260" w:lineRule="auto"/>
            </w:pPr>
            <w:r>
              <w:rPr>
                <w:sz w:val="17"/>
                <w:szCs w:val="17"/>
              </w:rPr>
              <w:t>Platforma elektroniczna PIS służąca m.in. składaniu powiadomień, kontaktowi z przedsiębiorcą, prowadzeniu postępowań — interfejs komunikacyjny SEPIS dla obywateli i przedsiębiorców.</w:t>
            </w:r>
          </w:p>
        </w:tc>
      </w:tr>
      <w:tr w:rsidR="00C17EE8" w14:paraId="5285C6A4"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77A8190" w14:textId="77777777" w:rsidR="00C17EE8" w:rsidRDefault="004F4AD0">
            <w:pPr>
              <w:spacing w:line="260" w:lineRule="auto"/>
            </w:pPr>
            <w:r>
              <w:rPr>
                <w:b/>
                <w:bCs/>
                <w:sz w:val="17"/>
                <w:szCs w:val="17"/>
              </w:rPr>
              <w:t>MŚP</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1C94C6C" w14:textId="77777777" w:rsidR="00C17EE8" w:rsidRDefault="004F4AD0">
            <w:pPr>
              <w:spacing w:line="260" w:lineRule="auto"/>
            </w:pPr>
            <w:r>
              <w:rPr>
                <w:sz w:val="17"/>
                <w:szCs w:val="17"/>
              </w:rPr>
              <w:t>Mikro-, mali i średni przedsiębiorcy w rozumieniu ustawy z dnia 6 marca 2018 r. — Prawo przedsiębiorców (mikroprzedsiębiorca: &lt; 10 pracowników i obrót poniżej 2 mln euro; mały: &lt; 50 pracowników; średni: &lt; 250 pracowników).</w:t>
            </w:r>
          </w:p>
        </w:tc>
      </w:tr>
      <w:tr w:rsidR="00C17EE8" w14:paraId="023C11B5"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712261B5" w14:textId="77777777" w:rsidR="00C17EE8" w:rsidRDefault="004F4AD0">
            <w:pPr>
              <w:spacing w:line="260" w:lineRule="auto"/>
            </w:pPr>
            <w:r>
              <w:rPr>
                <w:b/>
                <w:bCs/>
                <w:sz w:val="17"/>
                <w:szCs w:val="17"/>
              </w:rPr>
              <w:t>NIK</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4F0B5EAE" w14:textId="77777777" w:rsidR="00C17EE8" w:rsidRDefault="004F4AD0">
            <w:pPr>
              <w:spacing w:line="260" w:lineRule="auto"/>
            </w:pPr>
            <w:r>
              <w:rPr>
                <w:sz w:val="17"/>
                <w:szCs w:val="17"/>
              </w:rPr>
              <w:t>Najwyższa Izba Kontroli — naczelny organ kontroli państwowej; raport NIK P/21/078 z 2022 r. „Wprowadzanie do obrotu suplementów diety” jest jednym ze źródeł diagnozy uzasadniającej projekt UD 247.</w:t>
            </w:r>
          </w:p>
        </w:tc>
      </w:tr>
      <w:tr w:rsidR="00C17EE8" w14:paraId="64953635"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57FEDB9" w14:textId="77777777" w:rsidR="00C17EE8" w:rsidRDefault="004F4AD0">
            <w:pPr>
              <w:spacing w:line="260" w:lineRule="auto"/>
            </w:pPr>
            <w:r>
              <w:rPr>
                <w:b/>
                <w:bCs/>
                <w:sz w:val="17"/>
                <w:szCs w:val="17"/>
              </w:rPr>
              <w:t>UOKiK</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7CFA90E" w14:textId="77777777" w:rsidR="00C17EE8" w:rsidRDefault="004F4AD0">
            <w:pPr>
              <w:spacing w:line="260" w:lineRule="auto"/>
            </w:pPr>
            <w:r>
              <w:rPr>
                <w:sz w:val="17"/>
                <w:szCs w:val="17"/>
              </w:rPr>
              <w:t>Urząd Ochrony Konkurencji i Konsumentów — odrębny organ sankcjonujący nieuczciwe praktyki rynkowe, w tym wprowadzającą w błąd reklamę suplementów diety.</w:t>
            </w:r>
          </w:p>
        </w:tc>
      </w:tr>
      <w:tr w:rsidR="00C17EE8" w14:paraId="41FB1FFC"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4B4D6AF7" w14:textId="77777777" w:rsidR="00C17EE8" w:rsidRDefault="004F4AD0">
            <w:pPr>
              <w:spacing w:line="260" w:lineRule="auto"/>
            </w:pPr>
            <w:r>
              <w:rPr>
                <w:b/>
                <w:bCs/>
                <w:sz w:val="17"/>
                <w:szCs w:val="17"/>
              </w:rPr>
              <w:t>OSR</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740D6C28" w14:textId="77777777" w:rsidR="00C17EE8" w:rsidRDefault="004F4AD0">
            <w:pPr>
              <w:spacing w:line="260" w:lineRule="auto"/>
            </w:pPr>
            <w:r>
              <w:rPr>
                <w:sz w:val="17"/>
                <w:szCs w:val="17"/>
              </w:rPr>
              <w:t>Ocena Skutków Regulacji — obowiązkowy element uzasadnienia projektu ustawy (zgodnie z Regulaminem pracy Rady Ministrów), opisujący m.in. spodziewane skutki finansowe, gospodarcze i społeczne projektu.</w:t>
            </w:r>
          </w:p>
        </w:tc>
      </w:tr>
      <w:tr w:rsidR="00C17EE8" w14:paraId="058068E3"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A06DE23" w14:textId="77777777" w:rsidR="00C17EE8" w:rsidRDefault="004F4AD0">
            <w:pPr>
              <w:spacing w:line="260" w:lineRule="auto"/>
            </w:pPr>
            <w:r>
              <w:rPr>
                <w:b/>
                <w:bCs/>
                <w:sz w:val="17"/>
                <w:szCs w:val="17"/>
              </w:rPr>
              <w:t>vacatio legis</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484CB84" w14:textId="77777777" w:rsidR="00C17EE8" w:rsidRDefault="004F4AD0">
            <w:pPr>
              <w:spacing w:line="260" w:lineRule="auto"/>
            </w:pPr>
            <w:r>
              <w:rPr>
                <w:sz w:val="17"/>
                <w:szCs w:val="17"/>
              </w:rPr>
              <w:t>Okres między ogłoszeniem ustawy w Dzienniku Ustaw a jej wejściem w życie. Służy adresatom (przedsiębiorcom, organom) do dostosowania się do nowych przepisów. Zgodnie z orzecznictwem TK, vacatio legis powinna być proporcjonalna do skali zmian.</w:t>
            </w:r>
          </w:p>
        </w:tc>
      </w:tr>
      <w:tr w:rsidR="00C17EE8" w14:paraId="6CD08D76"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2A448F74" w14:textId="77777777" w:rsidR="00C17EE8" w:rsidRDefault="004F4AD0">
            <w:pPr>
              <w:spacing w:line="260" w:lineRule="auto"/>
            </w:pPr>
            <w:r>
              <w:rPr>
                <w:b/>
                <w:bCs/>
                <w:sz w:val="17"/>
                <w:szCs w:val="17"/>
              </w:rPr>
              <w:t>lex retro non agit</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23401774" w14:textId="77777777" w:rsidR="00C17EE8" w:rsidRDefault="004F4AD0">
            <w:pPr>
              <w:spacing w:line="260" w:lineRule="auto"/>
            </w:pPr>
            <w:r>
              <w:rPr>
                <w:sz w:val="17"/>
                <w:szCs w:val="17"/>
              </w:rPr>
              <w:t>Łacińska maksyma „prawo nie działa wstecz” — zasada konstytucyjna zakazująca stosowania nowych, mniej korzystnych przepisów do zdarzeń, które nastąpiły przed ich wejściem w życie.</w:t>
            </w:r>
          </w:p>
        </w:tc>
      </w:tr>
      <w:tr w:rsidR="00C17EE8" w14:paraId="7E3C5C9E"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7CFDD48" w14:textId="77777777" w:rsidR="00C17EE8" w:rsidRDefault="004F4AD0">
            <w:pPr>
              <w:spacing w:line="260" w:lineRule="auto"/>
            </w:pPr>
            <w:r>
              <w:rPr>
                <w:b/>
                <w:bCs/>
                <w:sz w:val="17"/>
                <w:szCs w:val="17"/>
              </w:rPr>
              <w:t>TRIS</w:t>
            </w:r>
          </w:p>
        </w:tc>
        <w:tc>
          <w:tcPr>
            <w:tcW w:w="7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C68DEE9" w14:textId="77777777" w:rsidR="00C17EE8" w:rsidRDefault="004F4AD0">
            <w:pPr>
              <w:spacing w:line="260" w:lineRule="auto"/>
            </w:pPr>
            <w:r>
              <w:rPr>
                <w:sz w:val="17"/>
                <w:szCs w:val="17"/>
              </w:rPr>
              <w:t>Technical Regulations Information System — baza Komisji Europejskiej, w której państwa członkowskie zgłaszają (notyfikują) projekty krajowych przepisów technicznych zgodnie z dyrektywą 2015/1535/UE; daje innym państwom UE i KE czas na zgłoszenie zastrzeżeń.</w:t>
            </w:r>
          </w:p>
        </w:tc>
      </w:tr>
      <w:tr w:rsidR="00C17EE8" w14:paraId="329D1A75"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6CBA20A4" w14:textId="77777777" w:rsidR="00C17EE8" w:rsidRDefault="004F4AD0">
            <w:pPr>
              <w:spacing w:line="260" w:lineRule="auto"/>
            </w:pPr>
            <w:r>
              <w:rPr>
                <w:b/>
                <w:bCs/>
                <w:sz w:val="17"/>
                <w:szCs w:val="17"/>
              </w:rPr>
              <w:t>SOLVIT</w:t>
            </w:r>
          </w:p>
        </w:tc>
        <w:tc>
          <w:tcPr>
            <w:tcW w:w="71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3B832E89" w14:textId="77777777" w:rsidR="00C17EE8" w:rsidRDefault="004F4AD0">
            <w:pPr>
              <w:spacing w:line="260" w:lineRule="auto"/>
            </w:pPr>
            <w:r>
              <w:rPr>
                <w:sz w:val="17"/>
                <w:szCs w:val="17"/>
              </w:rPr>
              <w:t>Sieć współpracy administracji państw członkowskich UE służąca rozwiązywaniu sporów dotyczących stosowania prawa UE wobec obywateli i przedsiębiorców.</w:t>
            </w:r>
          </w:p>
        </w:tc>
      </w:tr>
    </w:tbl>
    <w:p w14:paraId="500CC86E" w14:textId="77777777" w:rsidR="00C17EE8" w:rsidRDefault="004F4AD0">
      <w:r>
        <w:br w:type="page"/>
      </w:r>
    </w:p>
    <w:p w14:paraId="1571FA35" w14:textId="77777777" w:rsidR="00C17EE8" w:rsidRDefault="004F4AD0">
      <w:pPr>
        <w:pStyle w:val="Nagwek1"/>
      </w:pPr>
      <w:r>
        <w:t>2. Zarys obecnej procedury i kierunku zmian</w:t>
      </w:r>
    </w:p>
    <w:p w14:paraId="5098795A" w14:textId="77777777" w:rsidR="00C17EE8" w:rsidRDefault="004F4AD0">
      <w:pPr>
        <w:spacing w:after="120" w:line="300" w:lineRule="auto"/>
        <w:jc w:val="both"/>
      </w:pPr>
      <w:r>
        <w:t xml:space="preserve">Żeby zrozumieć przedmiot uwag krytycznych zawartych w opinii, trzeba najpierw przedstawić, </w:t>
      </w:r>
      <w:r>
        <w:rPr>
          <w:b/>
          <w:bCs/>
        </w:rPr>
        <w:t>jak obecnie wygląda procedura wprowadzania suplementu diety na rynek polski</w:t>
      </w:r>
      <w:r>
        <w:t xml:space="preserve"> oraz </w:t>
      </w:r>
      <w:r>
        <w:rPr>
          <w:b/>
          <w:bCs/>
        </w:rPr>
        <w:t>co projekt UD 247 w niej zmienia</w:t>
      </w:r>
      <w:r>
        <w:t>.</w:t>
      </w:r>
    </w:p>
    <w:p w14:paraId="04745115" w14:textId="77777777" w:rsidR="00C17EE8" w:rsidRDefault="004F4AD0">
      <w:pPr>
        <w:pStyle w:val="Nagwek2"/>
      </w:pPr>
      <w:r>
        <w:t>2.1. Stan obecny — procedura powiadomienia</w:t>
      </w:r>
    </w:p>
    <w:p w14:paraId="7D574EDE" w14:textId="77777777" w:rsidR="00C17EE8" w:rsidRDefault="004F4AD0">
      <w:pPr>
        <w:spacing w:after="120" w:line="300" w:lineRule="auto"/>
        <w:jc w:val="both"/>
      </w:pPr>
      <w:r>
        <w:t xml:space="preserve">Zgodnie z obowiązującym art. 29 ustawy z dnia 25 sierpnia 2006 r. o bezpieczeństwie żywności i żywienia (Dz. U. z 2023 r. poz. 1448 z późn. zm.), przedsiębiorca, który zamierza po raz pierwszy wprowadzić do obrotu na terytorium RP suplement diety, jest obowiązany </w:t>
      </w:r>
      <w:r>
        <w:rPr>
          <w:b/>
          <w:bCs/>
        </w:rPr>
        <w:t>powiadomić o tym Głównego Inspektora Sanitarnego</w:t>
      </w:r>
      <w:r>
        <w:t>. Powiadomienie zawiera m.in. nazwę produktu, jego skład jakościowy i ilościowy, postać, wzór etykiety.</w:t>
      </w:r>
    </w:p>
    <w:p w14:paraId="19799C5A" w14:textId="77777777" w:rsidR="00C17EE8" w:rsidRDefault="004F4AD0">
      <w:pPr>
        <w:spacing w:after="120" w:line="300" w:lineRule="auto"/>
        <w:jc w:val="both"/>
      </w:pPr>
      <w:r>
        <w:t xml:space="preserve">Powiadomienie </w:t>
      </w:r>
      <w:r>
        <w:rPr>
          <w:i/>
          <w:iCs/>
        </w:rPr>
        <w:t>nie jest wnioskiem o pozwolenie</w:t>
      </w:r>
      <w:r>
        <w:t>. Z chwilą jego skutecznego złożenia produkt może być wprowadzony do obrotu (system notyfikacyjny, nie pre-autoryzacyjny — zgodnie z art. 10 dyrektywy 2002/46/WE Parlamentu Europejskiego i Rady z dnia 10 czerwca 2002 r. w sprawie zbliżenia ustawodawstw Państw Członkowskich odnoszących się do suplementów żywnościowych).</w:t>
      </w:r>
    </w:p>
    <w:p w14:paraId="696FEC5A" w14:textId="77777777" w:rsidR="00C17EE8" w:rsidRDefault="004F4AD0">
      <w:pPr>
        <w:spacing w:after="120" w:line="300" w:lineRule="auto"/>
        <w:jc w:val="both"/>
      </w:pPr>
      <w:r>
        <w:t>Jeżeli GIS poweźmie wątpliwości co do prawidłowej kwalifikacji produktu (np. czy nie powinien być on zarejestrowany jako lek, a nie suplement diety), wszczyna postępowanie wyjaśniające na podstawie art. 30 ustawy. W trakcie tego postępowania może zwrócić się o opinię do jednostki naukowej lub do Prezesa URPL.</w:t>
      </w:r>
    </w:p>
    <w:p w14:paraId="60723FCD" w14:textId="77777777" w:rsidR="00C17EE8" w:rsidRDefault="004F4AD0">
      <w:pPr>
        <w:pStyle w:val="Nagwek2"/>
      </w:pPr>
      <w:r>
        <w:t>2.2. Co zmienia projekt UD 247</w:t>
      </w:r>
    </w:p>
    <w:p w14:paraId="05CB39BA" w14:textId="3C143553" w:rsidR="00C17EE8" w:rsidRDefault="004F4AD0">
      <w:pPr>
        <w:spacing w:after="120" w:line="300" w:lineRule="auto"/>
        <w:jc w:val="both"/>
      </w:pPr>
      <w:r>
        <w:t xml:space="preserve">Projekt zmienia punkt ciężkości samego powiadomienia. Obecny art. 29 obejmuje podmiot, który </w:t>
      </w:r>
      <w:r>
        <w:rPr>
          <w:i/>
          <w:iCs/>
        </w:rPr>
        <w:t>wprowadza albo ma zamiar wprowadzić</w:t>
      </w:r>
      <w:r>
        <w:t xml:space="preserve"> produkt po raz pierwszy do obrotu. Projekt UD 247 usuwa frazę „lub ma zamiar wprowadzić”, co projektodawca uzasadnia tym, że „nie przewidziano w ustawie odrębnych skutków i działań” dla zamiaru wprowadzenia produktu w stosunku do faktycznego wprowadzenia. W konsekwencji powiadomienie przestaje być klasycznym zgłoszeniem </w:t>
      </w:r>
      <w:r>
        <w:rPr>
          <w:i/>
          <w:iCs/>
        </w:rPr>
        <w:t>poprzedzającym</w:t>
      </w:r>
      <w:r>
        <w:t xml:space="preserve"> wejście produktu na rynek, a zbliża się do modelu zgłoszenia produktu już wprowadzanego. Dodatkowo projektowany art. 29 ust. 1 pkt 3 wyłącza z obowiązku powiadomienia żywność wzbogacaną obligatoryjnie. Obie te zmiany — przesunięcie punktu ciężkości oraz selektywne wyłączenie — wymagają wyraźnego omówienia w uzasadnieniu, ponieważ wpływają na funkcję i zakres całej procedury notyfikacyjnej.</w:t>
      </w:r>
    </w:p>
    <w:p w14:paraId="1A069442" w14:textId="77777777" w:rsidR="00C17EE8" w:rsidRDefault="004F4AD0">
      <w:pPr>
        <w:spacing w:after="120" w:line="300" w:lineRule="auto"/>
        <w:jc w:val="both"/>
      </w:pPr>
      <w:r>
        <w:t>Projekt zmienia procedurę w sposób istotny — najważniejsze zmiany dotyczą dodawanego art. 31a ustawy, który wprowadza:</w:t>
      </w:r>
    </w:p>
    <w:p w14:paraId="09727A54" w14:textId="77777777" w:rsidR="00C17EE8" w:rsidRDefault="004F4AD0">
      <w:pPr>
        <w:pStyle w:val="Akapitzlist"/>
        <w:numPr>
          <w:ilvl w:val="0"/>
          <w:numId w:val="2"/>
        </w:numPr>
        <w:spacing w:after="80" w:line="280" w:lineRule="auto"/>
        <w:jc w:val="both"/>
      </w:pPr>
      <w:r>
        <w:rPr>
          <w:b/>
          <w:bCs/>
        </w:rPr>
        <w:t>obowiązek 14-dniowy (ust. 2)</w:t>
      </w:r>
      <w:r>
        <w:t xml:space="preserve"> — w toku postępowania wyjaśniającego GIS może zobowiązać podmiot do wystąpienia o opinię (np. do jednostki naukowej). Podmiot ma na to wystąpienie </w:t>
      </w:r>
      <w:r>
        <w:rPr>
          <w:b/>
          <w:bCs/>
        </w:rPr>
        <w:t>14 dni</w:t>
      </w:r>
      <w:r>
        <w:t xml:space="preserve"> od dnia otrzymania pisma GIS;</w:t>
      </w:r>
    </w:p>
    <w:p w14:paraId="07CB8D89" w14:textId="77777777" w:rsidR="00C17EE8" w:rsidRDefault="004F4AD0">
      <w:pPr>
        <w:pStyle w:val="Akapitzlist"/>
        <w:numPr>
          <w:ilvl w:val="0"/>
          <w:numId w:val="2"/>
        </w:numPr>
        <w:spacing w:after="80" w:line="280" w:lineRule="auto"/>
        <w:jc w:val="both"/>
      </w:pPr>
      <w:r>
        <w:rPr>
          <w:b/>
          <w:bCs/>
        </w:rPr>
        <w:t>sześciomiesięczny termin opinii (ust. 1 i 4)</w:t>
      </w:r>
      <w:r>
        <w:t xml:space="preserve"> — termin na przedłożenie opinii wynosi 6 miesięcy od dnia doręczenia wniosku jednostce naukowej albo Prezesowi URPL, a w razie braku możliwości wydania opinii w tym terminie okres ten może zostać wydłużony, przy czym nie może być łącznie dłuższy niż 12 miesięcy. Uzasadnienie projektu dodatkowo wskazuje, że czas niezbędny do wydania opinii </w:t>
      </w:r>
      <w:r>
        <w:rPr>
          <w:i/>
          <w:iCs/>
        </w:rPr>
        <w:t>nie wlicza się</w:t>
      </w:r>
      <w:r>
        <w:t xml:space="preserve"> w okres prowadzenia postępowania, co wymaga jednoznacznego odzwierciedlenia w treści przepisu albo wyjaśnienia relacji między projektem a uzasadnieniem;</w:t>
      </w:r>
    </w:p>
    <w:p w14:paraId="270169E8" w14:textId="77777777" w:rsidR="00C17EE8" w:rsidRDefault="004F4AD0">
      <w:pPr>
        <w:pStyle w:val="Akapitzlist"/>
        <w:numPr>
          <w:ilvl w:val="0"/>
          <w:numId w:val="2"/>
        </w:numPr>
        <w:spacing w:after="80" w:line="280" w:lineRule="auto"/>
        <w:jc w:val="both"/>
      </w:pPr>
      <w:r>
        <w:rPr>
          <w:b/>
          <w:bCs/>
        </w:rPr>
        <w:t>domniemanie niezgodności (ust. 6)</w:t>
      </w:r>
      <w:r>
        <w:t xml:space="preserve"> — gdy podmiot nie wykona obowiązku 14-dniowego, ustawa „uznaje”, że proponowana przez podmiot kwalifikacja produktu była nieprawidłowa, a produkt nie spełnia wymagań;</w:t>
      </w:r>
    </w:p>
    <w:p w14:paraId="7C48B867" w14:textId="77777777" w:rsidR="00C17EE8" w:rsidRDefault="004F4AD0">
      <w:pPr>
        <w:pStyle w:val="Akapitzlist"/>
        <w:numPr>
          <w:ilvl w:val="0"/>
          <w:numId w:val="2"/>
        </w:numPr>
        <w:spacing w:after="80" w:line="280" w:lineRule="auto"/>
        <w:jc w:val="both"/>
      </w:pPr>
      <w:r>
        <w:rPr>
          <w:b/>
          <w:bCs/>
        </w:rPr>
        <w:t>zakaz nowego powiadomienia w trakcie postępowania (ust. 7)</w:t>
      </w:r>
      <w:r>
        <w:t xml:space="preserve"> — do czasu przedłożenia opinii podmiot nie może złożyć kolejnego powiadomienia o produkcie o tożsamym składzie jakościowo-ilościowym;</w:t>
      </w:r>
    </w:p>
    <w:p w14:paraId="0CD7406E" w14:textId="77777777" w:rsidR="00C17EE8" w:rsidRDefault="004F4AD0">
      <w:pPr>
        <w:pStyle w:val="Akapitzlist"/>
        <w:numPr>
          <w:ilvl w:val="0"/>
          <w:numId w:val="2"/>
        </w:numPr>
        <w:spacing w:after="80" w:line="280" w:lineRule="auto"/>
        <w:jc w:val="both"/>
      </w:pPr>
      <w:r>
        <w:rPr>
          <w:b/>
          <w:bCs/>
        </w:rPr>
        <w:t>zakaz po rezygnacji (ust. 8)</w:t>
      </w:r>
      <w:r>
        <w:t xml:space="preserve"> — jeżeli podmiot zrezygnuje z wprowadzania produktu objętego postępowaniem, nie może już ponownie go zgłosić.</w:t>
      </w:r>
    </w:p>
    <w:p w14:paraId="38CF7CED" w14:textId="77777777" w:rsidR="00C17EE8" w:rsidRDefault="004F4AD0">
      <w:pPr>
        <w:spacing w:after="120" w:line="300" w:lineRule="auto"/>
        <w:jc w:val="both"/>
      </w:pPr>
      <w:r>
        <w:t>Dodatkowo projekt:</w:t>
      </w:r>
    </w:p>
    <w:p w14:paraId="0AF85616" w14:textId="77777777" w:rsidR="00C17EE8" w:rsidRDefault="004F4AD0">
      <w:pPr>
        <w:pStyle w:val="Akapitzlist"/>
        <w:numPr>
          <w:ilvl w:val="0"/>
          <w:numId w:val="2"/>
        </w:numPr>
        <w:spacing w:after="80" w:line="280" w:lineRule="auto"/>
        <w:jc w:val="both"/>
      </w:pPr>
      <w:r>
        <w:t>wyłącza stosowanie KPA do postępowań z art. 30 ustawy (art. 30 ust. 1a);</w:t>
      </w:r>
    </w:p>
    <w:p w14:paraId="740B3021" w14:textId="77777777" w:rsidR="00C17EE8" w:rsidRDefault="004F4AD0">
      <w:pPr>
        <w:pStyle w:val="Akapitzlist"/>
        <w:numPr>
          <w:ilvl w:val="0"/>
          <w:numId w:val="2"/>
        </w:numPr>
        <w:spacing w:after="80" w:line="280" w:lineRule="auto"/>
        <w:jc w:val="both"/>
      </w:pPr>
      <w:r>
        <w:t>podnosi maksymalny limit kary pieniężnej z trzydziestokrotności do stukrotności przeciętnego wynagrodzenia (art. 103);</w:t>
      </w:r>
    </w:p>
    <w:p w14:paraId="6C424D49" w14:textId="77777777" w:rsidR="00C17EE8" w:rsidRDefault="004F4AD0">
      <w:pPr>
        <w:pStyle w:val="Akapitzlist"/>
        <w:numPr>
          <w:ilvl w:val="0"/>
          <w:numId w:val="2"/>
        </w:numPr>
        <w:spacing w:after="80" w:line="280" w:lineRule="auto"/>
        <w:jc w:val="both"/>
      </w:pPr>
      <w:r>
        <w:t>wprowadza system informatyczny SEPIS i platformę e-Sanepid (art. 8b–8d ustawy o Państwowej Inspekcji Sanitarnej) z bardzo szerokim zakresem przetwarzanych danych, w tym danych zdrowotnych.</w:t>
      </w:r>
    </w:p>
    <w:p w14:paraId="712B1048" w14:textId="77777777" w:rsidR="00610E09" w:rsidRDefault="00610E09" w:rsidP="00610E09">
      <w:pPr>
        <w:pStyle w:val="Akapitzlist"/>
        <w:spacing w:after="80" w:line="280" w:lineRule="auto"/>
        <w:ind w:left="720"/>
        <w:jc w:val="both"/>
      </w:pPr>
    </w:p>
    <w:p w14:paraId="61436AED" w14:textId="0C84DD66" w:rsidR="00C17EE8" w:rsidRDefault="00C17EE8"/>
    <w:p w14:paraId="7269E5DA" w14:textId="77777777" w:rsidR="00C17EE8" w:rsidRDefault="004F4AD0">
      <w:pPr>
        <w:pStyle w:val="Nagwek1"/>
      </w:pPr>
      <w:r>
        <w:t>3. Podsumowanie — siedem osi krytyki</w:t>
      </w:r>
    </w:p>
    <w:p w14:paraId="469BC78E" w14:textId="13DD0827" w:rsidR="00C17EE8" w:rsidRDefault="004F4AD0">
      <w:pPr>
        <w:spacing w:after="120" w:line="300" w:lineRule="auto"/>
        <w:jc w:val="both"/>
      </w:pPr>
      <w:r>
        <w:t>Krytyka dotyczy nie celu projektu, ale konstrukcji zaproponowanych narzędzi. W dalszej części wskazane zostaną konkretne ryzyka konstytucyjne, unijne oraz w obszarze ochrony danych osobowych.</w:t>
      </w:r>
    </w:p>
    <w:p w14:paraId="63A3E1A4" w14:textId="77777777" w:rsidR="00C17EE8" w:rsidRDefault="004F4AD0">
      <w:pPr>
        <w:spacing w:after="120" w:line="300" w:lineRule="auto"/>
        <w:jc w:val="both"/>
      </w:pPr>
      <w:r>
        <w:t xml:space="preserve">Najkrócej: problemem nie jest to, że państwo chce skuteczniej nadzorować rynek suplementów diety. Problemem jest to, że projekt wybiera środki </w:t>
      </w:r>
      <w:r>
        <w:rPr>
          <w:b/>
          <w:bCs/>
        </w:rPr>
        <w:t>automatyczne, surowe i słabo zindywidualizowane</w:t>
      </w:r>
      <w:r>
        <w:t>. W efekcie uchybienie formalne może wywołać skutek podobny do zakwestionowania samego produktu — bez pełnej oceny jego rzeczywistych właściwości. Największe ryzyko konstytucyjne i unijne dotyczy art. 31a ust. 6–8. Przepisy te tworzą mechanizm:</w:t>
      </w:r>
    </w:p>
    <w:p w14:paraId="21143DC0" w14:textId="77777777" w:rsidR="00C17EE8" w:rsidRDefault="004F4AD0">
      <w:pPr>
        <w:pStyle w:val="Akapitzlist"/>
        <w:numPr>
          <w:ilvl w:val="0"/>
          <w:numId w:val="2"/>
        </w:numPr>
        <w:spacing w:after="80" w:line="280" w:lineRule="auto"/>
        <w:jc w:val="both"/>
      </w:pPr>
      <w:r>
        <w:rPr>
          <w:b/>
          <w:bCs/>
        </w:rPr>
        <w:t>automatycznego domniemania niezgodności produktu</w:t>
      </w:r>
      <w:r>
        <w:t xml:space="preserve"> — uchybienie obowiązkowi formalnemu (14 dni na wystąpienie o opinię) wywołuje uznanie z mocy ustawy, że produkt nie spełnia wymagań — bez badania samego produktu;</w:t>
      </w:r>
    </w:p>
    <w:p w14:paraId="2091BB2E" w14:textId="77777777" w:rsidR="00C17EE8" w:rsidRDefault="004F4AD0">
      <w:pPr>
        <w:pStyle w:val="Akapitzlist"/>
        <w:numPr>
          <w:ilvl w:val="0"/>
          <w:numId w:val="2"/>
        </w:numPr>
        <w:spacing w:after="80" w:line="280" w:lineRule="auto"/>
        <w:jc w:val="both"/>
      </w:pPr>
      <w:r>
        <w:rPr>
          <w:b/>
          <w:bCs/>
        </w:rPr>
        <w:t>potencjalnego zamrożenia nowych zgłoszeń tej samej formuły na czas oczekiwania na opinię, w praktyce nawet 6–12 miesięcy</w:t>
      </w:r>
      <w:r>
        <w:t xml:space="preserve"> (ust. 7) — na czas oczekiwania na opinię podmiot nie może złożyć kolejnego powiadomienia dotyczącego produktu o tożsamym składzie jakościowo-ilościowym;</w:t>
      </w:r>
    </w:p>
    <w:p w14:paraId="11C691AE" w14:textId="77777777" w:rsidR="00C17EE8" w:rsidRDefault="004F4AD0">
      <w:pPr>
        <w:pStyle w:val="Akapitzlist"/>
        <w:numPr>
          <w:ilvl w:val="0"/>
          <w:numId w:val="2"/>
        </w:numPr>
        <w:spacing w:after="80" w:line="280" w:lineRule="auto"/>
        <w:jc w:val="both"/>
      </w:pPr>
      <w:r>
        <w:rPr>
          <w:b/>
          <w:bCs/>
        </w:rPr>
        <w:t>bezterminowego zakazu po rezygnacji</w:t>
      </w:r>
      <w:r>
        <w:t xml:space="preserve"> (ust. 8) — po wycofaniu się z postępowania nie ma drogi powrotu na rynek z tym produktem.</w:t>
      </w:r>
    </w:p>
    <w:p w14:paraId="09CF7C02" w14:textId="77777777" w:rsidR="00C17EE8" w:rsidRDefault="004F4AD0">
      <w:pPr>
        <w:spacing w:after="120" w:line="300" w:lineRule="auto"/>
        <w:jc w:val="both"/>
      </w:pPr>
      <w:r>
        <w:t xml:space="preserve">Mechanizm art. 31a ust. 6–8 nie wprowadza formalnie zezwolenia na obrót, ale może funkcjonalnie zbliżać procedurę notyfikacyjną do mechanizmu </w:t>
      </w:r>
      <w:r>
        <w:rPr>
          <w:b/>
          <w:bCs/>
        </w:rPr>
        <w:t>quasi-preautoryzacyjnego</w:t>
      </w:r>
      <w:r>
        <w:t>, jeżeli automatyczne skutki proceduralne będą w praktyce blokować dostęp produktu do rynku bez indywidualnej decyzji i bez pełnej oceny ryzyka.</w:t>
      </w:r>
    </w:p>
    <w:p w14:paraId="77D50A40" w14:textId="77777777" w:rsidR="00C17EE8" w:rsidRDefault="004F4AD0">
      <w:pPr>
        <w:spacing w:after="120" w:line="300" w:lineRule="auto"/>
        <w:jc w:val="both"/>
      </w:pPr>
      <w:r>
        <w:rPr>
          <w:b/>
          <w:bCs/>
        </w:rPr>
        <w:t>W konsekwencji projekt może prowadzić do nieproporcjonalnego ograniczenia wolności działalności gospodarczej, chronionej na podstawie art. 22 Konstytucji Rzeczypospolitej Polskiej z dnia 2 kwietnia 1997 r. (Dz. U. Nr 78, poz. 483 z późn. zm.), zwłaszcza wobec mikro-, małych i średnich przedsiębiorców (MŚP).</w:t>
      </w:r>
    </w:p>
    <w:p w14:paraId="0AC499A2" w14:textId="77777777" w:rsidR="004F4AD0" w:rsidRDefault="004F4AD0">
      <w:pPr>
        <w:spacing w:after="120" w:line="300" w:lineRule="auto"/>
        <w:jc w:val="both"/>
      </w:pPr>
      <w:r>
        <w:t xml:space="preserve">Projekt idzie dalej niż model monitorowania przewidziany w art. 10 dyrektywy 2002/46/WE i wymaga szczególnego uzasadnienia w świetle art. 34 i 36 TFUE oraz zasady proporcjonalności (linia orzecznicza TSUE: C-387/99, C-150/00, C-41/02, C-319/05, C-672/15 Noria Distribution oraz sprawy połączone C-211/03, C-299/03, C-316/03, C-317/03 i C-318/03 HLH Warenvertriebs i Orthica). Mechanizm z art. 31a ust. 6-8 wymaga osobnej analizy proceduralnej pod kątem dyrektywy (UE) 2015/1535 Parlamentu Europejskiego i Rady z dnia 9 września 2015 r. ustanawiającej procedurę udzielania informacji w dziedzinie przepisów technicznych - w razie kwalifikacji jako „inne wymaganie” brak notyfikacji w bazie TRIS skutkuje, zgodnie z orzecznictwem TSUE (CIA Security, Unilever), bezskutecznością przepisu wobec jednostek. </w:t>
      </w:r>
    </w:p>
    <w:p w14:paraId="42F73BED" w14:textId="508EA108" w:rsidR="00C17EE8" w:rsidRDefault="004F4AD0">
      <w:pPr>
        <w:spacing w:after="120" w:line="300" w:lineRule="auto"/>
        <w:jc w:val="both"/>
      </w:pPr>
      <w:r>
        <w:t>Projekt budzi również istotne wątpliwości w świetle rozporządzenia Parlamentu Europejskiego i Rady (UE) 2019/515 z dnia 19 marca 2019 r. w sprawie wzajemnego uznawania towarów oraz w obszarze ochrony danych osobowych (RODO).</w:t>
      </w:r>
    </w:p>
    <w:p w14:paraId="21C2C48C" w14:textId="77777777" w:rsidR="00C17EE8" w:rsidRDefault="004F4AD0">
      <w:pPr>
        <w:spacing w:after="120" w:line="300" w:lineRule="auto"/>
        <w:jc w:val="both"/>
      </w:pPr>
      <w:r>
        <w:rPr>
          <w:b/>
          <w:bCs/>
          <w:color w:val="4B0082"/>
        </w:rPr>
        <w:t>Bez korekt opisanych w tej opinii projekt narażony jest na zarzut ustanowienia funkcjonalnie quasi-autoryzacyjnego mechanizmu ograniczającego dostęp produktów do rynku, bez adekwatnych gwarancji procesowych, bez pełnej analizy w obszarze ochrony danych osobowych i bez wystarczającej analizy wpływu na MŚP.</w:t>
      </w:r>
    </w:p>
    <w:p w14:paraId="47FAF358" w14:textId="77777777" w:rsidR="00C17EE8" w:rsidRDefault="004F4AD0">
      <w:pPr>
        <w:pStyle w:val="Nagwek1"/>
      </w:pPr>
      <w:r>
        <w:t>4. Cel projektu jest zasadny, ale środki są nadmierne</w:t>
      </w:r>
    </w:p>
    <w:p w14:paraId="01565190" w14:textId="77777777" w:rsidR="00C17EE8" w:rsidRDefault="004F4AD0">
      <w:pPr>
        <w:spacing w:after="120" w:line="300" w:lineRule="auto"/>
        <w:jc w:val="both"/>
      </w:pPr>
      <w:r>
        <w:t xml:space="preserve">Potrzeba usprawnienia nadzoru nad suplementami diety jest realna. Rynek jest duży, GIS jest przeciążony, a brak reakcji przedsiębiorców na wezwania organu rzeczywiście wymaga odpowiedzi ustawowej. Spór nie dotyczy więc celu projektu — spór dotyczy proporcji między celem a środkiem. Skala zjawiska udokumentowana w uzasadnieniu projektu jest realna: w latach 2017–2020 do GIS wpłynęło </w:t>
      </w:r>
      <w:r>
        <w:rPr>
          <w:b/>
          <w:bCs/>
        </w:rPr>
        <w:t>62 808 powiadomień</w:t>
      </w:r>
      <w:r>
        <w:t xml:space="preserve">, a — według uzasadnienia — </w:t>
      </w:r>
      <w:r>
        <w:rPr>
          <w:b/>
          <w:bCs/>
        </w:rPr>
        <w:t>podmioty, które GIS zobowiązuje do przedłożenia opinii Prezesa URPL lub jednostki naukowej, „często nie przedkładają tych opinii”</w:t>
      </w:r>
      <w:r>
        <w:t xml:space="preserve">. Najwyższa Izba Kontroli w raporcie z 2022 r. (P/21/078) potwierdziła systemowe przeciążenie GIS i wskazała na konieczność określenia </w:t>
      </w:r>
      <w:r>
        <w:rPr>
          <w:i/>
          <w:iCs/>
        </w:rPr>
        <w:t>terminów</w:t>
      </w:r>
      <w:r>
        <w:t xml:space="preserve"> na przedłożenie opinii — projekt jednak idzie znacznie dalej, wprowadzając automatyczne domniemania i trwałe zakazy.</w:t>
      </w:r>
    </w:p>
    <w:p w14:paraId="6783A593" w14:textId="77777777" w:rsidR="00C17EE8" w:rsidRDefault="004F4AD0">
      <w:pPr>
        <w:spacing w:after="120" w:line="300" w:lineRule="auto"/>
        <w:jc w:val="both"/>
      </w:pPr>
      <w:r>
        <w:rPr>
          <w:b/>
          <w:bCs/>
        </w:rPr>
        <w:t xml:space="preserve">Problem polega na tym, że projekt odpowiada na rzeczywisty problem za pomocą mechanizmów zbyt szerokich, automatycznych i niewystarczająco zindywidualizowanych. </w:t>
      </w:r>
      <w:r>
        <w:t xml:space="preserve">Skala uchybień opisana w uzasadnieniu potwierdza potrzebę interwencji ustawowej, ale nie uzasadnia automatycznego traktowania wszystkich podmiotów jak działających w złej wierze. NIK rekomendowała określenie </w:t>
      </w:r>
      <w:r>
        <w:rPr>
          <w:i/>
          <w:iCs/>
        </w:rPr>
        <w:t>terminów</w:t>
      </w:r>
      <w:r>
        <w:t xml:space="preserve"> na przedstawienie opinii, nie zaś automatyczne domniemania materialnej niezgodności produktu ani bezterminowe zakazy ponownego powiadomienia.</w:t>
      </w:r>
    </w:p>
    <w:p w14:paraId="4073F54E" w14:textId="77777777" w:rsidR="00C17EE8" w:rsidRDefault="004F4AD0">
      <w:pPr>
        <w:spacing w:after="120" w:line="300" w:lineRule="auto"/>
        <w:jc w:val="both"/>
      </w:pPr>
      <w:r>
        <w:t xml:space="preserve">Trzeba też postawić pytanie kierunkowe: jeżeli rzeczywistym źródłem problemu jest </w:t>
      </w:r>
      <w:r>
        <w:rPr>
          <w:b/>
          <w:bCs/>
        </w:rPr>
        <w:t>przeciążenie GIS</w:t>
      </w:r>
      <w:r>
        <w:t xml:space="preserve">, to naturalną odpowiedzią ustawową jest </w:t>
      </w:r>
      <w:r>
        <w:rPr>
          <w:b/>
          <w:bCs/>
        </w:rPr>
        <w:t>wzmocnienie organu</w:t>
      </w:r>
      <w:r>
        <w:t>, a nie przerzucenie ciężaru proceduralnego na przedsiębiorców. Adekwatnymi środkami są: zwiększenie etatów merytorycznych w GIS i Zespole do Spraw Suplementów Diety, doposażenie laboratoriów referencyjnych, wprowadzenie narzędzi cyfryzacji i automatyzacji (w tym wsparcie analityczne oparte na sztucznej inteligencji do triage powiadomień, wstępnej oceny ryzyka i wykrywania zgłoszeń o tożsamym składzie jakościowo-ilościowym), uporządkowanie wymiany danych z URPL i jednostkami naukowymi oraz dofinansowanie systemu SEPIS po stronie kosztów osobowych i serwisowych. Dopiero wykazanie, że tymi środkami nie da się usunąć przeciążenia, mogłoby uzasadniać sięganie po sankcje formalne dotykające przedsiębiorców (art. 31 ust. 3 Konstytucji RP, test konieczności i proporcjonalności).</w:t>
      </w:r>
    </w:p>
    <w:p w14:paraId="4073F54F" w14:textId="77777777" w:rsidR="00C17EE8" w:rsidRDefault="004F4AD0">
      <w:pPr>
        <w:spacing w:after="120" w:line="300" w:lineRule="auto"/>
        <w:jc w:val="both"/>
      </w:pPr>
      <w:r>
        <w:t xml:space="preserve">Państwo nie musi udowadniać każdej okoliczności od zera — to oczywiste. Odpowiedzialność za zgodność produktu z prawem żywnościowym spoczywa na podmiocie działającym na rynku spożywczym — w praktyce na podmiocie wprowadzającym żywność do obrotu i odpowiedzialnym za jej zgodność z prawem (Food Business Operator, FBO). Mówi to wprost art. 17 ust. 1 rozporządzenia (WE) nr 178/2002 Parlamentu Europejskiego i Rady z dnia 28 stycznia 2002 r. ustanawiającego ogólne zasady i wymagania prawa żywnościowego (Dz. Urz. UE L 31 z 1.02.2002, str. 1): podmioty działające na rynku spożywczym zapewniają, na wszystkich etapach produkcji, przetwarzania i dystrybucji w przedsiębiorstwach będących pod ich kontrolą, zgodność żywności z wymogami prawa żywnościowego. </w:t>
      </w:r>
      <w:r>
        <w:rPr>
          <w:b/>
          <w:bCs/>
        </w:rPr>
        <w:t>Z tego nie wynika jednak, że państwo może opierać domniemanie materialnej niezgodności produktu wyłącznie na uchybieniu proceduralnym. Między obowiązkiem podmiotu działającego na rynku spożywczym z art. 17 ust. 1 a konstrukcją zaproponowaną w art. 31a ust. 6 projektu jest istotna różnica jakościowa.</w:t>
      </w:r>
    </w:p>
    <w:p w14:paraId="3B96B523" w14:textId="77777777" w:rsidR="00C17EE8" w:rsidRDefault="004F4AD0">
      <w:pPr>
        <w:pStyle w:val="Nagwek1"/>
      </w:pPr>
      <w:r>
        <w:t>5. Najważniejsze przepisy problemowe</w:t>
      </w:r>
    </w:p>
    <w:p w14:paraId="1FAFC699" w14:textId="77777777" w:rsidR="00C17EE8" w:rsidRDefault="004F4AD0">
      <w:pPr>
        <w:pStyle w:val="Nagwek2"/>
      </w:pPr>
      <w:r>
        <w:t>5.1. Art. 31a ust. 6 — automatyczne domniemanie niezgodności</w:t>
      </w:r>
    </w:p>
    <w:p w14:paraId="3562AEFA" w14:textId="77777777" w:rsidR="00C17EE8" w:rsidRDefault="004F4AD0">
      <w:pPr>
        <w:pStyle w:val="Nagwek3"/>
      </w:pPr>
      <w:r>
        <w:t>Co przewiduje przepis</w:t>
      </w:r>
    </w:p>
    <w:p w14:paraId="25DF8D08" w14:textId="77777777" w:rsidR="00C17EE8" w:rsidRDefault="004F4AD0">
      <w:pPr>
        <w:spacing w:after="120" w:line="300" w:lineRule="auto"/>
        <w:jc w:val="both"/>
      </w:pPr>
      <w:r>
        <w:t>Projektowany art. 31a ust. 6 stanowi:</w:t>
      </w:r>
    </w:p>
    <w:p w14:paraId="0C322814" w14:textId="77777777" w:rsidR="00C17EE8" w:rsidRDefault="004F4AD0">
      <w:pPr>
        <w:pBdr>
          <w:left w:val="single" w:sz="18" w:space="8" w:color="4B0082"/>
        </w:pBdr>
        <w:spacing w:before="100" w:after="120" w:line="280" w:lineRule="auto"/>
        <w:ind w:left="360" w:right="360"/>
        <w:jc w:val="both"/>
      </w:pPr>
      <w:r>
        <w:rPr>
          <w:i/>
          <w:iCs/>
          <w:sz w:val="21"/>
          <w:szCs w:val="21"/>
        </w:rPr>
        <w:t>„Niewykonanie w terminie obowiązku, o którym mowa w ust. 2, skutkuje domniemaniem, że kwalifikacja środka spożywczego zaproponowana przez podmiot działający na rynku spożywczym jest nieprawidłowa oraz, że środek spożywczy nie spełnia wymagań dla danego rodzaju środka spożywczego. W takim przypadku Główny Inspektor Sanitarny powiadamia podmiot, o którym mowa w art. 29 ust. 1, o zakończeniu postępowania.”</w:t>
      </w:r>
    </w:p>
    <w:p w14:paraId="7B383545" w14:textId="77777777" w:rsidR="00C17EE8" w:rsidRDefault="004F4AD0">
      <w:pPr>
        <w:spacing w:after="120" w:line="300" w:lineRule="auto"/>
        <w:jc w:val="both"/>
      </w:pPr>
      <w:r>
        <w:t xml:space="preserve">Innymi słowy: jeżeli podmiot nie wykona obowiązku z ust. 2 (czyli nie wystąpi w ciągu 14 dni o opinię — np. do jednostki naukowej lub Prezesa URPL), to </w:t>
      </w:r>
      <w:r>
        <w:rPr>
          <w:b/>
          <w:bCs/>
        </w:rPr>
        <w:t>powstaje domniemanie</w:t>
      </w:r>
      <w:r>
        <w:t>, że proponowana przez podmiot kwalifikacja produktu (np. jako suplementu diety) była nieprawidłowa, a sam produkt nie spełnia wymagań dla tej kategorii. Na tej podstawie GIS powiadamia podmiot o zakończeniu postępowania ze skutkiem niekorzystnym dla obrotu produktem.</w:t>
      </w:r>
    </w:p>
    <w:p w14:paraId="36608623" w14:textId="77777777" w:rsidR="00C17EE8" w:rsidRDefault="004F4AD0">
      <w:pPr>
        <w:pStyle w:val="Nagwek3"/>
      </w:pPr>
      <w:r>
        <w:t>Na czym polega problem</w:t>
      </w:r>
    </w:p>
    <w:p w14:paraId="3006C01D" w14:textId="77777777" w:rsidR="00C17EE8" w:rsidRDefault="004F4AD0">
      <w:pPr>
        <w:spacing w:after="120" w:line="300" w:lineRule="auto"/>
        <w:jc w:val="both"/>
      </w:pPr>
      <w:r>
        <w:t xml:space="preserve">Mechanizm ten </w:t>
      </w:r>
      <w:r>
        <w:rPr>
          <w:b/>
          <w:bCs/>
        </w:rPr>
        <w:t>funkcjonalnie prowadzi do odwrócenia ciężaru dowodu</w:t>
      </w:r>
      <w:r>
        <w:t xml:space="preserve"> — czyli sytuacji, w której to przedsiębiorca, a nie organ państwa, musi wykazywać zgodność produktu z prawem. Przy tym uchybienie obowiązkowi </w:t>
      </w:r>
      <w:r>
        <w:rPr>
          <w:i/>
          <w:iCs/>
        </w:rPr>
        <w:t>czysto formalnemu</w:t>
      </w:r>
      <w:r>
        <w:t xml:space="preserve"> (terminowi proceduralnemu na złożenie wniosku o opinię) wywołuje domniemanie </w:t>
      </w:r>
      <w:r>
        <w:rPr>
          <w:i/>
          <w:iCs/>
        </w:rPr>
        <w:t>materialnej</w:t>
      </w:r>
      <w:r>
        <w:t xml:space="preserve"> niezgodności produktu — choć między uchybieniem proceduralnym a właściwościami chemicznymi, biologicznymi czy farmakologicznymi produktu nie ma żadnego związku.</w:t>
      </w:r>
    </w:p>
    <w:p w14:paraId="0E04D262" w14:textId="77777777" w:rsidR="00C17EE8" w:rsidRDefault="004F4AD0">
      <w:pPr>
        <w:spacing w:after="120" w:line="300" w:lineRule="auto"/>
        <w:jc w:val="both"/>
      </w:pPr>
      <w:r>
        <w:t>Innymi słowy: projekt pozwala uznać produkt za niespełniający wymagań nie dlatego, że zbadano jego skład, działanie lub ryzyko, ale dlatego, że przedsiębiorca nie wykonał czynności formalnej w terminie. To jest zasadnicza różnica.</w:t>
      </w:r>
    </w:p>
    <w:p w14:paraId="6A07B5C4" w14:textId="77777777" w:rsidR="00C17EE8" w:rsidRDefault="004F4AD0">
      <w:pPr>
        <w:spacing w:after="120" w:line="300" w:lineRule="auto"/>
        <w:jc w:val="both"/>
      </w:pPr>
      <w:r>
        <w:t>Odrębnym problemem jest to, że projekt nie reguluje w sposób wystarczająco jasny sytuacji, w której po prawidłowym i terminowym złożeniu przez podmiot wniosku o opinię — opóźnienie w wydaniu samej opinii wynika z działania lub zaniechania jednostki naukowej albo Prezesa URPL. Mimo że projekt zakłada, że termin opinii może być przedłużany do 12 miesięcy, podmiot nie ma realnego wpływu na pracę jednostki opiniującej.</w:t>
      </w:r>
    </w:p>
    <w:p w14:paraId="44D51AF0" w14:textId="77777777" w:rsidR="00C17EE8" w:rsidRDefault="004F4AD0">
      <w:pPr>
        <w:pStyle w:val="Nagwek3"/>
      </w:pPr>
      <w:r>
        <w:t>Sprzeczność z orzecznictwem TSUE</w:t>
      </w:r>
    </w:p>
    <w:p w14:paraId="3E7730E5" w14:textId="77777777" w:rsidR="00C17EE8" w:rsidRDefault="004F4AD0">
      <w:pPr>
        <w:spacing w:after="120" w:line="300" w:lineRule="auto"/>
        <w:jc w:val="both"/>
      </w:pPr>
      <w:r>
        <w:t>Trybunał Sprawiedliwości UE nie wymaga od państwa, aby ignorowało ryzyka zdrowotne. Wymaga jednak, aby ryzyka te były oceniane na podstawie konkretnego produktu, a nie automatu ustawowego. W sprawie C-387/99 Komisja przeciwko Niemcom (wyrok z 29 kwietnia 2004 r., ECLI:EU:C:2004:235, pkt 57, 62, 83) TSUE odrzucił automatyczną kwalifikację preparatów witaminowych i wskazał na potrzebę „detailed assessment on a case-by-case basis”. W C-319/05 Komisja przeciwko Niemcom (wyrok z 15 listopada 2007 r., ECLI:EU:C:2007:678, pkt 95–97) Trybunał podkreślił, że zanim państwo sięgnie po twardą reglamentację, powinno rozważyć środki mniej restrykcyjne dla swobodnego przepływu towarów — np. odpowiednie ostrzeżenia na etykietach. W C-672/15 Noria Distribution (wyrok z 27 kwietnia 2017 r., ECLI:EU:C:2017:310) TSUE wymagał, aby ograniczenia opierały się nie na „względach ogólnych lub hipotetycznych”, lecz na „właściwych danych naukowych”. Ten sam kierunek potwierdza HLH/Orthica (sprawy połączone C-211/03, C-299/03, C-316/03, C-317/03 i C-318/03, wyrok z 9 czerwca 2005 r., ECLI:EU:C:2005:370, pkt 30 i 72): kwalifikacja produktu wymaga uwzględnienia „ogółu cech charakterystycznych produktu”, w tym właściwości ustalanych „w oparciu o aktualny stan wiedzy naukowej”.</w:t>
      </w:r>
    </w:p>
    <w:p w14:paraId="7D9B9482" w14:textId="77777777" w:rsidR="00C17EE8" w:rsidRDefault="004F4AD0">
      <w:pPr>
        <w:pStyle w:val="Nagwek2"/>
      </w:pPr>
      <w:r>
        <w:t>5.2. Art. 31a ust. 7 — zamrożenie wariantu produktowego na czas oczekiwania na opinię</w:t>
      </w:r>
    </w:p>
    <w:p w14:paraId="549D3ED4" w14:textId="77777777" w:rsidR="00C17EE8" w:rsidRDefault="004F4AD0">
      <w:pPr>
        <w:pStyle w:val="Nagwek3"/>
      </w:pPr>
      <w:r>
        <w:t>Co przewiduje przepis</w:t>
      </w:r>
    </w:p>
    <w:p w14:paraId="2F8031BE" w14:textId="77777777" w:rsidR="00C17EE8" w:rsidRDefault="004F4AD0">
      <w:pPr>
        <w:spacing w:after="120" w:line="300" w:lineRule="auto"/>
        <w:jc w:val="both"/>
      </w:pPr>
      <w:r>
        <w:t>Projektowany art. 31a ust. 7 stanowi:</w:t>
      </w:r>
    </w:p>
    <w:p w14:paraId="640120FC" w14:textId="77777777" w:rsidR="00C17EE8" w:rsidRDefault="004F4AD0">
      <w:pPr>
        <w:pBdr>
          <w:left w:val="single" w:sz="18" w:space="8" w:color="4B0082"/>
        </w:pBdr>
        <w:spacing w:before="100" w:after="120" w:line="280" w:lineRule="auto"/>
        <w:ind w:left="360" w:right="360"/>
        <w:jc w:val="both"/>
      </w:pPr>
      <w:r>
        <w:rPr>
          <w:i/>
          <w:iCs/>
          <w:sz w:val="21"/>
          <w:szCs w:val="21"/>
        </w:rPr>
        <w:t>„Do czasu przedłożenia Głównemu Inspektorowi Sanitarnemu opinii, o której mowa w ust. 1, podmiot nie może złożyć kolejnego powiadomienia w trybie art. 29 ust. 1 ustawy dla produktu o tożsamym składzie jakościowo-ilościowym.”</w:t>
      </w:r>
    </w:p>
    <w:p w14:paraId="1A5B5105" w14:textId="77777777" w:rsidR="00C17EE8" w:rsidRDefault="004F4AD0">
      <w:pPr>
        <w:pStyle w:val="Nagwek3"/>
      </w:pPr>
      <w:r>
        <w:t>Co to znaczy w praktyce — krok po kroku</w:t>
      </w:r>
    </w:p>
    <w:p w14:paraId="3C3FEEC1" w14:textId="77777777" w:rsidR="00C17EE8" w:rsidRDefault="004F4AD0">
      <w:pPr>
        <w:spacing w:after="120" w:line="300" w:lineRule="auto"/>
        <w:jc w:val="both"/>
      </w:pPr>
      <w:r>
        <w:t>Aby zrozumieć skutki tego przepisu, należy prześledzić cały scenariusz w czasie:</w:t>
      </w:r>
    </w:p>
    <w:p w14:paraId="7BB735F4" w14:textId="77777777" w:rsidR="00C17EE8" w:rsidRDefault="004F4AD0">
      <w:pPr>
        <w:pStyle w:val="Akapitzlist"/>
        <w:numPr>
          <w:ilvl w:val="0"/>
          <w:numId w:val="3"/>
        </w:numPr>
        <w:spacing w:after="80" w:line="280" w:lineRule="auto"/>
        <w:jc w:val="both"/>
      </w:pPr>
      <w:r>
        <w:rPr>
          <w:b/>
          <w:bCs/>
        </w:rPr>
        <w:t xml:space="preserve">Etap 1 — powiadomienie. </w:t>
      </w:r>
      <w:r>
        <w:t>Przedsiębiorca zgłasza GIS, że zamierza wprowadzić do obrotu suplement diety o określonym składzie (np. tabletki magnezu z dodatkiem witaminy B6).</w:t>
      </w:r>
    </w:p>
    <w:p w14:paraId="3E9DDBA9" w14:textId="2B92E14F" w:rsidR="00C17EE8" w:rsidRDefault="004F4AD0">
      <w:pPr>
        <w:pStyle w:val="Akapitzlist"/>
        <w:numPr>
          <w:ilvl w:val="0"/>
          <w:numId w:val="3"/>
        </w:numPr>
        <w:spacing w:after="80" w:line="280" w:lineRule="auto"/>
        <w:jc w:val="both"/>
      </w:pPr>
      <w:r>
        <w:rPr>
          <w:b/>
          <w:bCs/>
        </w:rPr>
        <w:t xml:space="preserve">Etap 2 — postępowanie wyjaśniające. </w:t>
      </w:r>
      <w:r>
        <w:t>GIS poweźmie wątpliwości co do kwalifikacji produktu (np. czy nie jest to lek, czy zawartość jakiegoś składnika jest dopuszczalna). Wszczyna postępowanie i — w trybie projektowanego art. 31a — zobowiązuje przedsiębiorcę do wystąpienia o opinię (jednostki naukowej lub Prezesa URPL).</w:t>
      </w:r>
    </w:p>
    <w:p w14:paraId="4900AC33" w14:textId="77777777" w:rsidR="00C17EE8" w:rsidRDefault="004F4AD0">
      <w:pPr>
        <w:pStyle w:val="Akapitzlist"/>
        <w:numPr>
          <w:ilvl w:val="0"/>
          <w:numId w:val="3"/>
        </w:numPr>
        <w:spacing w:after="80" w:line="280" w:lineRule="auto"/>
        <w:jc w:val="both"/>
      </w:pPr>
      <w:r>
        <w:rPr>
          <w:b/>
          <w:bCs/>
        </w:rPr>
        <w:t xml:space="preserve">Etap 3 — wystąpienie o opinię. </w:t>
      </w:r>
      <w:r>
        <w:t>Przedsiębiorca w 14 dni składa wniosek o opinię (zgodnie z ust. 2).</w:t>
      </w:r>
    </w:p>
    <w:p w14:paraId="39DAF725" w14:textId="77777777" w:rsidR="00C17EE8" w:rsidRDefault="004F4AD0">
      <w:pPr>
        <w:pStyle w:val="Akapitzlist"/>
        <w:numPr>
          <w:ilvl w:val="0"/>
          <w:numId w:val="3"/>
        </w:numPr>
        <w:spacing w:after="80" w:line="280" w:lineRule="auto"/>
        <w:jc w:val="both"/>
      </w:pPr>
      <w:r>
        <w:rPr>
          <w:b/>
          <w:bCs/>
        </w:rPr>
        <w:t xml:space="preserve">Etap 4 — oczekiwanie. </w:t>
      </w:r>
      <w:r>
        <w:t xml:space="preserve">Jednostka naukowa lub Prezes URPL ma 6 miesięcy na wydanie opinii, przy czym termin ten może być przedłużony do 12 miesięcy. Uzasadnienie projektu wskazuje, że czas niezbędny do wydania opinii </w:t>
      </w:r>
      <w:r>
        <w:rPr>
          <w:i/>
          <w:iCs/>
        </w:rPr>
        <w:t>nie wlicza się</w:t>
      </w:r>
      <w:r>
        <w:t xml:space="preserve"> w okres prowadzenia postępowania przez GIS. Jeżeli projektodawca chce nadać temu skutek normatywny, powinno to wynikać wprost z przepisu, a nie tylko z uzasadnienia.</w:t>
      </w:r>
    </w:p>
    <w:p w14:paraId="20481F62" w14:textId="77777777" w:rsidR="00C17EE8" w:rsidRDefault="004F4AD0">
      <w:pPr>
        <w:pStyle w:val="Akapitzlist"/>
        <w:numPr>
          <w:ilvl w:val="0"/>
          <w:numId w:val="3"/>
        </w:numPr>
        <w:spacing w:after="80" w:line="280" w:lineRule="auto"/>
        <w:jc w:val="both"/>
      </w:pPr>
      <w:r>
        <w:rPr>
          <w:b/>
          <w:bCs/>
        </w:rPr>
        <w:t xml:space="preserve">Etap 5 — blokada z ust. 7 działa przez cały etap 4. </w:t>
      </w:r>
      <w:r>
        <w:t xml:space="preserve">Przez 6–12 miesięcy oczekiwania na opinię przedsiębiorca </w:t>
      </w:r>
      <w:r>
        <w:rPr>
          <w:b/>
          <w:bCs/>
        </w:rPr>
        <w:t>nie może złożyć żadnego nowego powiadomienia</w:t>
      </w:r>
      <w:r>
        <w:t xml:space="preserve"> o produkcie o </w:t>
      </w:r>
      <w:r>
        <w:rPr>
          <w:i/>
          <w:iCs/>
        </w:rPr>
        <w:t>tożsamym składzie jakościowo-ilościowym</w:t>
      </w:r>
      <w:r>
        <w:t xml:space="preserve"> — czyli takim samym zestawie składników w takich samych ilościach.</w:t>
      </w:r>
    </w:p>
    <w:p w14:paraId="09E8BD62" w14:textId="77777777" w:rsidR="00C17EE8" w:rsidRDefault="004F4AD0">
      <w:pPr>
        <w:pStyle w:val="Nagwek3"/>
      </w:pPr>
      <w:r>
        <w:t>Co to oznacza dla przedsiębiorcy — przykład praktyczny</w:t>
      </w:r>
    </w:p>
    <w:p w14:paraId="40B616B8" w14:textId="77777777" w:rsidR="00C17EE8" w:rsidRDefault="004F4AD0">
      <w:pPr>
        <w:spacing w:after="120" w:line="300" w:lineRule="auto"/>
        <w:jc w:val="both"/>
      </w:pPr>
      <w:r>
        <w:t>Załóżmy, że firma posiada w portfelu pięć produktów o tej samej formule chemicznej (ten sam skład jakościowo-ilościowy: magnez 100 mg + witamina B6 1,4 mg), różniących się jedynie nazwą handlową, opakowaniem (blister 30 vs 60 tabletek), kanałem dystrybucji (apteka vs handel ogólny) lub etykietą skierowaną do innej grupy konsumentów (np. „Magnez Senior” vs „Magnez Aktywny”).</w:t>
      </w:r>
    </w:p>
    <w:p w14:paraId="24925A93" w14:textId="77777777" w:rsidR="00C17EE8" w:rsidRDefault="004F4AD0">
      <w:pPr>
        <w:spacing w:after="120" w:line="300" w:lineRule="auto"/>
        <w:jc w:val="both"/>
      </w:pPr>
      <w:r>
        <w:t xml:space="preserve">Wystarczy, że GIS wszczyna postępowanie wyjaśniające </w:t>
      </w:r>
      <w:r>
        <w:rPr>
          <w:b/>
          <w:bCs/>
        </w:rPr>
        <w:t>wobec jednego</w:t>
      </w:r>
      <w:r>
        <w:t xml:space="preserve"> z tych produktów, by przez 6–12 miesięcy oczekiwania na opinię firma </w:t>
      </w:r>
      <w:r>
        <w:rPr>
          <w:b/>
          <w:bCs/>
        </w:rPr>
        <w:t>nie mogła skutecznie zgłosić kolejnych wariantów tej samej formuły</w:t>
      </w:r>
      <w:r>
        <w:t xml:space="preserve"> — np. nowego opakowania, nowej linii marketingowej, repackagingu albo wariantu dla innego kanału dystrybucji. Wprowadzanie do obrotu produktów już prawidłowo zgłoszonych nie jest formalnie zakazane, ale </w:t>
      </w:r>
      <w:r>
        <w:rPr>
          <w:i/>
          <w:iCs/>
        </w:rPr>
        <w:t>nowe zgłoszenia tej samej formuły</w:t>
      </w:r>
      <w:r>
        <w:t xml:space="preserve"> stają się czasowo zablokowane.</w:t>
      </w:r>
    </w:p>
    <w:p w14:paraId="1DA9890E" w14:textId="77777777" w:rsidR="00C17EE8" w:rsidRDefault="004F4AD0">
      <w:pPr>
        <w:spacing w:after="120" w:line="300" w:lineRule="auto"/>
        <w:jc w:val="both"/>
      </w:pPr>
      <w:r>
        <w:t>Dla dużej firmy może to być kosztowna przeszkoda. Dla małego producenta może oznaczać zamrożenie całego projektu sprzedażowego na sezon albo utratę kontraktu z dystrybutorem.</w:t>
      </w:r>
    </w:p>
    <w:p w14:paraId="0BFB94C9" w14:textId="77777777" w:rsidR="00C17EE8" w:rsidRDefault="004F4AD0">
      <w:pPr>
        <w:pStyle w:val="Nagwek3"/>
      </w:pPr>
      <w:r>
        <w:t>Na czym polega problem prawny</w:t>
      </w:r>
    </w:p>
    <w:p w14:paraId="4D87AD6C" w14:textId="77777777" w:rsidR="00C17EE8" w:rsidRDefault="004F4AD0">
      <w:pPr>
        <w:spacing w:after="120" w:line="300" w:lineRule="auto"/>
        <w:jc w:val="both"/>
      </w:pPr>
      <w:r>
        <w:t xml:space="preserve">Po pierwsze — taka blokada następuje </w:t>
      </w:r>
      <w:r>
        <w:rPr>
          <w:b/>
          <w:bCs/>
        </w:rPr>
        <w:t>bez wydania jakiejkolwiek decyzji administracyjnej</w:t>
      </w:r>
      <w:r>
        <w:t>. Przedsiębiorca nie otrzymuje formalnego dokumentu, który mógłby zaskarżyć do sądu. Skutek prawny powstaje z mocy ustawy, w sposób automatyczny.</w:t>
      </w:r>
    </w:p>
    <w:p w14:paraId="6914F03C" w14:textId="77777777" w:rsidR="00C17EE8" w:rsidRDefault="004F4AD0">
      <w:pPr>
        <w:spacing w:after="120" w:line="300" w:lineRule="auto"/>
        <w:jc w:val="both"/>
      </w:pPr>
      <w:r>
        <w:t xml:space="preserve">Po drugie — projekt </w:t>
      </w:r>
      <w:r>
        <w:rPr>
          <w:b/>
          <w:bCs/>
        </w:rPr>
        <w:t>nie określa, w jaki sposób przedsiębiorca może uchylić blokadę</w:t>
      </w:r>
      <w:r>
        <w:t>, jeżeli np. po dwóch miesiącach uzyska samodzielnie odpowiednią opinię naukową, zmieni skład produktu albo wycofa kontrowersyjny składnik.</w:t>
      </w:r>
    </w:p>
    <w:p w14:paraId="63510C21" w14:textId="77777777" w:rsidR="00C17EE8" w:rsidRDefault="004F4AD0">
      <w:pPr>
        <w:spacing w:after="120" w:line="300" w:lineRule="auto"/>
        <w:jc w:val="both"/>
      </w:pPr>
      <w:r>
        <w:t xml:space="preserve">Po trzecie — definicja „tożsamego składu jakościowo-ilościowego” może być interpretowana szeroko. Przykładowo: czy minimalna zmiana ilości jednego składnika (np. 100 mg → 99 mg magnezu) wystarczy do uznania składu za „nietożsamy”? Projekt nie odpowiada na to pytanie. W praktyce oznacza to, że </w:t>
      </w:r>
      <w:r>
        <w:rPr>
          <w:i/>
          <w:iCs/>
        </w:rPr>
        <w:t>realny zasięg blokady wyznacza GIS w drodze interpretacji</w:t>
      </w:r>
      <w:r>
        <w:t>, co dodatkowo osłabia pewność prawa.</w:t>
      </w:r>
    </w:p>
    <w:p w14:paraId="374B4221" w14:textId="77777777" w:rsidR="00C17EE8" w:rsidRDefault="004F4AD0">
      <w:pPr>
        <w:spacing w:after="120" w:line="300" w:lineRule="auto"/>
        <w:jc w:val="both"/>
      </w:pPr>
      <w:r>
        <w:t xml:space="preserve">Po czwarte — przy długich okresach opiniowania (6–12 miesięcy plus dalszy czas postępowania) blokada ta wywołuje skutki </w:t>
      </w:r>
      <w:r>
        <w:rPr>
          <w:b/>
          <w:bCs/>
        </w:rPr>
        <w:t>funkcjonalnie zbliżone do zakazu obrotu wariantem produktu</w:t>
      </w:r>
      <w:r>
        <w:t>, mimo że formalnie ma charakter „proceduralnego ograniczenia”.</w:t>
      </w:r>
    </w:p>
    <w:p w14:paraId="5D34B44B" w14:textId="77777777" w:rsidR="00C17EE8" w:rsidRDefault="004F4AD0">
      <w:pPr>
        <w:pStyle w:val="Nagwek2"/>
      </w:pPr>
      <w:r>
        <w:t>5.3. Art. 31a ust. 8 — zakaz po rezygnacji</w:t>
      </w:r>
    </w:p>
    <w:p w14:paraId="49F585F3" w14:textId="77777777" w:rsidR="00C17EE8" w:rsidRDefault="004F4AD0">
      <w:pPr>
        <w:pStyle w:val="Nagwek3"/>
      </w:pPr>
      <w:r>
        <w:t>Co przewiduje przepis</w:t>
      </w:r>
    </w:p>
    <w:p w14:paraId="6B2099E9" w14:textId="77777777" w:rsidR="00C17EE8" w:rsidRDefault="004F4AD0">
      <w:pPr>
        <w:spacing w:after="120" w:line="300" w:lineRule="auto"/>
        <w:jc w:val="both"/>
      </w:pPr>
      <w:r>
        <w:t>Projektowany art. 31a ust. 8 stanowi:</w:t>
      </w:r>
    </w:p>
    <w:p w14:paraId="5CBD694B" w14:textId="77777777" w:rsidR="00C17EE8" w:rsidRDefault="004F4AD0">
      <w:pPr>
        <w:pBdr>
          <w:left w:val="single" w:sz="18" w:space="8" w:color="4B0082"/>
        </w:pBdr>
        <w:spacing w:before="100" w:after="120" w:line="280" w:lineRule="auto"/>
        <w:ind w:left="360" w:right="360"/>
        <w:jc w:val="both"/>
      </w:pPr>
      <w:r>
        <w:rPr>
          <w:i/>
          <w:iCs/>
          <w:sz w:val="21"/>
          <w:szCs w:val="21"/>
        </w:rPr>
        <w:t>„W przypadku, gdy podmiot poinformuje Głównego Inspektora Sanitarnego o rezygnacji z wprowadzania do obrotu produktu objętego powiadomieniem, dla którego podmiot ten został zobowiązany do przedłożenia opinii, o której mowa w ust. 1, nie może ponownie złożyć powiadomienia dla tego samego produktu o tożsamym składzie jakościowo-ilościowym.”</w:t>
      </w:r>
    </w:p>
    <w:p w14:paraId="697D406E" w14:textId="77777777" w:rsidR="00C17EE8" w:rsidRDefault="004F4AD0">
      <w:pPr>
        <w:spacing w:after="120" w:line="300" w:lineRule="auto"/>
        <w:jc w:val="both"/>
      </w:pPr>
      <w:r>
        <w:t xml:space="preserve">Czyli: jeżeli podmiot poinformuje GIS o rezygnacji z wprowadzania produktu objętego powiadomieniem, </w:t>
      </w:r>
      <w:r>
        <w:rPr>
          <w:b/>
          <w:bCs/>
        </w:rPr>
        <w:t>nie może już ponownie zgłosić tego samego produktu</w:t>
      </w:r>
      <w:r>
        <w:t xml:space="preserve"> o tożsamym składzie jakościowo-ilościowym.</w:t>
      </w:r>
    </w:p>
    <w:p w14:paraId="051DA22B" w14:textId="77777777" w:rsidR="00C17EE8" w:rsidRDefault="004F4AD0">
      <w:pPr>
        <w:pStyle w:val="Nagwek3"/>
      </w:pPr>
      <w:r>
        <w:t>Na czym polega problem</w:t>
      </w:r>
    </w:p>
    <w:p w14:paraId="5CE2F5CE" w14:textId="77777777" w:rsidR="00C17EE8" w:rsidRDefault="004F4AD0">
      <w:pPr>
        <w:spacing w:after="120" w:line="300" w:lineRule="auto"/>
        <w:jc w:val="both"/>
      </w:pPr>
      <w:r>
        <w:t>Mechanizm ten budzi szczególnie poważne zastrzeżenia, ponieważ:</w:t>
      </w:r>
    </w:p>
    <w:p w14:paraId="09FCC3CB" w14:textId="77777777" w:rsidR="00C17EE8" w:rsidRDefault="004F4AD0">
      <w:pPr>
        <w:pStyle w:val="Akapitzlist"/>
        <w:numPr>
          <w:ilvl w:val="0"/>
          <w:numId w:val="2"/>
        </w:numPr>
        <w:spacing w:after="80" w:line="280" w:lineRule="auto"/>
        <w:jc w:val="both"/>
      </w:pPr>
      <w:r>
        <w:t xml:space="preserve">projekt </w:t>
      </w:r>
      <w:r>
        <w:rPr>
          <w:b/>
          <w:bCs/>
        </w:rPr>
        <w:t>nie wskazuje czasu trwania zakazu</w:t>
      </w:r>
      <w:r>
        <w:t xml:space="preserve"> — z literalnego brzmienia wynika, że zakaz ma charakter </w:t>
      </w:r>
      <w:r>
        <w:rPr>
          <w:i/>
          <w:iCs/>
        </w:rPr>
        <w:t>bezterminowy</w:t>
      </w:r>
      <w:r>
        <w:t>;</w:t>
      </w:r>
    </w:p>
    <w:p w14:paraId="40F00210" w14:textId="77777777" w:rsidR="00C17EE8" w:rsidRDefault="004F4AD0">
      <w:pPr>
        <w:pStyle w:val="Akapitzlist"/>
        <w:numPr>
          <w:ilvl w:val="0"/>
          <w:numId w:val="2"/>
        </w:numPr>
        <w:spacing w:after="80" w:line="280" w:lineRule="auto"/>
        <w:jc w:val="both"/>
      </w:pPr>
      <w:r>
        <w:t xml:space="preserve">projekt </w:t>
      </w:r>
      <w:r>
        <w:rPr>
          <w:b/>
          <w:bCs/>
        </w:rPr>
        <w:t>nie określa procedury jego uchylenia</w:t>
      </w:r>
      <w:r>
        <w:t xml:space="preserve"> — np. po zmianie okoliczności, po uzyskaniu nowej opinii naukowej, po upływie określonego czasu;</w:t>
      </w:r>
    </w:p>
    <w:p w14:paraId="528BE5F2" w14:textId="77777777" w:rsidR="00C17EE8" w:rsidRDefault="004F4AD0">
      <w:pPr>
        <w:pStyle w:val="Akapitzlist"/>
        <w:numPr>
          <w:ilvl w:val="0"/>
          <w:numId w:val="2"/>
        </w:numPr>
        <w:spacing w:after="80" w:line="280" w:lineRule="auto"/>
        <w:jc w:val="both"/>
      </w:pPr>
      <w:r>
        <w:t xml:space="preserve">rezygnacja z postępowania staje się zatem instytucją </w:t>
      </w:r>
      <w:r>
        <w:rPr>
          <w:i/>
          <w:iCs/>
        </w:rPr>
        <w:t>„gorszą” od pozostawania w postępowaniu</w:t>
      </w:r>
      <w:r>
        <w:t xml:space="preserve"> — co odwraca naturalną logikę wycofania się ze sprawy administracyjnej (podmiot, który chce uniknąć dalszego sporu, traci więcej niż ten, który spór kontynuuje);</w:t>
      </w:r>
    </w:p>
    <w:p w14:paraId="5C014F5A" w14:textId="77777777" w:rsidR="00C17EE8" w:rsidRDefault="004F4AD0">
      <w:pPr>
        <w:pStyle w:val="Akapitzlist"/>
        <w:numPr>
          <w:ilvl w:val="0"/>
          <w:numId w:val="2"/>
        </w:numPr>
        <w:spacing w:after="80" w:line="280" w:lineRule="auto"/>
        <w:jc w:val="both"/>
      </w:pPr>
      <w:r>
        <w:t>mechanizm jest sprzeczny z zasadą ponownej, aktualnej oceny produktu. W sprawach połączonych C-211/03, C-299/03, C-316/03, C-317/03 i C-318/03 HLH Warenvertriebs GmbH i Orthica BV przeciwko Bundesrepublik Deutschland (wyrok z 9 czerwca 2005 r., ECLI:EU:C:2005:370, pkt 30 i 72) TSUE wskazał, że produkt należy oceniać „indywidualnie w zależności od przypadku” i według „aktualnego stanu wiedzy naukowej”. Bezterminowe zamknięcie procedury po rezygnacji ignoruje to, że dane naukowe, składniki, praktyka rynkowa i sposób użycia produktu mogą się zmieniać;</w:t>
      </w:r>
    </w:p>
    <w:p w14:paraId="394E12C0" w14:textId="77777777" w:rsidR="00C17EE8" w:rsidRDefault="004F4AD0">
      <w:pPr>
        <w:spacing w:after="120" w:line="300" w:lineRule="auto"/>
        <w:jc w:val="both"/>
      </w:pPr>
      <w:r>
        <w:t>Bezterminowe zamknięcie drogi do ponownego notyfikowania produktu jest funkcjonalnym odpowiednikiem zakazu obrotu — bez decyzji administracyjnej, bez wymaganego uzasadnienia oraz bez wyraźnego środka zaskarżenia.</w:t>
      </w:r>
    </w:p>
    <w:p w14:paraId="03322E8A" w14:textId="77777777" w:rsidR="00C17EE8" w:rsidRDefault="004F4AD0">
      <w:pPr>
        <w:spacing w:after="120" w:line="300" w:lineRule="auto"/>
        <w:jc w:val="both"/>
      </w:pPr>
      <w:r>
        <w:t>TSUE w sprawie C-319/05 Komisja przeciwko Niemcom (kapsułki czosnkowe, wyrok z 15 listopada 2007 r., ECLI:EU:C:2007:678, pkt 95–97) przypomniał prostą zasadę: środek ograniczający rynek ma być tylko tak ciężki, jak to naprawdę konieczne. Trybunał wskazał, że środki państwa muszą ograniczać się do tego, co „rzeczywiście konieczne”, a cel nie może być możliwy do osiągnięcia środkami „ograniczającymi w mniejszym stopniu wymianę handlową”. W realiach art. 31a ust. 8 łatwiej uzasadnić wezwanie, termin, etykietowanie lub ostrzeżenie niż bezterminowe zamknięcie drogi ponownego powiadomienia.</w:t>
      </w:r>
    </w:p>
    <w:p w14:paraId="37300EFE" w14:textId="77777777" w:rsidR="00C17EE8" w:rsidRDefault="004F4AD0">
      <w:pPr>
        <w:pStyle w:val="Nagwek2"/>
      </w:pPr>
      <w:r>
        <w:t>5.4. Art. 30 ust. 1a — wyłączenie KPA i argumentacja projektodawcy</w:t>
      </w:r>
    </w:p>
    <w:p w14:paraId="49BBFC38" w14:textId="77777777" w:rsidR="00C17EE8" w:rsidRDefault="004F4AD0">
      <w:pPr>
        <w:pStyle w:val="Nagwek3"/>
      </w:pPr>
      <w:r>
        <w:t>Co przewiduje przepis</w:t>
      </w:r>
    </w:p>
    <w:p w14:paraId="4BC7C7EF" w14:textId="77777777" w:rsidR="00C17EE8" w:rsidRDefault="004F4AD0">
      <w:pPr>
        <w:spacing w:after="120" w:line="300" w:lineRule="auto"/>
        <w:jc w:val="both"/>
      </w:pPr>
      <w:r>
        <w:t>Projektowany art. 30 ust. 1a stanowi:</w:t>
      </w:r>
    </w:p>
    <w:p w14:paraId="4A4E02A0" w14:textId="77777777" w:rsidR="00C17EE8" w:rsidRDefault="004F4AD0">
      <w:pPr>
        <w:pBdr>
          <w:left w:val="single" w:sz="18" w:space="8" w:color="4B0082"/>
        </w:pBdr>
        <w:spacing w:before="100" w:after="120" w:line="280" w:lineRule="auto"/>
        <w:ind w:left="360" w:right="360"/>
        <w:jc w:val="both"/>
      </w:pPr>
      <w:r>
        <w:rPr>
          <w:i/>
          <w:iCs/>
          <w:sz w:val="21"/>
          <w:szCs w:val="21"/>
        </w:rPr>
        <w:t>„Do postępowań, o których mowa w ust. 1, nie stosuje się przepisów ustawy z dnia 14 czerwca 1960 r. – Kodeks postępowania administracyjnego (Dz. U. z 2025 r. poz. 1691).”</w:t>
      </w:r>
    </w:p>
    <w:p w14:paraId="2DC7960F" w14:textId="77777777" w:rsidR="00C17EE8" w:rsidRDefault="004F4AD0">
      <w:pPr>
        <w:spacing w:after="120" w:line="300" w:lineRule="auto"/>
        <w:jc w:val="both"/>
      </w:pPr>
      <w:r>
        <w:t>W praktyce projektowany przepis prowadzi do wyłączenia minimalnych gwarancji procesowych, takich jak prawo do bycia wysłuchanym, prawo dostępu do akt, prawo do uzyskania uzasadnienia rozstrzygnięcia czy prawo do odwołania w trybie KPA. Argumentacja projektodawcy uzasadniająca to wyłączenie została omówiona w punkcie poniżej.</w:t>
      </w:r>
    </w:p>
    <w:p w14:paraId="5CD4806F" w14:textId="77777777" w:rsidR="00C17EE8" w:rsidRDefault="004F4AD0">
      <w:pPr>
        <w:pStyle w:val="Nagwek3"/>
      </w:pPr>
      <w:r>
        <w:t>Argumentacja projektodawcy</w:t>
      </w:r>
    </w:p>
    <w:p w14:paraId="5F500AFF" w14:textId="77777777" w:rsidR="00C17EE8" w:rsidRDefault="004F4AD0">
      <w:pPr>
        <w:spacing w:after="120" w:line="300" w:lineRule="auto"/>
        <w:jc w:val="both"/>
      </w:pPr>
      <w:r>
        <w:t xml:space="preserve">Projektodawca w uzasadnieniu twierdzi, że postępowanie z art. 30–31 ustawy </w:t>
      </w:r>
      <w:r>
        <w:rPr>
          <w:i/>
          <w:iCs/>
        </w:rPr>
        <w:t>nie jest postępowaniem administracyjnym</w:t>
      </w:r>
      <w:r>
        <w:t xml:space="preserve"> w klasycznym rozumieniu KPA — argumentuje, że samo powiadomienie ma charakter „oświadczenia woli”, a milczące przyjęcie powiadomienia przez GIS jest „czynnością materialno-techniczną” (czyli prostym aktem faktycznym, nie aktem władczym). Argument ten </w:t>
      </w:r>
      <w:r>
        <w:rPr>
          <w:b/>
          <w:bCs/>
        </w:rPr>
        <w:t>trzeba podważyć</w:t>
      </w:r>
      <w:r>
        <w:t xml:space="preserve"> — skutek art. 31a ust. 6 ma charakter władczy: wywołuje skutek równoważny ograniczeniu dostępu produktu do rynku oraz istotne konsekwencje gospodarcze, mimo że nie wynika z klasycznej decyzji administracyjnej poprzedzonej pełnym postępowaniem dowodowym.</w:t>
      </w:r>
    </w:p>
    <w:p w14:paraId="1CC2CF53" w14:textId="77777777" w:rsidR="00C17EE8" w:rsidRDefault="004F4AD0">
      <w:pPr>
        <w:pStyle w:val="Nagwek3"/>
      </w:pPr>
      <w:r>
        <w:t>Linia orzecznicza NSA</w:t>
      </w:r>
    </w:p>
    <w:p w14:paraId="78987233" w14:textId="77777777" w:rsidR="00C17EE8" w:rsidRDefault="004F4AD0">
      <w:pPr>
        <w:spacing w:after="120" w:line="300" w:lineRule="auto"/>
        <w:jc w:val="both"/>
      </w:pPr>
      <w:r>
        <w:t>Z orzecznictwa NSA wynika, że nawet czynność materialno-techniczna, jeżeli w sposób władczy i indywidualny wpływa na sytuację prawną adresata, może podlegać kontroli sądowoadministracyjnej na podstawie art. 3 § 2 pkt 4 PPSA. Innymi słowy: nazwanie pisma „informacją” nie wystarcza, jeżeli w praktyce decyduje ono o tym, czy produkt może funkcjonować na rynku.</w:t>
      </w:r>
    </w:p>
    <w:p w14:paraId="0B620092" w14:textId="77777777" w:rsidR="00C17EE8" w:rsidRDefault="004F4AD0">
      <w:pPr>
        <w:spacing w:after="120" w:line="300" w:lineRule="auto"/>
        <w:jc w:val="both"/>
      </w:pPr>
      <w:r>
        <w:t>Linia ta obejmuje w szczególności postanowienia NSA z 2022 r. dotyczące wprost pism GIS w trybie art. 30 ust. 4 ustawy: II GSK 42/22 (17.02.2022), II GSK 891/22 (13.10.2022), II GSK 1309/22 (8.11.2022) oraz II GSK 1578/22 (22.11.2022), a także wyrok NSA II GSK 1647/23 z 14.03.2024. W II GSK 42/22, II GSK 891/22 i II GSK 1309/22 NSA przyjął tę samą zasadę: fakt, że pismo GIS „nie jest decyzją administracyjną”, nie oznacza, że nie podlega kontroli; może być „aktem, o którym mowa w art. 3 § 2 pkt 4” PPSA.</w:t>
      </w:r>
    </w:p>
    <w:p w14:paraId="49BCA60C" w14:textId="77777777" w:rsidR="00C17EE8" w:rsidRDefault="004F4AD0">
      <w:pPr>
        <w:pStyle w:val="Nagwek3"/>
      </w:pPr>
      <w:r>
        <w:t>Wniosek</w:t>
      </w:r>
    </w:p>
    <w:p w14:paraId="653AFF5C" w14:textId="77777777" w:rsidR="00C17EE8" w:rsidRDefault="004F4AD0">
      <w:pPr>
        <w:spacing w:after="120" w:line="300" w:lineRule="auto"/>
        <w:jc w:val="both"/>
      </w:pPr>
      <w:r>
        <w:t xml:space="preserve">W konsekwencji, skoro art. 31a ust. 6 prowadzi do skutku negatywnego dla produktu i przedsiębiorcy, ustawodawca powinien zapewnić </w:t>
      </w:r>
      <w:r>
        <w:rPr>
          <w:b/>
          <w:bCs/>
        </w:rPr>
        <w:t>minimalny standard proceduralny</w:t>
      </w:r>
      <w:r>
        <w:t xml:space="preserve"> — w szczególności prawo do uzasadnienia rozstrzygnięcia, możliwość wypowiedzenia się przed jego wydaniem oraz jednoznaczny tryb sądowej kontroli. Standard ten wynika również z art. 45 ust. 1 (prawo do sądu) i art. 77 ust. 2 (zakaz zamykania drogi sądowej) Konstytucji Rzeczypospolitej Polskiej. Wyłączenie KPA nie eliminuje kontroli sądowoadministracyjnej, którą sądy zapewnią poprzez art. 3 § 2 pkt 4 PPSA, lecz osłabia standard proceduralny na etapie postępowania przed GIS i zwiększa ryzyko sporów o charakter pisma kończącego postępowanie.</w:t>
      </w:r>
    </w:p>
    <w:p w14:paraId="236366EF" w14:textId="77777777" w:rsidR="00C17EE8" w:rsidRDefault="004F4AD0">
      <w:pPr>
        <w:pStyle w:val="Nagwek1"/>
      </w:pPr>
      <w:r>
        <w:t>6. Ryzyka unijne — swobodny przepływ towarów, wzajemne uznawanie, notyfikacja techniczna</w:t>
      </w:r>
    </w:p>
    <w:p w14:paraId="377091A0" w14:textId="77777777" w:rsidR="00C17EE8" w:rsidRDefault="004F4AD0">
      <w:pPr>
        <w:spacing w:after="120" w:line="300" w:lineRule="auto"/>
        <w:jc w:val="both"/>
      </w:pPr>
      <w:r>
        <w:t>Polskie przepisy dotyczące suplementów diety muszą być zgodne z prawem Unii Europejskiej. Trzy najważniejsze akty UE w tym kontekście to:</w:t>
      </w:r>
    </w:p>
    <w:p w14:paraId="748F86CE" w14:textId="77777777" w:rsidR="00C17EE8" w:rsidRDefault="004F4AD0">
      <w:pPr>
        <w:pStyle w:val="Akapitzlist"/>
        <w:numPr>
          <w:ilvl w:val="0"/>
          <w:numId w:val="2"/>
        </w:numPr>
        <w:spacing w:after="80" w:line="280" w:lineRule="auto"/>
        <w:jc w:val="both"/>
      </w:pPr>
      <w:r>
        <w:rPr>
          <w:b/>
          <w:bCs/>
        </w:rPr>
        <w:t>Traktat o funkcjonowaniu Unii Europejskiej (TFUE)</w:t>
      </w:r>
      <w:r>
        <w:t xml:space="preserve"> — w szczególności art. 34 (zakaz ograniczeń ilościowych w przywozie i środków o skutku równoważnym między państwami członkowskimi) oraz art. 36 (wyjątki uzasadnione m.in. ochroną zdrowia publicznego, ale tylko jeśli środki są proporcjonalne);</w:t>
      </w:r>
    </w:p>
    <w:p w14:paraId="41338B51" w14:textId="77777777" w:rsidR="00C17EE8" w:rsidRDefault="004F4AD0">
      <w:pPr>
        <w:pStyle w:val="Akapitzlist"/>
        <w:numPr>
          <w:ilvl w:val="0"/>
          <w:numId w:val="2"/>
        </w:numPr>
        <w:spacing w:after="80" w:line="280" w:lineRule="auto"/>
        <w:jc w:val="both"/>
      </w:pPr>
      <w:r>
        <w:rPr>
          <w:b/>
          <w:bCs/>
        </w:rPr>
        <w:t xml:space="preserve">rozporządzenie Parlamentu Europejskiego i Rady (UE) 2019/515 z dnia 19 marca 2019 r. w sprawie wzajemnego uznawania towarów zgodnie z prawem wprowadzonych do obrotu w innym państwie członkowskim </w:t>
      </w:r>
      <w:r>
        <w:t>(Dz. Urz. UE L 91 z 29.03.2019, str. 1) — chroniące produkty legalnie sprzedawane w jednym państwie UE przed automatycznymi blokadami w innych państwach UE;</w:t>
      </w:r>
    </w:p>
    <w:p w14:paraId="71746D47" w14:textId="77777777" w:rsidR="00C17EE8" w:rsidRDefault="004F4AD0">
      <w:pPr>
        <w:pStyle w:val="Akapitzlist"/>
        <w:numPr>
          <w:ilvl w:val="0"/>
          <w:numId w:val="2"/>
        </w:numPr>
        <w:spacing w:after="80" w:line="280" w:lineRule="auto"/>
        <w:jc w:val="both"/>
      </w:pPr>
      <w:r>
        <w:rPr>
          <w:b/>
          <w:bCs/>
        </w:rPr>
        <w:t xml:space="preserve">dyrektywa (UE) 2015/1535 Parlamentu Europejskiego i Rady z dnia 9 września 2015 r. ustanawiająca procedurę udzielania informacji w dziedzinie przepisów technicznych oraz zasad dotyczących usług społeczeństwa informacyjnego </w:t>
      </w:r>
      <w:r>
        <w:t>(Dz. Urz. UE L 241 z 17.09.2015, str. 1) — wymagająca, by państwa UE notyfikowały Komisji Europejskiej projekty krajowych przepisów technicznych zanim wejdą one w życie.</w:t>
      </w:r>
    </w:p>
    <w:p w14:paraId="1A91283E" w14:textId="77777777" w:rsidR="00C17EE8" w:rsidRDefault="00C17EE8">
      <w:pPr>
        <w:spacing w:after="80"/>
      </w:pPr>
    </w:p>
    <w:p w14:paraId="4DC19822" w14:textId="77777777" w:rsidR="00C17EE8" w:rsidRDefault="004F4AD0">
      <w:pPr>
        <w:pStyle w:val="Nagwek2"/>
      </w:pPr>
      <w:r>
        <w:t>6.1. Wzajemne uznawanie — rozporządzenie 2019/515</w:t>
      </w:r>
    </w:p>
    <w:p w14:paraId="16F62061" w14:textId="77777777" w:rsidR="00C17EE8" w:rsidRDefault="004F4AD0">
      <w:pPr>
        <w:spacing w:after="120" w:line="300" w:lineRule="auto"/>
        <w:jc w:val="both"/>
      </w:pPr>
      <w:r>
        <w:t>Produkt legalnie wprowadzony do obrotu w innym państwie członkowskim UE nie powinien być automatycznie blokowany w Polsce. Rozporządzenie 2019/515 obejmuje nie tylko formalne decyzje administracyjne, ale również „każdy etap procedury administracyjnej”, który ma „taki sam lub zasadniczo taki sam skutek prawny” jak ograniczenie dostępu do rynku (art. 2 ust. 1). W odniesieniu do produktów legalnie wprowadzonych do obrotu w innym państwie członkowskim może to oznaczać konieczność zapewnienia gwarancji z art. 5 rozporządzenia: indywidualnej oceny, uzasadnienia i pouczenia o środkach ochrony prawnej. „Domniemanie niezgodności” GIS z art. 31a ust. 6, choć formalnie nie stanowi decyzji w rozumieniu KPA, może wywołać właśnie taki skutek.</w:t>
      </w:r>
    </w:p>
    <w:p w14:paraId="7B44DC69" w14:textId="77777777" w:rsidR="00C17EE8" w:rsidRDefault="004F4AD0">
      <w:pPr>
        <w:pStyle w:val="Nagwek2"/>
      </w:pPr>
      <w:r>
        <w:t>6.2. Notyfikacja techniczna — dyrektywa 2015/1535</w:t>
      </w:r>
    </w:p>
    <w:p w14:paraId="1BC8AAAC" w14:textId="77777777" w:rsidR="00C17EE8" w:rsidRDefault="004F4AD0">
      <w:pPr>
        <w:spacing w:after="120" w:line="300" w:lineRule="auto"/>
        <w:jc w:val="both"/>
      </w:pPr>
      <w:r>
        <w:t xml:space="preserve">Dyrektywa 2015/1535 wymaga, by państwa członkowskie UE — przed wejściem w życie </w:t>
      </w:r>
      <w:r>
        <w:rPr>
          <w:i/>
          <w:iCs/>
        </w:rPr>
        <w:t>przepisów technicznych</w:t>
      </w:r>
      <w:r>
        <w:t xml:space="preserve"> (przepisów wprowadzających specyfikacje produktów lub zakazy obrotu) — zgłaszały (</w:t>
      </w:r>
      <w:r>
        <w:rPr>
          <w:i/>
          <w:iCs/>
        </w:rPr>
        <w:t>notyfikowały</w:t>
      </w:r>
      <w:r>
        <w:t>) projekty tych przepisów Komisji Europejskiej w bazie TRIS. Inne państwa UE i Komisja mają trzy miesiące na zgłoszenie zastrzeżeń.</w:t>
      </w:r>
    </w:p>
    <w:p w14:paraId="7C484BFE" w14:textId="77777777" w:rsidR="00C17EE8" w:rsidRDefault="004F4AD0">
      <w:pPr>
        <w:spacing w:after="120" w:line="300" w:lineRule="auto"/>
        <w:jc w:val="both"/>
      </w:pPr>
      <w:r>
        <w:t>Mechanizm z art. 31a ust. 7–8 wymaga pogłębionej analizy proceduralnej pod kątem tej dyrektywy. Może on być kwalifikowany jako „inne wymaganie” w rozumieniu art. 1 ust. 1 lit. d dyrektywy — czyli wymaganie inne niż specyfikacja techniczna, nałożone na produkt, które wpływa na jego cykl życia i może istotnie wpływać na obrót nim — albo jako element „przepisu technicznego” w rozumieniu lit. f, obejmującego także przepisy „zakazujące […] wprowadzania do obrotu” produktu.</w:t>
      </w:r>
    </w:p>
    <w:p w14:paraId="7C98425C" w14:textId="77777777" w:rsidR="00C17EE8" w:rsidRDefault="004F4AD0">
      <w:pPr>
        <w:spacing w:after="120" w:line="300" w:lineRule="auto"/>
        <w:jc w:val="both"/>
      </w:pPr>
      <w:r>
        <w:rPr>
          <w:bCs/>
        </w:rPr>
        <w:t>Sankcja braku notyfikacji — w razie uznania art. 31a ust. 7–8 za przepisy techniczne w rozumieniu dyrektywy 2015/1535 — jest istotna i utrwalona. W sprawie C-194/94 CIA Security International (wyrok z 30 kwietnia 1996 r., ECLI:EU:C:1996:172, pkt 54–55) TSUE przyjął, że naruszenie obowiązku notyfikacji powoduje niestosowalność nienotyfikowanych przepisów technicznych wobec jednostek, a sąd krajowy powinien odmówić ich zastosowania. W sprawie C-443/98 Unilever Italia (wyrok z 26 września 2000 r., ECLI:EU:C:2000:496, pkt 49–52) Trybunał potwierdził ten skutek także w sporze między podmiotami prywatnymi.</w:t>
      </w:r>
    </w:p>
    <w:p w14:paraId="7836C39F" w14:textId="77777777" w:rsidR="00C17EE8" w:rsidRDefault="004F4AD0">
      <w:pPr>
        <w:spacing w:after="120" w:line="300" w:lineRule="auto"/>
        <w:jc w:val="both"/>
      </w:pPr>
      <w:r>
        <w:t>Projektodawca w uzasadnieniu projektu deklaruje wprost: „Projekt ustawy nie zawiera przepisów technicznych i nie podlega notyfikacji w rozumieniu przepisów rozporządzenia Rady Ministrów z dnia 23 grudnia 2002 r. w sprawie sposobu funkcjonowania krajowego systemu notyfikacji norm i aktów prawnych (Dz. U. poz. 2039 oraz z 2004 r. poz. 597).” Stanowisko to wymaga odparcia. Mechanizm art. 31a ust. 6–8 nie jest klasyczną specyfikacją techniczną, ale jego skutek dla obrotu — automatyczne domniemanie niezgodności, zamrożenie nowych powiadomień przez czas do 12 miesięcy, bezterminowy zakaz po rezygnacji — może odpowiadać definicji „innego wymagania” lub „przepisu zakazującego wprowadzania do obrotu” w rozumieniu art. 1 ust. 1 lit. d i lit. f dyrektywy 2015/1535. Ocena charakteru tych przepisów w świetle dyrektywy powinna zostać przeprowadzona przed dalszym procedowaniem projektu, a nie założona z góry w uzasadnieniu.</w:t>
      </w:r>
    </w:p>
    <w:p w14:paraId="67FBA2DF" w14:textId="77777777" w:rsidR="00C17EE8" w:rsidRDefault="004F4AD0">
      <w:pPr>
        <w:pStyle w:val="Nagwek2"/>
      </w:pPr>
      <w:r>
        <w:t>6.3. Linia orzecznicza TSUE — kanon sześciu wyroków</w:t>
      </w:r>
    </w:p>
    <w:p w14:paraId="3BA42572" w14:textId="77777777" w:rsidR="00C17EE8" w:rsidRDefault="004F4AD0">
      <w:pPr>
        <w:spacing w:after="120" w:line="300" w:lineRule="auto"/>
        <w:jc w:val="both"/>
      </w:pPr>
      <w:r>
        <w:t>Trybunał Sprawiedliwości UE niejednokrotnie zajmował się rynkiem suplementów diety i produktów żywnościowych — i konsekwentnie kwestionował państwowe mechanizmy automatycznych blokad oraz schematycznych klasyfikacji:</w:t>
      </w:r>
    </w:p>
    <w:p w14:paraId="233D577D" w14:textId="77777777" w:rsidR="00C17EE8" w:rsidRDefault="004F4AD0">
      <w:pPr>
        <w:pStyle w:val="Akapitzlist"/>
        <w:spacing w:after="80" w:line="280" w:lineRule="auto"/>
        <w:jc w:val="both"/>
      </w:pPr>
      <w:r>
        <w:rPr>
          <w:bCs/>
        </w:rPr>
        <w:t>1. C-387/99 Komisja przeciwko Niemcom (wyrok z 29 kwietnia 2004 r., ECLI:EU:C:2004:235, pkt 57, 62, 83) — TSUE odrzucił automatyczną klasyfikację preparatów witaminowych; krótki cytat: wymagana jest „detailed assessment on a case-by-case basis”, a nie decyzja według jednego progu.</w:t>
      </w:r>
    </w:p>
    <w:p w14:paraId="03521E6C" w14:textId="77777777" w:rsidR="00C17EE8" w:rsidRDefault="004F4AD0">
      <w:pPr>
        <w:pStyle w:val="Akapitzlist"/>
        <w:spacing w:after="80" w:line="280" w:lineRule="auto"/>
        <w:jc w:val="both"/>
      </w:pPr>
      <w:r>
        <w:rPr>
          <w:bCs/>
        </w:rPr>
        <w:t>2. C-150/00 Komisja przeciwko Austrii (wyrok z 29 kwietnia 2004 r., ECLI:EU:C:2004:237, pkt 64–65, 87) — klasyfikacja produktu wymaga oceny każdego produktu z osobna, opartej na jego rzeczywistych właściwościach, a nie na ogólnej formule progowej.</w:t>
      </w:r>
    </w:p>
    <w:p w14:paraId="0065B7B5" w14:textId="77777777" w:rsidR="00C17EE8" w:rsidRDefault="004F4AD0">
      <w:pPr>
        <w:pStyle w:val="Akapitzlist"/>
        <w:spacing w:after="80" w:line="280" w:lineRule="auto"/>
        <w:jc w:val="both"/>
      </w:pPr>
      <w:r>
        <w:rPr>
          <w:bCs/>
        </w:rPr>
        <w:t>3. C-41/02 Komisja przeciwko Niderlandom (wyrok z 2 grudnia 2004 r., ECLI:EU:C:2004:762, pkt 46–49, 69–70) — zakaz lub odmowa obrotu żywnością wzbogacaną wymaga szczegółowej oceny rzeczywistego ryzyka; brak „potrzeby żywieniowej” nie wystarcza sam w sobie do zakazu.</w:t>
      </w:r>
    </w:p>
    <w:p w14:paraId="59453D26" w14:textId="77777777" w:rsidR="00C17EE8" w:rsidRDefault="004F4AD0">
      <w:pPr>
        <w:pStyle w:val="Akapitzlist"/>
        <w:spacing w:after="80" w:line="280" w:lineRule="auto"/>
        <w:jc w:val="both"/>
      </w:pPr>
      <w:r>
        <w:rPr>
          <w:bCs/>
        </w:rPr>
        <w:t>4. C-319/05 Komisja przeciwko Niemcom (kapsułki czosnkowe) (wyrok z 15 listopada 2007 r., ECLI:EU:C:2007:678, pkt 95–97) — państwo musi rozważyć mniej restrykcyjne środki; środki ograniczające rynek mają ograniczać się do tego, co „rzeczywiście konieczne”.</w:t>
      </w:r>
    </w:p>
    <w:p w14:paraId="5047B397" w14:textId="77777777" w:rsidR="00C17EE8" w:rsidRDefault="004F4AD0">
      <w:pPr>
        <w:pStyle w:val="Akapitzlist"/>
        <w:spacing w:after="80" w:line="280" w:lineRule="auto"/>
        <w:jc w:val="both"/>
      </w:pPr>
      <w:r>
        <w:rPr>
          <w:bCs/>
        </w:rPr>
        <w:t>5. C-672/15 Noria Distribution (wyrok z 27 kwietnia 2017 r., ECLI:EU:C:2017:310) — państwo członkowskie musi oprzeć ograniczenia dotyczące suplementów diety na ocenie ryzyka przeprowadzonej z uwzględnieniem danego składnika oraz „powszechnie uznanych danych naukowych”; ograniczenia nie mogą opierać się na „względach ogólnych lub hipotetycznych”.</w:t>
      </w:r>
    </w:p>
    <w:p w14:paraId="69C17ACD" w14:textId="77777777" w:rsidR="00C17EE8" w:rsidRDefault="004F4AD0">
      <w:pPr>
        <w:pStyle w:val="Akapitzlist"/>
        <w:spacing w:after="80" w:line="280" w:lineRule="auto"/>
        <w:jc w:val="both"/>
      </w:pPr>
      <w:r>
        <w:rPr>
          <w:bCs/>
        </w:rPr>
        <w:t>6. Sprawy połączone C-211/03, C-299/03, C-316/03, C-317/03 i C-318/03 HLH Warenvertriebs GmbH i Orthica BV przeciwko Bundesrepublik Deutschland (wyrok z 9 czerwca 2005 r., ECLI:EU:C:2005:370, pkt 30, 67-69, 72) — kwalifikacja suplement/lek/żywność wymaga decyzji „indywidualnie w zależności od przypadku” oraz oceny właściwości produktu „w oparciu o aktualny stan wiedzy naukowej”; sam brak potrzeby żywieniowej nie wystarcza do całkowitego zakazu sprzedaży produktu legalnie wprowadzonego w innym państwie członkowskim.</w:t>
      </w:r>
    </w:p>
    <w:p w14:paraId="3E90E73C" w14:textId="77777777" w:rsidR="00C17EE8" w:rsidRDefault="004F4AD0">
      <w:pPr>
        <w:pStyle w:val="Nagwek1"/>
      </w:pPr>
      <w:r>
        <w:t>7. Kary pieniężne i standardy konstytucyjne</w:t>
      </w:r>
    </w:p>
    <w:p w14:paraId="5803BDB1" w14:textId="77777777" w:rsidR="00C17EE8" w:rsidRDefault="004F4AD0">
      <w:pPr>
        <w:spacing w:after="120" w:line="300" w:lineRule="auto"/>
        <w:jc w:val="both"/>
      </w:pPr>
      <w:r>
        <w:t xml:space="preserve">Projekt podnosi maksymalny limit kary pieniężnej z trzydziestokrotności do </w:t>
      </w:r>
      <w:r>
        <w:rPr>
          <w:b/>
          <w:bCs/>
        </w:rPr>
        <w:t>stukrotności przeciętnego miesięcznego wynagrodzenia w gospodarce narodowej</w:t>
      </w:r>
      <w:r>
        <w:t xml:space="preserve"> za rok poprzedzający rok wymierzenia kary (art. 103 ust. 1 część wspólna projektu — projektodawca wprost doprecyzowuje, że „rok poprzedzający” oznacza rok poprzedzający rok decyzji, eliminując dotychczasową niejednoznaczność interpretacyjną). Przy przeciętnym miesięcznym wynagrodzeniu w gospodarce narodowej za 2025 r. wynoszącym 8 903,56 zł (komunikat Prezesa GUS z dnia 9 lutego 2026 r., M.P. z 2026 r. poz. 192), stukrotność tego wskaźnika daje maksymalną karę rzędu ok. 890 356 zł. Jednocześnie projekt deklaruje, że organ ustalając wysokość kary uwzględnia stopień szkodliwości czynu, stopień zawinienia, zakres naruszenia, dotychczasową działalność podmiotu i wielkość produkcji zakładu.</w:t>
      </w:r>
    </w:p>
    <w:p w14:paraId="2291016D" w14:textId="77777777" w:rsidR="00C17EE8" w:rsidRDefault="004F4AD0">
      <w:pPr>
        <w:pStyle w:val="Nagwek3"/>
      </w:pPr>
      <w:r>
        <w:t>Czego projekt NIE zawiera</w:t>
      </w:r>
    </w:p>
    <w:p w14:paraId="2FF06912" w14:textId="77777777" w:rsidR="00C17EE8" w:rsidRDefault="004F4AD0">
      <w:pPr>
        <w:spacing w:after="120" w:line="300" w:lineRule="auto"/>
        <w:jc w:val="both"/>
      </w:pPr>
      <w:r>
        <w:t xml:space="preserve">Projekt </w:t>
      </w:r>
      <w:r>
        <w:rPr>
          <w:b/>
          <w:bCs/>
        </w:rPr>
        <w:t>nie wprowadza twardych ustawowych gwarancji ochronnych dla MŚP</w:t>
      </w:r>
      <w:r>
        <w:t>, w szczególności:</w:t>
      </w:r>
    </w:p>
    <w:p w14:paraId="34FBB367" w14:textId="77777777" w:rsidR="00C17EE8" w:rsidRDefault="004F4AD0">
      <w:pPr>
        <w:pStyle w:val="Akapitzlist"/>
        <w:numPr>
          <w:ilvl w:val="0"/>
          <w:numId w:val="2"/>
        </w:numPr>
        <w:spacing w:after="80" w:line="280" w:lineRule="auto"/>
        <w:jc w:val="both"/>
      </w:pPr>
      <w:r>
        <w:rPr>
          <w:b/>
          <w:bCs/>
        </w:rPr>
        <w:t>limitu powiązanego z obrotem przedsiębiorcy (cap obrotowy)</w:t>
      </w:r>
      <w:r>
        <w:t xml:space="preserve"> — czyli zasady, że kara nie może przekroczyć określonego procentu rocznego obrotu firmy. Cap obrotowy jest standardem w nowoczesnym prawie sankcyjnym (m.in. w ustawie o ochronie konkurencji i konsumentów stosowanej przez UOKiK oraz w RODO);</w:t>
      </w:r>
    </w:p>
    <w:p w14:paraId="371E446B" w14:textId="77777777" w:rsidR="00C17EE8" w:rsidRDefault="004F4AD0">
      <w:pPr>
        <w:pStyle w:val="Akapitzlist"/>
        <w:numPr>
          <w:ilvl w:val="0"/>
          <w:numId w:val="2"/>
        </w:numPr>
        <w:spacing w:after="80" w:line="280" w:lineRule="auto"/>
        <w:jc w:val="both"/>
      </w:pPr>
      <w:r>
        <w:rPr>
          <w:b/>
          <w:bCs/>
        </w:rPr>
        <w:t xml:space="preserve">klauzuli </w:t>
      </w:r>
      <w:r>
        <w:rPr>
          <w:b/>
          <w:bCs/>
          <w:i/>
          <w:iCs/>
        </w:rPr>
        <w:t>safe harbour</w:t>
      </w:r>
      <w:r>
        <w:t xml:space="preserve"> — czyli „bezpiecznej przystani”: zasady, że dla pierwszego stwierdzonego uchybienia o charakterze formalnym (np. niedotrzymanie terminu) organ udziela ostrzeżenia, a nie nakłada kary;</w:t>
      </w:r>
    </w:p>
    <w:p w14:paraId="1F339A16" w14:textId="77777777" w:rsidR="00C17EE8" w:rsidRDefault="004F4AD0">
      <w:pPr>
        <w:pStyle w:val="Akapitzlist"/>
        <w:numPr>
          <w:ilvl w:val="0"/>
          <w:numId w:val="2"/>
        </w:numPr>
        <w:spacing w:after="80" w:line="280" w:lineRule="auto"/>
        <w:jc w:val="both"/>
      </w:pPr>
      <w:r>
        <w:rPr>
          <w:b/>
          <w:bCs/>
        </w:rPr>
        <w:t>gradacji sankcji</w:t>
      </w:r>
      <w:r>
        <w:t xml:space="preserve"> — różnicowania kar w zależności od kategorii naruszenia (poważne uchybienie materialne ma być sankcjonowane inaczej niż drobne uchybienie formalne).</w:t>
      </w:r>
    </w:p>
    <w:p w14:paraId="19AAEFF9" w14:textId="77777777" w:rsidR="00C17EE8" w:rsidRDefault="004F4AD0">
      <w:pPr>
        <w:spacing w:after="120" w:line="300" w:lineRule="auto"/>
        <w:jc w:val="both"/>
      </w:pPr>
      <w:r>
        <w:t xml:space="preserve">Podwyższenie limitu maksymalnego — przy braku takich gwarancji i samej tylko deklaracji w uzasadnieniu o uwzględnianiu okoliczności miarkujących — </w:t>
      </w:r>
      <w:r>
        <w:rPr>
          <w:b/>
          <w:bCs/>
        </w:rPr>
        <w:t>wymaga oceny w świetle standardów odpowiedzialności represyjnej i indywidualizacji sankcji</w:t>
      </w:r>
      <w:r>
        <w:t xml:space="preserve"> wynikających z orzecznictwa Trybunału Konstytucyjnego.</w:t>
      </w:r>
    </w:p>
    <w:p w14:paraId="4DC4DCDA" w14:textId="77777777" w:rsidR="00C17EE8" w:rsidRDefault="004F4AD0">
      <w:pPr>
        <w:pStyle w:val="Nagwek3"/>
      </w:pPr>
      <w:r>
        <w:t>Standardy konstytucyjne</w:t>
      </w:r>
    </w:p>
    <w:p w14:paraId="14597648" w14:textId="77777777" w:rsidR="00C17EE8" w:rsidRDefault="004F4AD0">
      <w:pPr>
        <w:spacing w:after="120" w:line="300" w:lineRule="auto"/>
        <w:jc w:val="both"/>
      </w:pPr>
      <w:r>
        <w:t>Wysokie kary pieniężne, choć formalnie należące do prawa administracyjnego, mogą — ze względu na swoją dolegliwość — wywoływać podobny skutek jak sankcje karne. Konstytucja RP przewiduje, że stosowanie sankcji o charakterze represyjnym musi spełniać określone standardy:</w:t>
      </w:r>
    </w:p>
    <w:p w14:paraId="471B6EE3" w14:textId="77777777" w:rsidR="00C17EE8" w:rsidRDefault="004F4AD0">
      <w:pPr>
        <w:pStyle w:val="Akapitzlist"/>
        <w:numPr>
          <w:ilvl w:val="0"/>
          <w:numId w:val="2"/>
        </w:numPr>
        <w:spacing w:after="80" w:line="280" w:lineRule="auto"/>
        <w:jc w:val="both"/>
      </w:pPr>
      <w:r>
        <w:rPr>
          <w:b/>
          <w:bCs/>
        </w:rPr>
        <w:t>art. 22 Konstytucji RP</w:t>
      </w:r>
      <w:r>
        <w:t xml:space="preserve"> — wolność działalności gospodarczej, której ograniczenie jest dopuszczalne tylko ze względu na ważny interes publiczny i tylko w drodze ustawy;</w:t>
      </w:r>
    </w:p>
    <w:p w14:paraId="0279E64A" w14:textId="77777777" w:rsidR="00C17EE8" w:rsidRDefault="004F4AD0">
      <w:pPr>
        <w:pStyle w:val="Akapitzlist"/>
        <w:numPr>
          <w:ilvl w:val="0"/>
          <w:numId w:val="2"/>
        </w:numPr>
        <w:spacing w:after="80" w:line="280" w:lineRule="auto"/>
        <w:jc w:val="both"/>
      </w:pPr>
      <w:r>
        <w:rPr>
          <w:b/>
          <w:bCs/>
        </w:rPr>
        <w:t>art. 31 ust. 3 Konstytucji RP</w:t>
      </w:r>
      <w:r>
        <w:t xml:space="preserve"> — zasada proporcjonalności: ograniczenia praw i wolności muszą być konieczne i proporcjonalne do celu, jaki ma zostać osiągnięty;</w:t>
      </w:r>
    </w:p>
    <w:p w14:paraId="198466F9" w14:textId="77777777" w:rsidR="00C17EE8" w:rsidRDefault="004F4AD0">
      <w:pPr>
        <w:pStyle w:val="Akapitzlist"/>
        <w:numPr>
          <w:ilvl w:val="0"/>
          <w:numId w:val="2"/>
        </w:numPr>
        <w:spacing w:after="80" w:line="280" w:lineRule="auto"/>
        <w:jc w:val="both"/>
      </w:pPr>
      <w:r>
        <w:rPr>
          <w:b/>
          <w:bCs/>
        </w:rPr>
        <w:t>art. 42 Konstytucji RP</w:t>
      </w:r>
      <w:r>
        <w:t xml:space="preserve"> — gwarancje przy odpowiedzialności karnej (m.in. zasada określoności czynu, prawo do obrony, domniemanie niewinności); zgodnie z orzecznictwem TK gwarancje te </w:t>
      </w:r>
      <w:r>
        <w:rPr>
          <w:i/>
          <w:iCs/>
        </w:rPr>
        <w:t>mogą mieć zastosowanie szerzej</w:t>
      </w:r>
      <w:r>
        <w:t xml:space="preserve"> — także do bardzo dolegliwych sankcji administracyjnych. W orzecznictwie TK, zwłaszcza w linii K 17/97 (wyrok TK z 29 kwietnia 1998 r.) i P 19/06 (wyrok TK z 15 stycznia 2007 r.), przyjmuje się, że konstytucyjne wymagania odnoszące się do odpowiedzialności represyjnej mogą mieć znaczenie także poza klasycznym prawem karnym — w szczególności wskazano, że „konstytucyjne wymagania pod adresem przepisów karnych należy odnosić do wszystkich przepisów o charakterze represyjnym (sankcjonująco-dyscyplinującym)”;</w:t>
      </w:r>
    </w:p>
    <w:p w14:paraId="076F19E2" w14:textId="77777777" w:rsidR="00C17EE8" w:rsidRDefault="004F4AD0">
      <w:pPr>
        <w:pStyle w:val="Akapitzlist"/>
        <w:numPr>
          <w:ilvl w:val="0"/>
          <w:numId w:val="2"/>
        </w:numPr>
        <w:spacing w:after="80" w:line="280" w:lineRule="auto"/>
        <w:jc w:val="both"/>
      </w:pPr>
      <w:r>
        <w:rPr>
          <w:b/>
          <w:bCs/>
        </w:rPr>
        <w:t xml:space="preserve">zasada </w:t>
      </w:r>
      <w:r>
        <w:rPr>
          <w:b/>
          <w:bCs/>
          <w:i/>
          <w:iCs/>
        </w:rPr>
        <w:t>ne bis in idem</w:t>
      </w:r>
      <w:r>
        <w:t xml:space="preserve"> — łaciński zwrot oznaczający „nie dwa razy za to samo”: zakaz karania kogoś dwukrotnie za ten sam czyn. W orzecznictwie TK zasada ta wywodzona jest z art. 2 Konstytucji RP — w wyroku TK z 20 czerwca 2017 r., P 124/15, Trybunał stwierdził niezgodność przepisów dopuszczających kumulację odpowiedzialności karnej i administracyjnej kary pieniężnej za ten sam czyn z „zasadą ne bis in idem oraz zasadą proporcjonalnej reakcji państwa na naruszenie prawa wynikającymi z art. 2 Konstytucji Rzeczypospolitej Polskiej”.</w:t>
      </w:r>
    </w:p>
    <w:p w14:paraId="4C4098CA" w14:textId="77777777" w:rsidR="00C17EE8" w:rsidRDefault="00C17EE8">
      <w:pPr>
        <w:spacing w:after="60"/>
      </w:pPr>
    </w:p>
    <w:p w14:paraId="6532653B" w14:textId="77777777" w:rsidR="00C17EE8" w:rsidRDefault="004F4AD0">
      <w:pPr>
        <w:pStyle w:val="Nagwek3"/>
      </w:pPr>
      <w:r>
        <w:t>Kanon pięciu wyroków Trybunału Konstytucyjnego</w:t>
      </w:r>
    </w:p>
    <w:p w14:paraId="59627F32" w14:textId="77777777" w:rsidR="00C17EE8" w:rsidRDefault="004F4AD0">
      <w:pPr>
        <w:pStyle w:val="Akapitzlist"/>
        <w:spacing w:after="80" w:line="280" w:lineRule="auto"/>
        <w:jc w:val="both"/>
      </w:pPr>
      <w:r>
        <w:t>1. P 26/11 (wyrok TK z 15 października 2013 r., Legalis nr 740114, OTK ZU 7/A/2013 poz. 99) — TK uznał za niezgodny z art. 2 Konstytucji przepis przewidujący „niepodlegającą miarkowaniu karę pieniężną w wysokości 10 000 zł”. Wniosek dla UD 247 jest prosty: sam wysoki limit kary nie przesądza o niekonstytucyjności, ale ustawa musi dawać realne narzędzia indywidualizacji sankcji, zwłaszcza wobec MŚP i uchybień formalnych.</w:t>
      </w:r>
    </w:p>
    <w:p w14:paraId="32B6772F" w14:textId="77777777" w:rsidR="00C17EE8" w:rsidRDefault="004F4AD0">
      <w:pPr>
        <w:pStyle w:val="Akapitzlist"/>
        <w:spacing w:after="80" w:line="280" w:lineRule="auto"/>
        <w:jc w:val="both"/>
      </w:pPr>
      <w:r>
        <w:t>2. P 19/06 (wyrok TK z 15 stycznia 2007 r., Legalis nr 79514, OTK ZU 1/A/2007 poz. 2) — TK nie zakwestionował co do zasady administracyjnych kar pieniężnych. Przeciwnie: kara administracyjna może służyć „zapewnieniu stanu zgodności z prawem”. To wzmacnia, a nie osłabia niniejszą opinię: projekt może przewidywać sankcje, ale powinien powiązać je z jasnym celem, kontrolą sądową i możliwością adekwatnego miarkowania.</w:t>
      </w:r>
    </w:p>
    <w:p w14:paraId="1D070DA2" w14:textId="77777777" w:rsidR="00C17EE8" w:rsidRDefault="004F4AD0">
      <w:pPr>
        <w:pStyle w:val="Akapitzlist"/>
        <w:spacing w:after="80" w:line="280" w:lineRule="auto"/>
        <w:jc w:val="both"/>
      </w:pPr>
      <w:r>
        <w:t>3. K 18/03 (wyrok TK z 3 listopada 2004 r., Legalis nr 65577, OTK ZU 10/A/2004 poz. 103) — TK odróżnił odpowiedzialność karną sensu stricto od innych form odpowiedzialności, ale jednocześnie wskazał, że ustawa może tworzyć odpowiedzialność „o charakterze represyjnym”. Dla art. 103 UD 247 oznacza to konieczność ostrożnej konstrukcji gwarancji: określoności, prawa do obrony, uzasadnienia i realnej kontroli.</w:t>
      </w:r>
    </w:p>
    <w:p w14:paraId="32A2C53C" w14:textId="77777777" w:rsidR="00C17EE8" w:rsidRDefault="004F4AD0">
      <w:pPr>
        <w:pStyle w:val="Akapitzlist"/>
        <w:spacing w:after="80" w:line="280" w:lineRule="auto"/>
        <w:jc w:val="both"/>
      </w:pPr>
      <w:r>
        <w:t>4. P 124/15 (wyrok TK z 20 czerwca 2017 r., Legalis nr 1611653, Dz.U. 2017 poz. 1214) — TK stwierdził niezgodność przepisów z „zasadą ne bis in idem oraz zasadą proporcjonalnej reakcji państwa na naruszenie prawa”. W praktyce trzeba zbadać nie tylko pojedynczą karę, ale cały mechanizm reakcji państwa: sankcje GIS/Sanepidu, możliwe sankcje UOKiK, skutki blokady produktu i koszty proceduralne.</w:t>
      </w:r>
    </w:p>
    <w:p w14:paraId="29757048" w14:textId="77777777" w:rsidR="00C17EE8" w:rsidRDefault="004F4AD0">
      <w:pPr>
        <w:pStyle w:val="Akapitzlist"/>
        <w:spacing w:after="80" w:line="280" w:lineRule="auto"/>
        <w:jc w:val="both"/>
      </w:pPr>
      <w:r>
        <w:t>5. K 17/97 (wyrok TK z 29 kwietnia 1998 r., Legalis nr 10430, OTK ZU 3/1998 poz. 30) — TK uznał za niezgodne z art. 2 Konstytucji równoległe stosowanie wobec tej samej osoby, za ten sam czyn, sankcji administracyjnej i odpowiedzialności za wykroczenie skarbowe. To dobry punkt odniesienia dla ryzyka kumulacji reżimów sankcyjnych w obszarze suplementów diety.</w:t>
      </w:r>
    </w:p>
    <w:p w14:paraId="196139B3" w14:textId="77777777" w:rsidR="00C17EE8" w:rsidRDefault="004F4AD0">
      <w:pPr>
        <w:spacing w:after="120" w:line="300" w:lineRule="auto"/>
        <w:jc w:val="both"/>
      </w:pPr>
      <w:r>
        <w:rPr>
          <w:b/>
          <w:bCs/>
        </w:rPr>
        <w:t>Kontekst — równoległe sankcje UOKiK.</w:t>
      </w:r>
      <w:r>
        <w:t xml:space="preserve"> W obszarze reklamy, sprzedaży i praktyk rynkowych dotyczących suplementów diety funkcjonuje już odrębny reżim sankcyjny Prezesa UOKiK, oparty m.in. na ustawie z dnia 16 lutego 2007 r. o ochronie konkurencji i konsumentów oraz ustawie z dnia 23 sierpnia 2007 r. o przeciwdziałaniu nieuczciwym praktykom rynkowym. Przykładowo:</w:t>
      </w:r>
    </w:p>
    <w:p w14:paraId="41EF3CB4" w14:textId="77777777" w:rsidR="00C17EE8" w:rsidRDefault="004F4AD0">
      <w:pPr>
        <w:spacing w:after="100" w:line="280" w:lineRule="auto"/>
        <w:ind w:left="360"/>
        <w:jc w:val="both"/>
      </w:pPr>
      <w:r>
        <w:t>— w sprawie Aflofarm Farmacja Polska sp. z o.o. — RenoPuren Zatoki Hot / RenoPuren Zatoki Junior, Prezes UOKiK wydał decyzję DDK-5/2017 z dnia 12 października 2017 r. i nałożył karę w łącznej wysokości 25 809 824 zł (decyzja podtrzymana przez Sąd Apelacyjny w Warszawie wyrokiem z 17 maja 2022 r., sygn. VII AGa 1294/21);</w:t>
      </w:r>
    </w:p>
    <w:p w14:paraId="11F89378" w14:textId="77777777" w:rsidR="00C17EE8" w:rsidRDefault="004F4AD0">
      <w:pPr>
        <w:spacing w:after="100" w:line="280" w:lineRule="auto"/>
        <w:ind w:left="360"/>
        <w:jc w:val="both"/>
      </w:pPr>
      <w:r>
        <w:t>— w sprawie Olimp Laboratories sp. z o.o. i współpracujących influencerów (kryptoreklama na Instagramie), Prezes UOKiK wydał decyzję RBG-9/2023 z dnia 23 sierpnia 2023 r. wobec Olimp Laboratories, nakładając na spółkę karę 5 016 236 zł, oraz osobne decyzje wobec influencerów (RBG-6/2023, RBG-7/2023, RBG-8/2023) na łączną kwotę 44 950 zł;</w:t>
      </w:r>
    </w:p>
    <w:p w14:paraId="083E206A" w14:textId="77777777" w:rsidR="00C17EE8" w:rsidRDefault="004F4AD0">
      <w:pPr>
        <w:spacing w:after="100" w:line="280" w:lineRule="auto"/>
        <w:ind w:left="360"/>
        <w:jc w:val="both"/>
      </w:pPr>
      <w:r>
        <w:t>— w sprawie Natural Pharmaceuticals sp. z o.o. (dark patterns przy wysyłkowej sprzedaży suplementów), Prezes UOKiK wydał decyzję RKT-7/2023 z dnia 5 września 2023 r.; kara dla spółki wyniosła 5 196 840 zł, a dodatkowa sankcja dla osoby zarządzającej — 110 000 zł.</w:t>
      </w:r>
    </w:p>
    <w:p w14:paraId="526E305D" w14:textId="77777777" w:rsidR="00C17EE8" w:rsidRDefault="004F4AD0">
      <w:pPr>
        <w:spacing w:after="120" w:line="300" w:lineRule="auto"/>
        <w:jc w:val="both"/>
      </w:pPr>
      <w:r>
        <w:t>Skoro te sankcje już istnieją, projektodawca powinien wykazać, dlaczego dodatkowe podwyższenie limitu kar w ustawie żywnościowej jest konieczne oraz jak zamierza uniknąć kumulacji dolegliwości wobec tego samego zachowania rynkowego albo powiązanego ciągu zachowań.</w:t>
      </w:r>
    </w:p>
    <w:p w14:paraId="68423FEB" w14:textId="77777777" w:rsidR="00C17EE8" w:rsidRDefault="004F4AD0">
      <w:pPr>
        <w:spacing w:after="120" w:line="300" w:lineRule="auto"/>
        <w:jc w:val="both"/>
      </w:pPr>
      <w:r>
        <w:t>Najprościej: nie chodzi o to, aby pozbawić państwo skutecznych narzędzi nadzoru. Chodzi o to, aby ustawa odróżniała podmiot celowo ignorujący obowiązki od przedsiębiorcy, który działa w dobrej wierze i popełnia uchybienie formalne. Przy karze mogącej sięgać niemal 0,9 mln zł ta różnica musi wynikać z ustawy, a nie z założenia, że organ zawsze zastosuje sankcję łagodnie.</w:t>
      </w:r>
    </w:p>
    <w:p w14:paraId="509AF5EF" w14:textId="77777777" w:rsidR="00C17EE8" w:rsidRDefault="004F4AD0">
      <w:pPr>
        <w:pStyle w:val="Nagwek1"/>
      </w:pPr>
      <w:r>
        <w:t>8. Ochrona danych osobowych (RODO) — system SEPIS</w:t>
      </w:r>
    </w:p>
    <w:p w14:paraId="63D9AA50" w14:textId="77777777" w:rsidR="00C17EE8" w:rsidRDefault="004F4AD0">
      <w:pPr>
        <w:spacing w:after="120" w:line="300" w:lineRule="auto"/>
        <w:jc w:val="both"/>
      </w:pPr>
      <w:r>
        <w:t xml:space="preserve">Projekt wprowadza w art. 8b–8d ustawy z dnia 14 marca 1985 r. o Państwowej Inspekcji Sanitarnej (Dz. U. z 2024 r. poz. 416) system informatyczny </w:t>
      </w:r>
      <w:r>
        <w:rPr>
          <w:b/>
          <w:bCs/>
        </w:rPr>
        <w:t>SEPIS</w:t>
      </w:r>
      <w:r>
        <w:t xml:space="preserve"> (System Ewidencji Państwowej Inspekcji Sanitarnej) oraz platformę elektroniczną </w:t>
      </w:r>
      <w:r>
        <w:rPr>
          <w:b/>
          <w:bCs/>
        </w:rPr>
        <w:t>e-Sanepid</w:t>
      </w:r>
      <w:r>
        <w:t>. Wszelkie przetwarzanie danych osobowych w tym systemie podlega przepisom RODO — rozporządzenia Parlamentu Europejskiego i Rady (UE) 2016/679 z dnia 27 kwietnia 2016 r. w sprawie ochrony osób fizycznych w związku z przetwarzaniem danych osobowych (Dz. Urz. UE L 119 z 4.05.2016, str. 1).</w:t>
      </w:r>
    </w:p>
    <w:p w14:paraId="3067ACC2" w14:textId="77777777" w:rsidR="00C17EE8" w:rsidRDefault="004F4AD0">
      <w:pPr>
        <w:spacing w:after="120" w:line="300" w:lineRule="auto"/>
        <w:jc w:val="both"/>
      </w:pPr>
      <w:r>
        <w:t xml:space="preserve">Projektowany art. 8c ust. 5 określa </w:t>
      </w:r>
      <w:r>
        <w:rPr>
          <w:b/>
          <w:bCs/>
        </w:rPr>
        <w:t>bardzo szeroki</w:t>
      </w:r>
      <w:r>
        <w:t xml:space="preserve"> katalog danych przetwarzanych w SEPIS, obejmujący w szczególności:</w:t>
      </w:r>
    </w:p>
    <w:p w14:paraId="145B6552" w14:textId="77777777" w:rsidR="00C17EE8" w:rsidRDefault="004F4AD0">
      <w:pPr>
        <w:pStyle w:val="Akapitzlist"/>
        <w:numPr>
          <w:ilvl w:val="0"/>
          <w:numId w:val="2"/>
        </w:numPr>
        <w:spacing w:after="80" w:line="280" w:lineRule="auto"/>
        <w:jc w:val="both"/>
      </w:pPr>
      <w:r>
        <w:t>numer PESEL, dane dokumentu tożsamości w tym dane paszportowe, niepowtarzalny identyfikator nadany dla celów transgranicznej identyfikacji UE;</w:t>
      </w:r>
    </w:p>
    <w:p w14:paraId="114AC246" w14:textId="77777777" w:rsidR="00C17EE8" w:rsidRDefault="004F4AD0">
      <w:pPr>
        <w:pStyle w:val="Akapitzlist"/>
        <w:numPr>
          <w:ilvl w:val="0"/>
          <w:numId w:val="2"/>
        </w:numPr>
        <w:spacing w:after="80" w:line="280" w:lineRule="auto"/>
        <w:jc w:val="both"/>
      </w:pPr>
      <w:r>
        <w:t>datę zgonu albo datę znalezienia zwłok oraz przyczynę zgonu;</w:t>
      </w:r>
    </w:p>
    <w:p w14:paraId="7C0BB5D7" w14:textId="77777777" w:rsidR="00C17EE8" w:rsidRDefault="004F4AD0">
      <w:pPr>
        <w:pStyle w:val="Akapitzlist"/>
        <w:numPr>
          <w:ilvl w:val="0"/>
          <w:numId w:val="2"/>
        </w:numPr>
        <w:spacing w:after="80" w:line="280" w:lineRule="auto"/>
        <w:jc w:val="both"/>
      </w:pPr>
      <w:r>
        <w:rPr>
          <w:b/>
          <w:bCs/>
        </w:rPr>
        <w:t xml:space="preserve">dane o udzielonych, udzielanych i planowanych świadczeniach opieki zdrowotnej oraz dotyczące stanu zdrowia, w tym profilaktyki zdrowotnej i realizacji programów zdrowotnych </w:t>
      </w:r>
      <w:r>
        <w:t xml:space="preserve">(art. 8c ust. 5 pkt 1 lit. t projektu). Są to </w:t>
      </w:r>
      <w:r>
        <w:rPr>
          <w:i/>
          <w:iCs/>
        </w:rPr>
        <w:t>dane szczególnych kategorii</w:t>
      </w:r>
      <w:r>
        <w:t xml:space="preserve"> w rozumieniu art. 9 RODO — dane wrażliwe, których przetwarzanie jest co do zasady zakazane, z wąskimi wyjątkami określonymi w art. 9 ust. 2 RODO.</w:t>
      </w:r>
    </w:p>
    <w:p w14:paraId="684C0512" w14:textId="77777777" w:rsidR="00C17EE8" w:rsidRDefault="00C17EE8">
      <w:pPr>
        <w:spacing w:after="80"/>
      </w:pPr>
    </w:p>
    <w:p w14:paraId="476B6911" w14:textId="77777777" w:rsidR="00C17EE8" w:rsidRDefault="004F4AD0">
      <w:pPr>
        <w:pStyle w:val="Nagwek3"/>
      </w:pPr>
      <w:r>
        <w:t>Ocena skutków dla ochrony danych (DPIA)</w:t>
      </w:r>
    </w:p>
    <w:p w14:paraId="7EAA8FBB" w14:textId="77777777" w:rsidR="00C17EE8" w:rsidRDefault="004F4AD0">
      <w:pPr>
        <w:spacing w:after="120" w:line="300" w:lineRule="auto"/>
        <w:jc w:val="both"/>
      </w:pPr>
      <w:r>
        <w:rPr>
          <w:b/>
          <w:bCs/>
        </w:rPr>
        <w:t xml:space="preserve">DPIA (Data Protection Impact Assessment) </w:t>
      </w:r>
      <w:r>
        <w:t>to przewidziana w art. 35 RODO ocena skutków planowanego przetwarzania danych dla praw i wolności osób fizycznych. Jest obowiązkowa zwłaszcza wtedy, gdy przetwarzane są dane szczególnych kategorii (np. zdrowotne) na dużą skalę. Powinna identyfikować konkretne ryzyka i przewidywać środki ich łagodzenia.</w:t>
      </w:r>
    </w:p>
    <w:p w14:paraId="705901FA" w14:textId="77777777" w:rsidR="00C17EE8" w:rsidRDefault="004F4AD0">
      <w:pPr>
        <w:spacing w:after="120" w:line="300" w:lineRule="auto"/>
        <w:jc w:val="both"/>
      </w:pPr>
      <w:r>
        <w:t xml:space="preserve">Uzasadnienie projektu deklaruje wprost: „dokonano oceny skutków planowanych operacji przetwarzania danych na podstawie wprowadzanych regulacji dla ochrony danych osobowych, o której mowa w art. 35 ust. 1 RODO”. Skoro DPIA została przeprowadzona, brak jej syntetycznych wyników w uzasadnieniu projektu jest wadą — nie metodologiczną, ale informacyjną. Adresat konsultacji nie ma podstawy faktycznej, by ocenić, czy zaproponowany kształt SEPIS jest proporcjonalny w świetle zasad z art. 5 RODO. </w:t>
      </w:r>
      <w:r>
        <w:rPr>
          <w:b/>
          <w:bCs/>
        </w:rPr>
        <w:t>Zasadne jest zatem uzupełnienie uzasadnienia o syntetyczne wyniki tej oceny</w:t>
      </w:r>
      <w:r>
        <w:t xml:space="preserve"> — w szczególności w zakresie:</w:t>
      </w:r>
    </w:p>
    <w:p w14:paraId="21ADB634" w14:textId="77777777" w:rsidR="00C17EE8" w:rsidRDefault="004F4AD0">
      <w:pPr>
        <w:pStyle w:val="Akapitzlist"/>
        <w:numPr>
          <w:ilvl w:val="0"/>
          <w:numId w:val="2"/>
        </w:numPr>
        <w:spacing w:after="80" w:line="280" w:lineRule="auto"/>
        <w:jc w:val="both"/>
      </w:pPr>
      <w:r>
        <w:rPr>
          <w:b/>
          <w:bCs/>
        </w:rPr>
        <w:t xml:space="preserve">minimalizacji danych </w:t>
      </w:r>
      <w:r>
        <w:t>— zasady, że można przetwarzać tylko te dane, które są naprawdę niezbędne do celu (art. 5 ust. 1 lit. c RODO); zakresu danych szczególnych kategorii i ich proporcjonalności względem celu nadzoru sanitarnego;</w:t>
      </w:r>
    </w:p>
    <w:p w14:paraId="2033AF67" w14:textId="77777777" w:rsidR="00C17EE8" w:rsidRDefault="004F4AD0">
      <w:pPr>
        <w:pStyle w:val="Akapitzlist"/>
        <w:numPr>
          <w:ilvl w:val="0"/>
          <w:numId w:val="2"/>
        </w:numPr>
        <w:spacing w:after="80" w:line="280" w:lineRule="auto"/>
        <w:jc w:val="both"/>
      </w:pPr>
      <w:r>
        <w:rPr>
          <w:b/>
          <w:bCs/>
        </w:rPr>
        <w:t xml:space="preserve">retencji </w:t>
      </w:r>
      <w:r>
        <w:t>— terminów, po upływie których dane mają być usuwane lub anonimizowane; różnych kategorii danych powinny dotyczyć różne, uzasadnione okresy przechowywania;</w:t>
      </w:r>
    </w:p>
    <w:p w14:paraId="79DCB2F8" w14:textId="77777777" w:rsidR="00C17EE8" w:rsidRDefault="004F4AD0">
      <w:pPr>
        <w:pStyle w:val="Akapitzlist"/>
        <w:numPr>
          <w:ilvl w:val="0"/>
          <w:numId w:val="2"/>
        </w:numPr>
        <w:spacing w:after="80" w:line="280" w:lineRule="auto"/>
        <w:jc w:val="both"/>
      </w:pPr>
      <w:r>
        <w:rPr>
          <w:b/>
          <w:bCs/>
        </w:rPr>
        <w:t xml:space="preserve">podstaw prawnych przetwarzania </w:t>
      </w:r>
      <w:r>
        <w:t>— rozróżnienia między art. 9 ust. 2 lit. g RODO (ważny interes publiczny), lit. h (zdrowie publiczne, profilaktyka), lit. i (interes publiczny w dziedzinie zdrowia publicznego — np. ochrona przed zagrożeniami) i lit. j (badania naukowe);</w:t>
      </w:r>
    </w:p>
    <w:p w14:paraId="22CAC8E9" w14:textId="77777777" w:rsidR="00C17EE8" w:rsidRDefault="004F4AD0">
      <w:pPr>
        <w:pStyle w:val="Akapitzlist"/>
        <w:numPr>
          <w:ilvl w:val="0"/>
          <w:numId w:val="2"/>
        </w:numPr>
        <w:spacing w:after="80" w:line="280" w:lineRule="auto"/>
        <w:jc w:val="both"/>
      </w:pPr>
      <w:r>
        <w:rPr>
          <w:b/>
          <w:bCs/>
        </w:rPr>
        <w:t xml:space="preserve">rozdzielenia celów </w:t>
      </w:r>
      <w:r>
        <w:t>— mechanizmów uniemożliwiających łączenie danych z różnych zbiorów w sposób, który pozwalałby na profilowanie obywateli (np. łączenie danych o świadczeniach zdrowotnych z danymi paszportowymi i identyfikatorem UE);</w:t>
      </w:r>
    </w:p>
    <w:p w14:paraId="588A4D03" w14:textId="77777777" w:rsidR="00C17EE8" w:rsidRDefault="004F4AD0">
      <w:pPr>
        <w:pStyle w:val="Akapitzlist"/>
        <w:numPr>
          <w:ilvl w:val="0"/>
          <w:numId w:val="2"/>
        </w:numPr>
        <w:spacing w:after="80" w:line="280" w:lineRule="auto"/>
        <w:jc w:val="both"/>
      </w:pPr>
      <w:r>
        <w:rPr>
          <w:b/>
          <w:bCs/>
        </w:rPr>
        <w:t xml:space="preserve">alternatyw mniej inwazyjnych </w:t>
      </w:r>
      <w:r>
        <w:t>— np. dostępu ad hoc do innych rejestrów państwowych zamiast tworzenia pełnego „lustra danych” w jednym systemie.</w:t>
      </w:r>
    </w:p>
    <w:p w14:paraId="4CB95909" w14:textId="77777777" w:rsidR="00C17EE8" w:rsidRDefault="004F4AD0">
      <w:pPr>
        <w:spacing w:after="120" w:line="300" w:lineRule="auto"/>
        <w:jc w:val="both"/>
      </w:pPr>
      <w:r>
        <w:t>W warstwie operacyjnej projekt powinien jednoznacznie wskazywać: kto pełni rolę administratora danych w SEPIS, czy występuje konstrukcja współadministrowania (art. 26 RODO) między GIS a innymi podmiotami systemu PIS, kto ma dostęp do danych szczególnych kategorii (art. 9 RODO), czy dostęp opiera się na modelu rolowym, czy są prowadzone logi dostępu, kto kontroluje eksport danych, oraz czy przewidziano pseudonimizację albo separację zbiorów dla różnych celów przetwarzania.</w:t>
      </w:r>
    </w:p>
    <w:p w14:paraId="7D998C27" w14:textId="77777777" w:rsidR="00C17EE8" w:rsidRDefault="00C17EE8">
      <w:pPr>
        <w:spacing w:after="80"/>
      </w:pPr>
    </w:p>
    <w:p w14:paraId="06A2A4DD" w14:textId="77777777" w:rsidR="00C17EE8" w:rsidRDefault="004F4AD0">
      <w:pPr>
        <w:pStyle w:val="Nagwek3"/>
      </w:pPr>
      <w:r>
        <w:t>Standardy z orzecznictwa TSUE</w:t>
      </w:r>
    </w:p>
    <w:p w14:paraId="289B6CF5" w14:textId="77777777" w:rsidR="00C17EE8" w:rsidRDefault="004F4AD0">
      <w:pPr>
        <w:spacing w:after="120" w:line="300" w:lineRule="auto"/>
        <w:jc w:val="both"/>
      </w:pPr>
      <w:r>
        <w:t>W wyroku Wielkiej Izby z 1 sierpnia 2022 r. w sprawie C-184/20 OT, ECLI:EU:C:2022:601, TSUE oceniał dopuszczalność publicznego ujawniania danych, które mogły prowadzić do ujawnienia informacji szczególnych kategorii, w świetle art. 6 i 9 RODO oraz art. 7 i 8 Karty Praw Podstawowych. Choć sprawa C-446/21 Schrems przeciwko Meta Platforms Ireland (wyrok TSUE z 4 października 2024 r., ECLI:EU:C:2024:834) dotyczyła przetwarzania danych przez platformę internetową, jej znaczenie dla SEPIS polega na potwierdzeniu ogólnego standardu minimalizacji: dane mają być „adekwatne, stosowne oraz ograniczone do tego, co niezbędne”, a zasada minimalizacji sprzeciwia się agregowaniu danych „bezterminowo i bez względu na charakter tych danych”.</w:t>
      </w:r>
    </w:p>
    <w:p w14:paraId="6DAFAF18" w14:textId="77777777" w:rsidR="00C17EE8" w:rsidRDefault="004F4AD0">
      <w:pPr>
        <w:spacing w:after="120" w:line="300" w:lineRule="auto"/>
        <w:jc w:val="both"/>
      </w:pPr>
      <w:r>
        <w:t>Przy SEPIS nie wystarczy ogólna deklaracja, że system będzie bezpieczny. Projekt powinien pokazać, po co organowi potrzebna jest każda kategoria danych, kto będzie miał do niej dostęp, jak długo dane będą przechowywane, kiedy zostaną usunięte lub zanonimizowane i dlaczego nie wystarczy dostęp ad hoc do istniejących rejestrów. Bez takiego uzupełnienia projekt naraża się na zarzut naruszenia zasady minimalizacji, ograniczenia przechowywania i rozliczalności z art. 5 RODO.</w:t>
      </w:r>
    </w:p>
    <w:p w14:paraId="07DD1F7D" w14:textId="77777777" w:rsidR="00C17EE8" w:rsidRDefault="004F4AD0">
      <w:pPr>
        <w:pStyle w:val="Nagwek1"/>
      </w:pPr>
      <w:r>
        <w:t>9. Pozostałe zagadnienia</w:t>
      </w:r>
    </w:p>
    <w:p w14:paraId="490DA3F3" w14:textId="77777777" w:rsidR="00C17EE8" w:rsidRDefault="004F4AD0">
      <w:pPr>
        <w:pStyle w:val="Nagwek2"/>
      </w:pPr>
      <w:r>
        <w:t>9.1. Tajemnica przedsiębiorstwa</w:t>
      </w:r>
    </w:p>
    <w:p w14:paraId="2B577B31" w14:textId="77777777" w:rsidR="00C17EE8" w:rsidRDefault="004F4AD0">
      <w:pPr>
        <w:spacing w:after="120" w:line="300" w:lineRule="auto"/>
        <w:jc w:val="both"/>
      </w:pPr>
      <w:r>
        <w:t xml:space="preserve">Rejestr w SEPIS ma zawierać m.in. skład jakościowy i ilościowy produktu. Publicznie publikowane mają być dane z wyłączeniem składu ilościowego i danych producenta, ale </w:t>
      </w:r>
      <w:r>
        <w:rPr>
          <w:i/>
          <w:iCs/>
        </w:rPr>
        <w:t>skład jakościowy ma być publikowany</w:t>
      </w:r>
      <w:r>
        <w:t xml:space="preserve">. W praktyce nawet skład jakościowy może ujawniać koncepcję produktową, zwłaszcza w segmentach opartych na unikalnych kompozycjach składników aktywnych. Wymaga to oceny w świetle art. 64 Konstytucji RP oraz art. 39 TRIPS. </w:t>
      </w:r>
      <w:r>
        <w:rPr>
          <w:i/>
          <w:iCs/>
        </w:rPr>
        <w:t>Ryzyko jest szczególnie istotne w przypadku produktów niszowych, w których już sama kombinacja składników — bez ujawnienia dawek — może ujawniać know-how lub strategię formulacyjną.</w:t>
      </w:r>
    </w:p>
    <w:p w14:paraId="561DDF71" w14:textId="77777777" w:rsidR="00C17EE8" w:rsidRDefault="004F4AD0">
      <w:pPr>
        <w:pStyle w:val="Nagwek2"/>
      </w:pPr>
      <w:r>
        <w:t>9.2. Przepisy intertemporalne projektu</w:t>
      </w:r>
    </w:p>
    <w:p w14:paraId="5311C751" w14:textId="77777777" w:rsidR="00C17EE8" w:rsidRDefault="004F4AD0">
      <w:pPr>
        <w:spacing w:after="120" w:line="300" w:lineRule="auto"/>
        <w:jc w:val="both"/>
      </w:pPr>
      <w:r>
        <w:t>Przepisy przejściowe projektu, w szczególności art. 3, przewidują stosowanie nowych zasad do spraw wszczętych przed wejściem w życie ustawy, w tym do powiadomień złożonych wcześniej. Literalne brzmienie tego przepisu jest następujące:</w:t>
      </w:r>
    </w:p>
    <w:p w14:paraId="6C186363" w14:textId="77777777" w:rsidR="00C17EE8" w:rsidRDefault="004F4AD0">
      <w:pPr>
        <w:pBdr>
          <w:left w:val="single" w:sz="18" w:space="8" w:color="4B0082"/>
        </w:pBdr>
        <w:spacing w:before="100" w:after="120" w:line="280" w:lineRule="auto"/>
        <w:ind w:left="360" w:right="360"/>
        <w:jc w:val="both"/>
      </w:pPr>
      <w:r>
        <w:rPr>
          <w:i/>
          <w:iCs/>
          <w:sz w:val="21"/>
          <w:szCs w:val="21"/>
        </w:rPr>
        <w:t>„Art. 3. Do powiadomień złożonych do Głównego Inspektora Sanitarnego na podstawie art. 29 ustawy zmienianej w art. 1, do dnia wejścia w życie niniejszej ustawy, stosuje się przepisy ustawy zmienianej w art. 1, w brzmieniu nadanym niniejszą ustawą.”</w:t>
      </w:r>
    </w:p>
    <w:p w14:paraId="7EA9BB8E" w14:textId="559479C4" w:rsidR="00C17EE8" w:rsidRDefault="004F4AD0">
      <w:pPr>
        <w:spacing w:after="120" w:line="300" w:lineRule="auto"/>
        <w:jc w:val="both"/>
      </w:pPr>
      <w:r>
        <w:t>Konstrukcja przepisu oznacza co najmniej, że nowe przepisy mają objąć powiadomienia pozostające w toku w dniu wejścia w życie ustawy — w pełnej, surowszej postaci. Nie jest to klasyczna retroaktywność (lex retro non agit), lecz retrospektywne zastosowanie nowych, surowszych skutków do sytuacji już rozpoczętych. W K 9/92 (orzeczenie TK z 2 marca 1993 r., Legalis nr 10154) Trybunał wyjaśnił, że bezpośrednie działanie nowej ustawy może prowadzić do „sytuacji zaskoczenia adresatów” i podważać zaufanie do prawa; dlatego zmiana pogarszająca sytuację powinna co do zasady korzystać z przepisów przejściowych albo odpowiedniego vacatio legis. W K 26/97 (wyrok TK z 25 listopada 1997 r., Legalis nr 10394) TK przypomniał, że prawo nie może być pułapką dla obywatela. W K 6/06 (wyrok TK z 19 kwietnia 2006 r., Legalis nr 73544) za niezgodne z art. 2 Konstytucji uznano objęcie nową regulacją także osób, które rozpoczęły aplikację przed wejściem w życie ustawy — właśnie ze względu na ochronę interesów w toku. Jednocześnie K 27/00 (wyrok TK z 7 lutego 2001 r., Legalis nr 49466) pokazuje ważne zastrzeżenie: nie każda zmiana obejmująca sprawy w toku jest niekonstytucyjna. Decyduje to, czy adresat miał racjonalne, usprawiedliwione oczekiwania i czy państwo nie zmienia reguł gry bez realnego okresu dostosowawczego. W procedurze powiadomień suplementów taki interes w toku jest silny, bo powiadomienie często jest elementem już rozpoczętego przedsięwzięcia: produkcji, zakupu surowców, etykiet, dystrybucji i kampanii sprzedażowej. W ludzkim wymiarze problem jest prosty: przedsiębiorca, który działał według dotychczasowych reguł, nie powinien z dnia na dzień dowiadywać się, że jego legalnie rozpoczęte przedsięwzięcie podlega nowym sankcjom i nowym blokadom proceduralnym.</w:t>
      </w:r>
    </w:p>
    <w:p w14:paraId="508D3AAF" w14:textId="77777777" w:rsidR="00C17EE8" w:rsidRDefault="004F4AD0">
      <w:pPr>
        <w:pStyle w:val="Nagwek2"/>
      </w:pPr>
      <w:r>
        <w:t>9.3. Cyfryzacja i awarie platformy e-Sanepid</w:t>
      </w:r>
    </w:p>
    <w:p w14:paraId="55112E67" w14:textId="77777777" w:rsidR="00C17EE8" w:rsidRDefault="004F4AD0">
      <w:pPr>
        <w:spacing w:after="120" w:line="300" w:lineRule="auto"/>
        <w:jc w:val="both"/>
      </w:pPr>
      <w:r>
        <w:t>Projekt przewiduje mechanizmy na wypadek awarii platformy e-Sanepid po stronie organu, ale nie rozwiązuje sytuacji granicznych — awarii po stronie użytkownika, problemów z podpisem elektronicznym, niedostępności po stronie pełnomocników. Uzależnienie możliwości prowadzenia legalnej działalności od sprawności systemu IT organu wymaga dalszej oceny proporcjonalności.</w:t>
      </w:r>
    </w:p>
    <w:p w14:paraId="0F2E15AA" w14:textId="77777777" w:rsidR="00C17EE8" w:rsidRDefault="004F4AD0">
      <w:pPr>
        <w:pStyle w:val="Nagwek3"/>
      </w:pPr>
      <w:r>
        <w:rPr>
          <w:color w:val="4B0082"/>
          <w:sz w:val="24"/>
          <w:szCs w:val="24"/>
        </w:rPr>
        <w:t>9.4. Automatyczne wykreślenie z rejestru urządzeń dystrybucyjnych</w:t>
      </w:r>
    </w:p>
    <w:p w14:paraId="7601D1FA" w14:textId="77777777" w:rsidR="00C17EE8" w:rsidRDefault="004F4AD0">
      <w:pPr>
        <w:spacing w:after="120" w:line="300" w:lineRule="auto"/>
        <w:jc w:val="both"/>
      </w:pPr>
      <w:r>
        <w:t>Projektowany art. 65 ust. 3 pkt 4 ustawy o Państwowej Inspekcji Sanitarnej przewiduje wykreślenie urządzenia dystrybucyjnego z rejestru w przypadku braku corocznej aktualizacji danych. Mechanizm ten wpisuje się w szerszy problem projektu: dotkliwy skutek prawny zostaje powiązany z uchybieniem formalnym, bez wyraźnego mechanizmu uprzedniego wezwania, dodatkowego terminu i indywidualnej oceny proporcjonalności.</w:t>
      </w:r>
    </w:p>
    <w:p w14:paraId="3EE15F01" w14:textId="77777777" w:rsidR="00C17EE8" w:rsidRDefault="004F4AD0">
      <w:pPr>
        <w:spacing w:after="120" w:line="300" w:lineRule="auto"/>
        <w:jc w:val="both"/>
      </w:pPr>
      <w:r>
        <w:t xml:space="preserve">Nie chodzi o to, aby zwolnić przedsiębiorców z obowiązku aktualizacji danych. Chodzi o to, aby sankcja za uchybienie formalne była stopniowalna. Minimalnym standardem powinno być </w:t>
      </w:r>
      <w:r>
        <w:rPr>
          <w:b/>
          <w:bCs/>
        </w:rPr>
        <w:t>wezwanie do aktualizacji danych w dodatkowym terminie</w:t>
      </w:r>
      <w:r>
        <w:t xml:space="preserve"> oraz dopiero późniejsze wykreślenie z rejestru, z uzasadnieniem i jasnym trybem zaskarżenia.</w:t>
      </w:r>
    </w:p>
    <w:p w14:paraId="67067484" w14:textId="77777777" w:rsidR="00C17EE8" w:rsidRDefault="004F4AD0">
      <w:pPr>
        <w:pStyle w:val="Nagwek1"/>
      </w:pPr>
      <w:r>
        <w:t>10. Tabela rekomendacji</w:t>
      </w:r>
    </w:p>
    <w:p w14:paraId="7DB0CCE8" w14:textId="77777777" w:rsidR="00C17EE8" w:rsidRDefault="00C17EE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900"/>
        <w:gridCol w:w="2560"/>
      </w:tblGrid>
      <w:tr w:rsidR="00C17EE8" w14:paraId="6AECE2AD" w14:textId="77777777">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4B0082"/>
            <w:tcMar>
              <w:top w:w="100" w:type="dxa"/>
              <w:left w:w="140" w:type="dxa"/>
              <w:bottom w:w="100" w:type="dxa"/>
              <w:right w:w="140" w:type="dxa"/>
            </w:tcMar>
          </w:tcPr>
          <w:p w14:paraId="02B1E223" w14:textId="77777777" w:rsidR="00C17EE8" w:rsidRDefault="004F4AD0">
            <w:pPr>
              <w:spacing w:line="260" w:lineRule="auto"/>
            </w:pPr>
            <w:r>
              <w:rPr>
                <w:b/>
                <w:bCs/>
                <w:color w:val="FFFFFF"/>
                <w:sz w:val="18"/>
                <w:szCs w:val="18"/>
              </w:rPr>
              <w:t>Przepis</w:t>
            </w:r>
          </w:p>
        </w:tc>
        <w:tc>
          <w:tcPr>
            <w:tcW w:w="2400" w:type="dxa"/>
            <w:tcBorders>
              <w:top w:val="single" w:sz="4" w:space="0" w:color="D1D5DB"/>
              <w:left w:val="single" w:sz="4" w:space="0" w:color="D1D5DB"/>
              <w:bottom w:val="single" w:sz="4" w:space="0" w:color="D1D5DB"/>
              <w:right w:val="single" w:sz="4" w:space="0" w:color="D1D5DB"/>
            </w:tcBorders>
            <w:shd w:val="clear" w:color="auto" w:fill="4B0082"/>
            <w:tcMar>
              <w:top w:w="100" w:type="dxa"/>
              <w:left w:w="140" w:type="dxa"/>
              <w:bottom w:w="100" w:type="dxa"/>
              <w:right w:w="140" w:type="dxa"/>
            </w:tcMar>
          </w:tcPr>
          <w:p w14:paraId="7D3D03F2" w14:textId="77777777" w:rsidR="00C17EE8" w:rsidRDefault="004F4AD0">
            <w:pPr>
              <w:spacing w:line="260" w:lineRule="auto"/>
            </w:pPr>
            <w:r>
              <w:rPr>
                <w:b/>
                <w:bCs/>
                <w:color w:val="FFFFFF"/>
                <w:sz w:val="18"/>
                <w:szCs w:val="18"/>
              </w:rPr>
              <w:t>Problem</w:t>
            </w:r>
          </w:p>
        </w:tc>
        <w:tc>
          <w:tcPr>
            <w:tcW w:w="2900" w:type="dxa"/>
            <w:tcBorders>
              <w:top w:val="single" w:sz="4" w:space="0" w:color="D1D5DB"/>
              <w:left w:val="single" w:sz="4" w:space="0" w:color="D1D5DB"/>
              <w:bottom w:val="single" w:sz="4" w:space="0" w:color="D1D5DB"/>
              <w:right w:val="single" w:sz="4" w:space="0" w:color="D1D5DB"/>
            </w:tcBorders>
            <w:shd w:val="clear" w:color="auto" w:fill="4B0082"/>
            <w:tcMar>
              <w:top w:w="100" w:type="dxa"/>
              <w:left w:w="140" w:type="dxa"/>
              <w:bottom w:w="100" w:type="dxa"/>
              <w:right w:w="140" w:type="dxa"/>
            </w:tcMar>
          </w:tcPr>
          <w:p w14:paraId="28CD53B4" w14:textId="77777777" w:rsidR="00C17EE8" w:rsidRDefault="004F4AD0">
            <w:pPr>
              <w:spacing w:line="260" w:lineRule="auto"/>
            </w:pPr>
            <w:r>
              <w:rPr>
                <w:b/>
                <w:bCs/>
                <w:color w:val="FFFFFF"/>
                <w:sz w:val="18"/>
                <w:szCs w:val="18"/>
              </w:rPr>
              <w:t>Rekomendacja</w:t>
            </w:r>
          </w:p>
        </w:tc>
        <w:tc>
          <w:tcPr>
            <w:tcW w:w="2560" w:type="dxa"/>
            <w:tcBorders>
              <w:top w:val="single" w:sz="4" w:space="0" w:color="D1D5DB"/>
              <w:left w:val="single" w:sz="4" w:space="0" w:color="D1D5DB"/>
              <w:bottom w:val="single" w:sz="4" w:space="0" w:color="D1D5DB"/>
              <w:right w:val="single" w:sz="4" w:space="0" w:color="D1D5DB"/>
            </w:tcBorders>
            <w:shd w:val="clear" w:color="auto" w:fill="4B0082"/>
            <w:tcMar>
              <w:top w:w="100" w:type="dxa"/>
              <w:left w:w="140" w:type="dxa"/>
              <w:bottom w:w="100" w:type="dxa"/>
              <w:right w:w="140" w:type="dxa"/>
            </w:tcMar>
          </w:tcPr>
          <w:p w14:paraId="6810E34D" w14:textId="77777777" w:rsidR="00C17EE8" w:rsidRDefault="004F4AD0">
            <w:pPr>
              <w:spacing w:line="260" w:lineRule="auto"/>
            </w:pPr>
            <w:r>
              <w:rPr>
                <w:b/>
                <w:bCs/>
                <w:color w:val="FFFFFF"/>
                <w:sz w:val="18"/>
                <w:szCs w:val="18"/>
              </w:rPr>
              <w:t>Minimalna zmiana</w:t>
            </w:r>
          </w:p>
        </w:tc>
      </w:tr>
      <w:tr w:rsidR="00C17EE8" w14:paraId="09F10906"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CC101A8" w14:textId="77777777" w:rsidR="00C17EE8" w:rsidRDefault="004F4AD0">
            <w:pPr>
              <w:spacing w:line="260" w:lineRule="auto"/>
            </w:pPr>
            <w:r>
              <w:rPr>
                <w:b/>
                <w:bCs/>
                <w:sz w:val="17"/>
                <w:szCs w:val="17"/>
              </w:rPr>
              <w:t>art. 31a ust. 2</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36958C8" w14:textId="77777777" w:rsidR="00C17EE8" w:rsidRDefault="004F4AD0">
            <w:pPr>
              <w:spacing w:line="260" w:lineRule="auto"/>
            </w:pPr>
            <w:r>
              <w:rPr>
                <w:sz w:val="17"/>
                <w:szCs w:val="17"/>
              </w:rPr>
              <w:t>14-dniowy termin zbyt krótki dla MŚP bez stałego zaplecza prawnego.</w:t>
            </w:r>
          </w:p>
        </w:tc>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B7FC6D2" w14:textId="77777777" w:rsidR="00C17EE8" w:rsidRDefault="004F4AD0">
            <w:pPr>
              <w:spacing w:line="260" w:lineRule="auto"/>
            </w:pPr>
            <w:r>
              <w:rPr>
                <w:sz w:val="17"/>
                <w:szCs w:val="17"/>
              </w:rPr>
              <w:t>Wydłużenie do 30 dni; alternatywnie — termin liczony od dnia wskazania jednostki naukowej.</w:t>
            </w:r>
          </w:p>
        </w:tc>
        <w:tc>
          <w:tcPr>
            <w:tcW w:w="2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FFB6226" w14:textId="77777777" w:rsidR="00C17EE8" w:rsidRDefault="004F4AD0">
            <w:pPr>
              <w:spacing w:line="260" w:lineRule="auto"/>
            </w:pPr>
            <w:r>
              <w:rPr>
                <w:sz w:val="17"/>
                <w:szCs w:val="17"/>
              </w:rPr>
              <w:t>Zmiana terminu z 14 na 30 dni.</w:t>
            </w:r>
          </w:p>
        </w:tc>
      </w:tr>
      <w:tr w:rsidR="00C17EE8" w14:paraId="0A186E43" w14:textId="77777777">
        <w:tc>
          <w:tcPr>
            <w:tcW w:w="15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7EF3EE03" w14:textId="77777777" w:rsidR="00C17EE8" w:rsidRDefault="004F4AD0">
            <w:pPr>
              <w:spacing w:line="260" w:lineRule="auto"/>
            </w:pPr>
            <w:r>
              <w:rPr>
                <w:b/>
                <w:bCs/>
                <w:sz w:val="17"/>
                <w:szCs w:val="17"/>
              </w:rPr>
              <w:t>art. 31a ust. 6</w:t>
            </w:r>
          </w:p>
        </w:tc>
        <w:tc>
          <w:tcPr>
            <w:tcW w:w="24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6EFEEA30" w14:textId="77777777" w:rsidR="00C17EE8" w:rsidRDefault="004F4AD0">
            <w:pPr>
              <w:spacing w:line="260" w:lineRule="auto"/>
            </w:pPr>
            <w:r>
              <w:rPr>
                <w:sz w:val="17"/>
                <w:szCs w:val="17"/>
              </w:rPr>
              <w:t>Automatyczne domniemanie niezgodności — odwrócenie ciężaru dowodu.</w:t>
            </w:r>
          </w:p>
        </w:tc>
        <w:tc>
          <w:tcPr>
            <w:tcW w:w="29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446B3271" w14:textId="77777777" w:rsidR="00C17EE8" w:rsidRDefault="004F4AD0">
            <w:pPr>
              <w:spacing w:line="260" w:lineRule="auto"/>
            </w:pPr>
            <w:r>
              <w:rPr>
                <w:sz w:val="17"/>
                <w:szCs w:val="17"/>
              </w:rPr>
              <w:t>Zastąpienie wezwaniem do uzupełnienia z pouczeniem o skutkach + decyzją administracyjną z uzasadnieniem i pouczeniem o środkach zaskarżenia.</w:t>
            </w:r>
          </w:p>
        </w:tc>
        <w:tc>
          <w:tcPr>
            <w:tcW w:w="25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5F7AEE64" w14:textId="77777777" w:rsidR="00C17EE8" w:rsidRDefault="004F4AD0">
            <w:pPr>
              <w:spacing w:line="260" w:lineRule="auto"/>
            </w:pPr>
            <w:r>
              <w:rPr>
                <w:sz w:val="17"/>
                <w:szCs w:val="17"/>
              </w:rPr>
              <w:t>Dodatkowy termin 14 dni + decyzja zaskarżalna do WSA.</w:t>
            </w:r>
          </w:p>
        </w:tc>
      </w:tr>
      <w:tr w:rsidR="00C17EE8" w14:paraId="6BC4F73E"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64AC473" w14:textId="77777777" w:rsidR="00C17EE8" w:rsidRDefault="004F4AD0">
            <w:pPr>
              <w:spacing w:line="260" w:lineRule="auto"/>
            </w:pPr>
            <w:r>
              <w:rPr>
                <w:b/>
                <w:bCs/>
                <w:sz w:val="17"/>
                <w:szCs w:val="17"/>
              </w:rPr>
              <w:t>art. 31a ust. 7</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D5F4DE3" w14:textId="77777777" w:rsidR="00C17EE8" w:rsidRDefault="004F4AD0">
            <w:pPr>
              <w:spacing w:line="260" w:lineRule="auto"/>
            </w:pPr>
            <w:r>
              <w:rPr>
                <w:sz w:val="17"/>
                <w:szCs w:val="17"/>
              </w:rPr>
              <w:t>Czasowe zamrożenie wariantu produktowego bez decyzji.</w:t>
            </w:r>
          </w:p>
        </w:tc>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C3BDCB3" w14:textId="77777777" w:rsidR="00C17EE8" w:rsidRDefault="004F4AD0">
            <w:pPr>
              <w:spacing w:line="260" w:lineRule="auto"/>
            </w:pPr>
            <w:r>
              <w:rPr>
                <w:sz w:val="17"/>
                <w:szCs w:val="17"/>
              </w:rPr>
              <w:t>Wprowadzenie wyraźnego limitu czasowego (12 miesięcy łącznie) oraz mechanizmu uchylenia w razie zmiany składu lub uzyskania opinii.</w:t>
            </w:r>
          </w:p>
        </w:tc>
        <w:tc>
          <w:tcPr>
            <w:tcW w:w="2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F8E93B3" w14:textId="77777777" w:rsidR="00C17EE8" w:rsidRDefault="004F4AD0">
            <w:pPr>
              <w:spacing w:line="260" w:lineRule="auto"/>
            </w:pPr>
            <w:r>
              <w:rPr>
                <w:sz w:val="17"/>
                <w:szCs w:val="17"/>
              </w:rPr>
              <w:t>Limit 12 miesięcy + tryb uchylenia.</w:t>
            </w:r>
          </w:p>
        </w:tc>
      </w:tr>
      <w:tr w:rsidR="00C17EE8" w14:paraId="21F8F529" w14:textId="77777777">
        <w:tc>
          <w:tcPr>
            <w:tcW w:w="15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7E4DEEB8" w14:textId="77777777" w:rsidR="00C17EE8" w:rsidRDefault="004F4AD0">
            <w:pPr>
              <w:spacing w:line="260" w:lineRule="auto"/>
            </w:pPr>
            <w:r>
              <w:rPr>
                <w:b/>
                <w:bCs/>
                <w:sz w:val="17"/>
                <w:szCs w:val="17"/>
              </w:rPr>
              <w:t>art. 31a ust. 8</w:t>
            </w:r>
          </w:p>
        </w:tc>
        <w:tc>
          <w:tcPr>
            <w:tcW w:w="24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0ECC09F3" w14:textId="77777777" w:rsidR="00C17EE8" w:rsidRDefault="004F4AD0">
            <w:pPr>
              <w:spacing w:line="260" w:lineRule="auto"/>
            </w:pPr>
            <w:r>
              <w:rPr>
                <w:sz w:val="17"/>
                <w:szCs w:val="17"/>
              </w:rPr>
              <w:t>Bezterminowy zakaz ponownego powiadomienia po rezygnacji.</w:t>
            </w:r>
          </w:p>
        </w:tc>
        <w:tc>
          <w:tcPr>
            <w:tcW w:w="29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44A6618E" w14:textId="77777777" w:rsidR="00C17EE8" w:rsidRDefault="004F4AD0">
            <w:pPr>
              <w:spacing w:line="260" w:lineRule="auto"/>
            </w:pPr>
            <w:r>
              <w:rPr>
                <w:sz w:val="17"/>
                <w:szCs w:val="17"/>
              </w:rPr>
              <w:t>Usunięcie albo ograniczenie do 12 miesięcy, z możliwością uchylenia po zmianie okoliczności faktycznych, składu lub uzyskaniu opinii jednostki naukowej.</w:t>
            </w:r>
          </w:p>
        </w:tc>
        <w:tc>
          <w:tcPr>
            <w:tcW w:w="25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3DF959DB" w14:textId="77777777" w:rsidR="00C17EE8" w:rsidRDefault="004F4AD0">
            <w:pPr>
              <w:spacing w:line="260" w:lineRule="auto"/>
            </w:pPr>
            <w:r>
              <w:rPr>
                <w:sz w:val="17"/>
                <w:szCs w:val="17"/>
              </w:rPr>
              <w:t>Limit 12 miesięcy + przesłanki uchylenia.</w:t>
            </w:r>
          </w:p>
        </w:tc>
      </w:tr>
      <w:tr w:rsidR="00C17EE8" w14:paraId="6C950777"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6E1EE20" w14:textId="77777777" w:rsidR="00C17EE8" w:rsidRDefault="004F4AD0">
            <w:pPr>
              <w:spacing w:line="260" w:lineRule="auto"/>
            </w:pPr>
            <w:r>
              <w:rPr>
                <w:b/>
                <w:bCs/>
                <w:sz w:val="17"/>
                <w:szCs w:val="17"/>
              </w:rPr>
              <w:t>art. 30 ust. 1a</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4791F5D" w14:textId="77777777" w:rsidR="00C17EE8" w:rsidRDefault="004F4AD0">
            <w:pPr>
              <w:spacing w:line="260" w:lineRule="auto"/>
            </w:pPr>
            <w:r>
              <w:rPr>
                <w:sz w:val="17"/>
                <w:szCs w:val="17"/>
              </w:rPr>
              <w:t>Wyłączenie KPA bez alternatywnych gwarancji procesowych.</w:t>
            </w:r>
          </w:p>
        </w:tc>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5B4EF2E" w14:textId="77777777" w:rsidR="00C17EE8" w:rsidRDefault="004F4AD0">
            <w:pPr>
              <w:spacing w:line="260" w:lineRule="auto"/>
            </w:pPr>
            <w:r>
              <w:rPr>
                <w:sz w:val="17"/>
                <w:szCs w:val="17"/>
              </w:rPr>
              <w:t>Wprowadzenie minimalnych gwarancji — odpowiednie stosowanie wybranych przepisów KPA (art. 7, 8, 9, 10, 11, 77, 79a i 107).</w:t>
            </w:r>
          </w:p>
        </w:tc>
        <w:tc>
          <w:tcPr>
            <w:tcW w:w="2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9487A9E" w14:textId="77777777" w:rsidR="00C17EE8" w:rsidRDefault="004F4AD0">
            <w:pPr>
              <w:spacing w:line="260" w:lineRule="auto"/>
            </w:pPr>
            <w:r>
              <w:rPr>
                <w:sz w:val="17"/>
                <w:szCs w:val="17"/>
              </w:rPr>
              <w:t>Odpowiednie stosowanie wybranych przepisów KPA.</w:t>
            </w:r>
          </w:p>
        </w:tc>
      </w:tr>
      <w:tr w:rsidR="00C17EE8" w14:paraId="58EB6FF4" w14:textId="77777777">
        <w:tc>
          <w:tcPr>
            <w:tcW w:w="15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2C4C5B0A" w14:textId="77777777" w:rsidR="00C17EE8" w:rsidRDefault="004F4AD0">
            <w:pPr>
              <w:spacing w:line="260" w:lineRule="auto"/>
            </w:pPr>
            <w:r>
              <w:rPr>
                <w:b/>
                <w:bCs/>
                <w:sz w:val="17"/>
                <w:szCs w:val="17"/>
              </w:rPr>
              <w:t>art. 100/103</w:t>
            </w:r>
          </w:p>
        </w:tc>
        <w:tc>
          <w:tcPr>
            <w:tcW w:w="24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084D5D63" w14:textId="77777777" w:rsidR="00C17EE8" w:rsidRDefault="004F4AD0">
            <w:pPr>
              <w:spacing w:line="260" w:lineRule="auto"/>
            </w:pPr>
            <w:r>
              <w:rPr>
                <w:sz w:val="17"/>
                <w:szCs w:val="17"/>
              </w:rPr>
              <w:t>Brak twardych ustawowych gwarancji ochronnych dla MŚP, capu obrotowego, safe harbour, gradacji.</w:t>
            </w:r>
          </w:p>
        </w:tc>
        <w:tc>
          <w:tcPr>
            <w:tcW w:w="29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1B044EC6" w14:textId="77777777" w:rsidR="00C17EE8" w:rsidRDefault="004F4AD0">
            <w:pPr>
              <w:spacing w:line="260" w:lineRule="auto"/>
            </w:pPr>
            <w:r>
              <w:rPr>
                <w:sz w:val="17"/>
                <w:szCs w:val="17"/>
              </w:rPr>
              <w:t>Wprowadzenie capu obrotowego (np. 3% obrotu z roku poprzedzającego), klauzuli safe harbour dla pierwszych uchybień formalnych, gradacji w zależności od kategorii naruszenia.</w:t>
            </w:r>
          </w:p>
        </w:tc>
        <w:tc>
          <w:tcPr>
            <w:tcW w:w="25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0F4EB110" w14:textId="77777777" w:rsidR="00C17EE8" w:rsidRDefault="004F4AD0">
            <w:pPr>
              <w:spacing w:line="260" w:lineRule="auto"/>
            </w:pPr>
            <w:r>
              <w:rPr>
                <w:sz w:val="17"/>
                <w:szCs w:val="17"/>
              </w:rPr>
              <w:t>Cap obrotowy + safe harbour + gradacja sankcji.</w:t>
            </w:r>
          </w:p>
        </w:tc>
      </w:tr>
      <w:tr w:rsidR="00C17EE8" w14:paraId="5A3BB671"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B32C5DF" w14:textId="77777777" w:rsidR="00C17EE8" w:rsidRDefault="004F4AD0">
            <w:pPr>
              <w:spacing w:line="260" w:lineRule="auto"/>
            </w:pPr>
            <w:r>
              <w:rPr>
                <w:b/>
                <w:bCs/>
                <w:sz w:val="17"/>
                <w:szCs w:val="17"/>
              </w:rPr>
              <w:t>art. 8c ust. 5</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5DDDADF" w14:textId="77777777" w:rsidR="00C17EE8" w:rsidRDefault="004F4AD0">
            <w:pPr>
              <w:spacing w:line="260" w:lineRule="auto"/>
            </w:pPr>
            <w:r>
              <w:rPr>
                <w:sz w:val="17"/>
                <w:szCs w:val="17"/>
              </w:rPr>
              <w:t>Bardzo szeroki katalog danych w SEPIS bez wyraźnej retencji i rozdzielenia celów.</w:t>
            </w:r>
          </w:p>
        </w:tc>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B227533" w14:textId="77777777" w:rsidR="00C17EE8" w:rsidRDefault="004F4AD0">
            <w:pPr>
              <w:spacing w:line="260" w:lineRule="auto"/>
            </w:pPr>
            <w:r>
              <w:rPr>
                <w:sz w:val="17"/>
                <w:szCs w:val="17"/>
              </w:rPr>
              <w:t>Ograniczenie katalogu danych do niezbędnego dla nadzoru nad bezpieczeństwem żywności; odrębne retencje i podstawy prawne; uzupełnienie uzasadnienia o syntetyczne wyniki DPIA, w zakresie możliwym do ujawnienia bez naruszania bezpieczeństwa systemu.</w:t>
            </w:r>
          </w:p>
        </w:tc>
        <w:tc>
          <w:tcPr>
            <w:tcW w:w="2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3F71DB7" w14:textId="77777777" w:rsidR="00C17EE8" w:rsidRDefault="004F4AD0">
            <w:pPr>
              <w:spacing w:line="260" w:lineRule="auto"/>
            </w:pPr>
            <w:r>
              <w:rPr>
                <w:sz w:val="17"/>
                <w:szCs w:val="17"/>
              </w:rPr>
              <w:t>Doprecyzowanie + retencja + syntetyczne wyniki DPIA.</w:t>
            </w:r>
          </w:p>
        </w:tc>
      </w:tr>
      <w:tr w:rsidR="00C17EE8" w14:paraId="2A1856FB" w14:textId="77777777">
        <w:tc>
          <w:tcPr>
            <w:tcW w:w="15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3FD2F966" w14:textId="77777777" w:rsidR="00C17EE8" w:rsidRDefault="004F4AD0">
            <w:pPr>
              <w:spacing w:line="260" w:lineRule="auto"/>
            </w:pPr>
            <w:r>
              <w:rPr>
                <w:b/>
                <w:bCs/>
                <w:sz w:val="17"/>
                <w:szCs w:val="17"/>
              </w:rPr>
              <w:t>art. 31a ust. 7–8</w:t>
            </w:r>
          </w:p>
        </w:tc>
        <w:tc>
          <w:tcPr>
            <w:tcW w:w="24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1BB68A8F" w14:textId="77777777" w:rsidR="00C17EE8" w:rsidRDefault="004F4AD0">
            <w:pPr>
              <w:spacing w:line="260" w:lineRule="auto"/>
            </w:pPr>
            <w:r>
              <w:rPr>
                <w:sz w:val="17"/>
                <w:szCs w:val="17"/>
              </w:rPr>
              <w:t>Możliwa kwalifikacja jako „inne wymaganie” w trybie dyrektywy 2015/1535.</w:t>
            </w:r>
          </w:p>
        </w:tc>
        <w:tc>
          <w:tcPr>
            <w:tcW w:w="290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44EE54E2" w14:textId="77777777" w:rsidR="00C17EE8" w:rsidRDefault="004F4AD0">
            <w:pPr>
              <w:spacing w:line="260" w:lineRule="auto"/>
            </w:pPr>
            <w:r>
              <w:rPr>
                <w:sz w:val="17"/>
                <w:szCs w:val="17"/>
              </w:rPr>
              <w:t>Przeprowadzenie odrębnej analizy proceduralnej; w razie potrzeby — notyfikacja w bazie TRIS przed dalszym procedowaniem.</w:t>
            </w:r>
          </w:p>
        </w:tc>
        <w:tc>
          <w:tcPr>
            <w:tcW w:w="2560" w:type="dxa"/>
            <w:tcBorders>
              <w:top w:val="single" w:sz="4" w:space="0" w:color="D1D5DB"/>
              <w:left w:val="single" w:sz="4" w:space="0" w:color="D1D5DB"/>
              <w:bottom w:val="single" w:sz="4" w:space="0" w:color="D1D5DB"/>
              <w:right w:val="single" w:sz="4" w:space="0" w:color="D1D5DB"/>
            </w:tcBorders>
            <w:shd w:val="clear" w:color="auto" w:fill="F5F3F8"/>
            <w:tcMar>
              <w:top w:w="100" w:type="dxa"/>
              <w:left w:w="140" w:type="dxa"/>
              <w:bottom w:w="100" w:type="dxa"/>
              <w:right w:w="140" w:type="dxa"/>
            </w:tcMar>
          </w:tcPr>
          <w:p w14:paraId="063B4024" w14:textId="77777777" w:rsidR="00C17EE8" w:rsidRDefault="004F4AD0">
            <w:pPr>
              <w:spacing w:line="260" w:lineRule="auto"/>
            </w:pPr>
            <w:r>
              <w:rPr>
                <w:sz w:val="17"/>
                <w:szCs w:val="17"/>
              </w:rPr>
              <w:t>Analiza proceduralna w uzasadnieniu.</w:t>
            </w:r>
          </w:p>
        </w:tc>
      </w:tr>
      <w:tr w:rsidR="00C17EE8" w14:paraId="088133BB"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2CDB3FA" w14:textId="77777777" w:rsidR="00C17EE8" w:rsidRDefault="004F4AD0">
            <w:pPr>
              <w:spacing w:line="260" w:lineRule="auto"/>
            </w:pPr>
            <w:r>
              <w:rPr>
                <w:b/>
                <w:bCs/>
                <w:sz w:val="17"/>
                <w:szCs w:val="17"/>
              </w:rPr>
              <w:t>Przepisy przejściowe (art. 3)</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87E3AAA" w14:textId="77777777" w:rsidR="00C17EE8" w:rsidRDefault="004F4AD0">
            <w:pPr>
              <w:spacing w:line="260" w:lineRule="auto"/>
            </w:pPr>
            <w:r>
              <w:rPr>
                <w:sz w:val="17"/>
                <w:szCs w:val="17"/>
              </w:rPr>
              <w:t>Retrospektywne zastosowanie nowych przepisów do spraw w toku.</w:t>
            </w:r>
          </w:p>
        </w:tc>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D9D521F" w14:textId="77777777" w:rsidR="00C17EE8" w:rsidRDefault="004F4AD0">
            <w:pPr>
              <w:spacing w:line="260" w:lineRule="auto"/>
            </w:pPr>
            <w:r>
              <w:rPr>
                <w:sz w:val="17"/>
                <w:szCs w:val="17"/>
              </w:rPr>
              <w:t>Wprowadzenie odrębnych przepisów przejściowych chroniących interesy w toku; wydłużenie vacatio legis dla art. 31a do 12 miesięcy.</w:t>
            </w:r>
          </w:p>
        </w:tc>
        <w:tc>
          <w:tcPr>
            <w:tcW w:w="2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76428E1" w14:textId="77777777" w:rsidR="00C17EE8" w:rsidRDefault="004F4AD0">
            <w:pPr>
              <w:spacing w:line="260" w:lineRule="auto"/>
            </w:pPr>
            <w:r>
              <w:rPr>
                <w:sz w:val="17"/>
                <w:szCs w:val="17"/>
              </w:rPr>
              <w:t>Przepisy przejściowe + dłuższe vacatio legis.</w:t>
            </w:r>
          </w:p>
        </w:tc>
      </w:tr>
      <w:tr w:rsidR="00C17EE8" w14:paraId="35AA895E"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FAA474D" w14:textId="77777777" w:rsidR="00C17EE8" w:rsidRDefault="004F4AD0">
            <w:pPr>
              <w:spacing w:line="260" w:lineRule="auto"/>
            </w:pPr>
            <w:r>
              <w:rPr>
                <w:b/>
                <w:bCs/>
                <w:sz w:val="17"/>
                <w:szCs w:val="17"/>
              </w:rPr>
              <w:t>art. 65 ust. 3 pkt 4 ustawy o PIS</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27E41EC" w14:textId="77777777" w:rsidR="00C17EE8" w:rsidRDefault="004F4AD0">
            <w:pPr>
              <w:spacing w:line="260" w:lineRule="auto"/>
            </w:pPr>
            <w:r>
              <w:rPr>
                <w:sz w:val="17"/>
                <w:szCs w:val="17"/>
              </w:rPr>
              <w:t>Automatyczne wykreślenie z rejestru za brak corocznej aktualizacji danych.</w:t>
            </w:r>
          </w:p>
        </w:tc>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0B3B241" w14:textId="77777777" w:rsidR="00C17EE8" w:rsidRDefault="004F4AD0">
            <w:pPr>
              <w:spacing w:line="260" w:lineRule="auto"/>
            </w:pPr>
            <w:r>
              <w:rPr>
                <w:sz w:val="17"/>
                <w:szCs w:val="17"/>
              </w:rPr>
              <w:t>Wprowadzenie wezwania do aktualizacji w dodatkowym terminie oraz jasnego trybu kontroli.</w:t>
            </w:r>
          </w:p>
        </w:tc>
        <w:tc>
          <w:tcPr>
            <w:tcW w:w="2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8CA584E" w14:textId="77777777" w:rsidR="00C17EE8" w:rsidRDefault="004F4AD0">
            <w:pPr>
              <w:spacing w:line="260" w:lineRule="auto"/>
            </w:pPr>
            <w:r>
              <w:rPr>
                <w:sz w:val="17"/>
                <w:szCs w:val="17"/>
              </w:rPr>
              <w:t>Wezwanie + dodatkowy termin + uzasadnienie.</w:t>
            </w:r>
          </w:p>
        </w:tc>
      </w:tr>
    </w:tbl>
    <w:p w14:paraId="6A64BD9A" w14:textId="77777777" w:rsidR="00C17EE8" w:rsidRDefault="004F4AD0">
      <w:pPr>
        <w:pStyle w:val="Nagwek1"/>
      </w:pPr>
      <w:r>
        <w:t>11. Propozycje brzmień (gotowe formuły)</w:t>
      </w:r>
    </w:p>
    <w:p w14:paraId="35CAB0B6" w14:textId="77777777" w:rsidR="00C17EE8" w:rsidRDefault="004F4AD0">
      <w:pPr>
        <w:spacing w:after="120" w:line="300" w:lineRule="auto"/>
        <w:jc w:val="both"/>
      </w:pPr>
      <w:r>
        <w:t>Poniższe propozycje stanowią konkretne brzmienia możliwe do bezpośredniego uwzględnienia w projekcie ustawy. Realizują rekomendacje przedstawione w tabeli rekomendacji powyżej, w sposób minimalizujący zmiany strukturalne projektu.</w:t>
      </w:r>
    </w:p>
    <w:p w14:paraId="3BEA01F2" w14:textId="77777777" w:rsidR="00C17EE8" w:rsidRDefault="004F4AD0">
      <w:pPr>
        <w:pStyle w:val="Nagwek3"/>
      </w:pPr>
      <w:r>
        <w:t>11.1. Art. 31a ust. 6 — zamiast automatycznego domniemania</w:t>
      </w:r>
    </w:p>
    <w:p w14:paraId="1B5973DD" w14:textId="77777777" w:rsidR="00C17EE8" w:rsidRDefault="004F4AD0">
      <w:pPr>
        <w:pBdr>
          <w:left w:val="single" w:sz="18" w:space="8" w:color="4B0082"/>
        </w:pBdr>
        <w:spacing w:before="100" w:after="120" w:line="280" w:lineRule="auto"/>
        <w:ind w:left="360" w:right="360"/>
        <w:jc w:val="both"/>
      </w:pPr>
      <w:r>
        <w:rPr>
          <w:i/>
          <w:iCs/>
          <w:sz w:val="21"/>
          <w:szCs w:val="21"/>
        </w:rPr>
        <w:t>„W przypadku niewykonania obowiązku, o którym mowa w ust. 2, Główny Inspektor Sanitarny wzywa podmiot do jego wykonania w dodatkowym terminie 14 dni, pouczając o skutkach jego niewykonania. Po bezskutecznym upływie tego terminu Główny Inspektor Sanitarny wydaje decyzję administracyjną o zakończeniu postępowania ze skutkiem dla wprowadzania do obrotu, zawierającą uzasadnienie faktyczne i prawne oraz pouczenie o środkach zaskarżenia.”</w:t>
      </w:r>
    </w:p>
    <w:p w14:paraId="51BE9BAF" w14:textId="77777777" w:rsidR="00C17EE8" w:rsidRDefault="004F4AD0">
      <w:pPr>
        <w:pStyle w:val="Nagwek3"/>
      </w:pPr>
      <w:r>
        <w:t>11.2. Art. 31a ust. 7 — limit czasowy + tryb uchylenia</w:t>
      </w:r>
    </w:p>
    <w:p w14:paraId="18675D79" w14:textId="77777777" w:rsidR="00C17EE8" w:rsidRDefault="004F4AD0">
      <w:pPr>
        <w:pBdr>
          <w:left w:val="single" w:sz="18" w:space="8" w:color="4B0082"/>
        </w:pBdr>
        <w:spacing w:before="100" w:after="120" w:line="280" w:lineRule="auto"/>
        <w:ind w:left="360" w:right="360"/>
        <w:jc w:val="both"/>
      </w:pPr>
      <w:r>
        <w:rPr>
          <w:i/>
          <w:iCs/>
          <w:sz w:val="21"/>
          <w:szCs w:val="21"/>
        </w:rPr>
        <w:t>„Zakaz, o którym mowa w ust. 7, wygasa z chwilą przedłożenia opinii, o której mowa w ust. 1, albo po upływie 12 miesięcy od dnia doręczenia wniosku o wydanie opinii jednostce naukowej albo Prezesowi Urzędu, w zależności od tego, które ze zdarzeń nastąpi wcześniej, chyba że podmiot nie wykonał obowiązku, o którym mowa w ust. 2. Zakaz nie ma zastosowania, jeżeli podmiot wykaże zmianę składu jakościowo-ilościowego produktu.”</w:t>
      </w:r>
    </w:p>
    <w:p w14:paraId="507996B7" w14:textId="77777777" w:rsidR="00C17EE8" w:rsidRDefault="004F4AD0">
      <w:pPr>
        <w:pStyle w:val="Nagwek3"/>
      </w:pPr>
      <w:r>
        <w:t>11.3. Art. 31a ust. 8 — ograniczenie zakazu</w:t>
      </w:r>
    </w:p>
    <w:p w14:paraId="6397C751" w14:textId="77777777" w:rsidR="00C17EE8" w:rsidRDefault="004F4AD0">
      <w:pPr>
        <w:pBdr>
          <w:left w:val="single" w:sz="18" w:space="8" w:color="4B0082"/>
        </w:pBdr>
        <w:spacing w:before="100" w:after="120" w:line="280" w:lineRule="auto"/>
        <w:ind w:left="360" w:right="360"/>
        <w:jc w:val="both"/>
      </w:pPr>
      <w:r>
        <w:rPr>
          <w:i/>
          <w:iCs/>
          <w:sz w:val="21"/>
          <w:szCs w:val="21"/>
        </w:rPr>
        <w:t>„Zakaz, o którym mowa w ust. 8, nie ma zastosowania, jeżeli podmiot wykaże: (1) zmianę okoliczności faktycznych, w tym zmianę składu jakościowo-ilościowego produktu, (2) uzyskanie opinii jednostki naukowej lub Prezesa Urzędu, (3) upływ 12 miesięcy od dnia poinformowania Głównego Inspektora Sanitarnego o rezygnacji.”</w:t>
      </w:r>
    </w:p>
    <w:p w14:paraId="50C64A4A" w14:textId="77777777" w:rsidR="00C17EE8" w:rsidRDefault="004F4AD0">
      <w:pPr>
        <w:pStyle w:val="Nagwek3"/>
      </w:pPr>
      <w:r>
        <w:t>11.4. Art. 30 ust. 1a — minimalne gwarancje procesowe</w:t>
      </w:r>
    </w:p>
    <w:p w14:paraId="621CC6E2" w14:textId="77777777" w:rsidR="00C17EE8" w:rsidRDefault="004F4AD0">
      <w:pPr>
        <w:pBdr>
          <w:left w:val="single" w:sz="18" w:space="8" w:color="4B0082"/>
        </w:pBdr>
        <w:spacing w:before="100" w:after="120" w:line="280" w:lineRule="auto"/>
        <w:ind w:left="360" w:right="360"/>
        <w:jc w:val="both"/>
      </w:pPr>
      <w:r>
        <w:rPr>
          <w:i/>
          <w:iCs/>
          <w:sz w:val="21"/>
          <w:szCs w:val="21"/>
        </w:rPr>
        <w:t>„Do postępowań, o których mowa w ust. 1, stosuje się odpowiednio przepisy art. 7, art. 8, art. 9, art. 10, art. 11, art. 12, art. 14, art. 77, art. 79a oraz art. 107 Kodeksu postępowania administracyjnego.”</w:t>
      </w:r>
    </w:p>
    <w:p w14:paraId="0506A951" w14:textId="77777777" w:rsidR="00C17EE8" w:rsidRDefault="004F4AD0">
      <w:pPr>
        <w:pStyle w:val="Nagwek3"/>
      </w:pPr>
      <w:r>
        <w:t>11.5. Art. 103 — gradacja kar i ochrona MŚP</w:t>
      </w:r>
    </w:p>
    <w:p w14:paraId="6B9A3A67" w14:textId="0BB79ADA" w:rsidR="00C17EE8" w:rsidRDefault="004F4AD0">
      <w:pPr>
        <w:pBdr>
          <w:left w:val="single" w:sz="18" w:space="8" w:color="4B0082"/>
        </w:pBdr>
        <w:spacing w:before="100" w:after="120" w:line="280" w:lineRule="auto"/>
        <w:ind w:left="360" w:right="360"/>
        <w:jc w:val="both"/>
      </w:pPr>
      <w:r>
        <w:rPr>
          <w:i/>
          <w:iCs/>
          <w:sz w:val="21"/>
          <w:szCs w:val="21"/>
        </w:rPr>
        <w:t>„Wysokość kary pieniężnej nakładanej na mikroprzedsiębiorcę, małego i średniego przedsiębiorcę nie może przekroczyć 3% jego rocznego obrotu  osiągniętego w roku obrotowym poprzedzającym rok wymierzenia kary. Przy pierwszym stwierdzeniu naruszenia przepisów o charakterze formalnym organ, zamiast wymierzać karę pieniężną, może udzielić ostrzeżenia ze zobowiązaniem do usunięcia uchybienia w wyznaczonym terminie.”</w:t>
      </w:r>
    </w:p>
    <w:p w14:paraId="16BF612E" w14:textId="77777777" w:rsidR="00C17EE8" w:rsidRDefault="004F4AD0">
      <w:pPr>
        <w:pStyle w:val="Nagwek3"/>
      </w:pPr>
      <w:r>
        <w:t>11.6. Przepis przejściowy (alternatywa do art. 3 projektu)</w:t>
      </w:r>
    </w:p>
    <w:p w14:paraId="46FFDA6E" w14:textId="77777777" w:rsidR="00C17EE8" w:rsidRDefault="004F4AD0">
      <w:pPr>
        <w:pBdr>
          <w:left w:val="single" w:sz="18" w:space="8" w:color="4B0082"/>
        </w:pBdr>
        <w:spacing w:before="100" w:after="120" w:line="280" w:lineRule="auto"/>
        <w:ind w:left="360" w:right="360"/>
        <w:jc w:val="both"/>
      </w:pPr>
      <w:r>
        <w:rPr>
          <w:i/>
          <w:iCs/>
          <w:sz w:val="21"/>
          <w:szCs w:val="21"/>
        </w:rPr>
        <w:t>„Do powiadomień, o których mowa w art. 29 ust. 1 ustawy zmienianej w art. 1, złożonych przed dniem wejścia w życie niniejszej ustawy, stosuje się przepisy ustawy zmienianej w art. 1 w brzmieniu dotychczasowym, chyba że podmiot, o którym mowa w art. 29 ust. 1, w terminie 6 miesięcy od dnia wejścia w życie niniejszej ustawy, oświadczy o stosowaniu przepisów w brzmieniu nadanym niniejszą ustawą.”</w:t>
      </w:r>
    </w:p>
    <w:p w14:paraId="606B9B0E" w14:textId="77777777" w:rsidR="00C17EE8" w:rsidRDefault="004F4AD0">
      <w:pPr>
        <w:pStyle w:val="Nagwek1"/>
      </w:pPr>
      <w:r>
        <w:t>12. Wnioski i rekomendacje końcowe</w:t>
      </w:r>
    </w:p>
    <w:p w14:paraId="1B2853E9" w14:textId="77777777" w:rsidR="00C17EE8" w:rsidRDefault="004F4AD0">
      <w:pPr>
        <w:spacing w:after="120" w:line="300" w:lineRule="auto"/>
        <w:jc w:val="both"/>
      </w:pPr>
      <w:r>
        <w:t>Projekt UD 247 w obecnym kształcie zawiera rozwiązania, które:</w:t>
      </w:r>
    </w:p>
    <w:p w14:paraId="7527D3BA" w14:textId="77777777" w:rsidR="00C17EE8" w:rsidRDefault="004F4AD0">
      <w:pPr>
        <w:pStyle w:val="Akapitzlist"/>
        <w:numPr>
          <w:ilvl w:val="0"/>
          <w:numId w:val="2"/>
        </w:numPr>
        <w:spacing w:after="80" w:line="280" w:lineRule="auto"/>
        <w:jc w:val="both"/>
      </w:pPr>
      <w:r>
        <w:t>w sposób nieproporcjonalny ograniczają swobodę działalności gospodarczej (art. 22 Konstytucji RP);</w:t>
      </w:r>
    </w:p>
    <w:p w14:paraId="13F28EB8" w14:textId="77777777" w:rsidR="00C17EE8" w:rsidRDefault="004F4AD0">
      <w:pPr>
        <w:pStyle w:val="Akapitzlist"/>
        <w:numPr>
          <w:ilvl w:val="0"/>
          <w:numId w:val="2"/>
        </w:numPr>
        <w:spacing w:after="80" w:line="280" w:lineRule="auto"/>
        <w:jc w:val="both"/>
      </w:pPr>
      <w:r>
        <w:t>tworzą niepewność prawną poprzez wyłączenie KPA bez wprowadzenia alternatywnych gwarancji procesowych — wbrew utrwalonej linii NSA;</w:t>
      </w:r>
    </w:p>
    <w:p w14:paraId="5B59DDF7" w14:textId="77777777" w:rsidR="00C17EE8" w:rsidRDefault="004F4AD0">
      <w:pPr>
        <w:pStyle w:val="Akapitzlist"/>
        <w:numPr>
          <w:ilvl w:val="0"/>
          <w:numId w:val="2"/>
        </w:numPr>
        <w:spacing w:after="80" w:line="280" w:lineRule="auto"/>
        <w:jc w:val="both"/>
      </w:pPr>
      <w:r>
        <w:t>wykraczają poza standardy unijne w zakresie wzajemnego uznawania towarów (rozporządzenie 2019/515) oraz monitorowania suplementów diety (art. 10 dyrektywy 2002/46/WE);</w:t>
      </w:r>
    </w:p>
    <w:p w14:paraId="21A5449E" w14:textId="77777777" w:rsidR="00C17EE8" w:rsidRDefault="004F4AD0">
      <w:pPr>
        <w:pStyle w:val="Akapitzlist"/>
        <w:numPr>
          <w:ilvl w:val="0"/>
          <w:numId w:val="2"/>
        </w:numPr>
        <w:spacing w:after="80" w:line="280" w:lineRule="auto"/>
        <w:jc w:val="both"/>
      </w:pPr>
      <w:r>
        <w:t>mogą wymagać notyfikacji w trybie dyrektywy 2015/1535/UE — co projektodawca powinien przeanalizować przed dalszym procedowaniem;</w:t>
      </w:r>
    </w:p>
    <w:p w14:paraId="5C462CDA" w14:textId="77777777" w:rsidR="00C17EE8" w:rsidRDefault="004F4AD0">
      <w:pPr>
        <w:pStyle w:val="Akapitzlist"/>
        <w:numPr>
          <w:ilvl w:val="0"/>
          <w:numId w:val="2"/>
        </w:numPr>
        <w:spacing w:after="80" w:line="280" w:lineRule="auto"/>
        <w:jc w:val="both"/>
      </w:pPr>
      <w:r>
        <w:t>podnoszą maksymalny limit kar pieniężnych bez wprowadzenia twardych ustawowych gwarancji ochronnych dla MŚP, gradacji sankcji i klauzul safe harbour;</w:t>
      </w:r>
    </w:p>
    <w:p w14:paraId="0B337DAB" w14:textId="77777777" w:rsidR="00C17EE8" w:rsidRDefault="004F4AD0">
      <w:pPr>
        <w:pStyle w:val="Akapitzlist"/>
        <w:numPr>
          <w:ilvl w:val="0"/>
          <w:numId w:val="2"/>
        </w:numPr>
        <w:spacing w:after="80" w:line="280" w:lineRule="auto"/>
        <w:jc w:val="both"/>
      </w:pPr>
      <w:r>
        <w:t>wprowadzają system SEPIS o bardzo szerokim zakresie danych (w tym danych szczególnych kategorii), bez przedstawienia w uzasadnieniu syntetycznych wyników DPIA oraz bez precyzyjnych reguł retencji i minimalizacji;</w:t>
      </w:r>
    </w:p>
    <w:p w14:paraId="5168ADC3" w14:textId="77777777" w:rsidR="00C17EE8" w:rsidRDefault="004F4AD0">
      <w:pPr>
        <w:pStyle w:val="Akapitzlist"/>
        <w:numPr>
          <w:ilvl w:val="0"/>
          <w:numId w:val="1"/>
        </w:numPr>
        <w:spacing w:after="100" w:line="280" w:lineRule="auto"/>
        <w:jc w:val="both"/>
      </w:pPr>
      <w:r>
        <w:t>poszerzają katalog automatycznych sankcji bez gwarancji procesowych — projektowany art. 65 ust. 3 pkt 4 ustawy o PIS przewiduje wykreślenie z rejestru za brak corocznej aktualizacji urządzeń dystrybucyjnych, dopełniając wzór mechanizmów uruchamiających dotkliwe skutki na podstawie samego uchybienia formalnego.</w:t>
      </w:r>
    </w:p>
    <w:p w14:paraId="37DEE4DC" w14:textId="77777777" w:rsidR="00C17EE8" w:rsidRDefault="00C17EE8">
      <w:pPr>
        <w:spacing w:after="120"/>
      </w:pPr>
    </w:p>
    <w:p w14:paraId="7CFEAFA6" w14:textId="77777777" w:rsidR="00C17EE8" w:rsidRDefault="004F4AD0">
      <w:pPr>
        <w:spacing w:after="120" w:line="300" w:lineRule="auto"/>
        <w:jc w:val="both"/>
      </w:pPr>
      <w:r>
        <w:t>Projekt może osiągnąć swój cel bez wprowadzania automatycznych blokad i bez osłabiania gwarancji proceduralnych. Wystarczy zachować prostą zasadę: jeżeli organ chce wywołać istotny skutek dla produktu albo przedsiębiorcy, powinien działać w trybie pozwalającym na uzasadnienie, wypowiedzenie się strony i kontrolę sądową.</w:t>
      </w:r>
    </w:p>
    <w:p w14:paraId="51A56A71" w14:textId="77777777" w:rsidR="00C17EE8" w:rsidRDefault="004F4AD0">
      <w:pPr>
        <w:pStyle w:val="Nagwek3"/>
      </w:pPr>
      <w:r>
        <w:t>Najważniejsze rekomendacje</w:t>
      </w:r>
    </w:p>
    <w:p w14:paraId="51F1438C" w14:textId="77777777" w:rsidR="00C17EE8" w:rsidRDefault="004F4AD0">
      <w:pPr>
        <w:pStyle w:val="Akapitzlist"/>
        <w:spacing w:after="80" w:line="280" w:lineRule="auto"/>
        <w:jc w:val="both"/>
      </w:pPr>
      <w:r>
        <w:t>1. Zastąpić automatyczne domniemanie z art. 31a ust. 6 wezwaniem do uzupełnienia + decyzją administracyjną z uzasadnieniem i pouczeniem o środkach zaskarżenia (linia C-387/99, C-319/05, C-672/15, C-211/03).</w:t>
      </w:r>
    </w:p>
    <w:p w14:paraId="2FB92B2D" w14:textId="77777777" w:rsidR="00C17EE8" w:rsidRDefault="004F4AD0">
      <w:pPr>
        <w:pStyle w:val="Akapitzlist"/>
        <w:spacing w:after="80" w:line="280" w:lineRule="auto"/>
        <w:jc w:val="both"/>
      </w:pPr>
      <w:r>
        <w:t>2. Wprowadzić limit czasowy do art. 31a ust. 7 oraz mechanizm uchylenia.</w:t>
      </w:r>
    </w:p>
    <w:p w14:paraId="6DBA249A" w14:textId="77777777" w:rsidR="00C17EE8" w:rsidRDefault="004F4AD0">
      <w:pPr>
        <w:pStyle w:val="Akapitzlist"/>
        <w:spacing w:after="80" w:line="280" w:lineRule="auto"/>
        <w:jc w:val="both"/>
      </w:pPr>
      <w:r>
        <w:t>3. Złagodzić lub usunąć art. 31a ust. 8 — rezygnacja nie powinna tworzyć trwałego zakazu ponownego zgłoszenia.</w:t>
      </w:r>
    </w:p>
    <w:p w14:paraId="191B1E2F" w14:textId="77777777" w:rsidR="00C17EE8" w:rsidRDefault="004F4AD0">
      <w:pPr>
        <w:pStyle w:val="Akapitzlist"/>
        <w:spacing w:after="80" w:line="280" w:lineRule="auto"/>
        <w:jc w:val="both"/>
      </w:pPr>
      <w:r>
        <w:t>4. Wprowadzić twarde gwarancje dla MŚP w zakresie kar pieniężnych — cap obrotowy, safe harbour dla pierwszych uchybień formalnych, gradacja sankcji.</w:t>
      </w:r>
    </w:p>
    <w:p w14:paraId="4061BCAD" w14:textId="77777777" w:rsidR="00C17EE8" w:rsidRDefault="004F4AD0">
      <w:pPr>
        <w:pStyle w:val="Akapitzlist"/>
        <w:spacing w:after="80" w:line="280" w:lineRule="auto"/>
        <w:jc w:val="both"/>
      </w:pPr>
      <w:r>
        <w:t>5. Przywrócić minimalne gwarancje procesowe w art. 30 ust. 1a — odpowiednie stosowanie wybranych przepisów KPA i wyraźny tryb zaskarżenia.</w:t>
      </w:r>
    </w:p>
    <w:p w14:paraId="00901D41" w14:textId="77777777" w:rsidR="00C17EE8" w:rsidRDefault="004F4AD0">
      <w:pPr>
        <w:pStyle w:val="Akapitzlist"/>
        <w:spacing w:after="80" w:line="280" w:lineRule="auto"/>
        <w:jc w:val="both"/>
      </w:pPr>
      <w:r>
        <w:t>6. Zastąpić obecne przepisy przejściowe rozwiązaniem chroniącym powiadomienia złożone przed wejściem w życie ustawy; alternatywnie wydłużyć vacatio legis do 12 miesięcy dla art. 31a oraz art. 103 (standard K 9/92 i K 6/06).</w:t>
      </w:r>
    </w:p>
    <w:p w14:paraId="33BF0960" w14:textId="77777777" w:rsidR="00C17EE8" w:rsidRDefault="004F4AD0">
      <w:pPr>
        <w:pStyle w:val="Akapitzlist"/>
        <w:spacing w:after="80" w:line="280" w:lineRule="auto"/>
        <w:jc w:val="both"/>
      </w:pPr>
      <w:r>
        <w:t>7. Dokonać formalnej oceny obowiązku notyfikacji w trybie dyrektywy 2015/1535/UE oraz pełnej analizy zgodności z rozporządzeniem 2019/515.</w:t>
      </w:r>
    </w:p>
    <w:p w14:paraId="42D77BA5" w14:textId="77777777" w:rsidR="00C17EE8" w:rsidRDefault="004F4AD0">
      <w:pPr>
        <w:pStyle w:val="Akapitzlist"/>
        <w:spacing w:after="80" w:line="280" w:lineRule="auto"/>
        <w:jc w:val="both"/>
      </w:pPr>
      <w:r>
        <w:t>8. Uzupełnić uzasadnienie o syntetyczne wyniki DPIA dla SEPIS oraz twarde reguły retencji, minimalizacji danych, dostępu do danych i usuwania/anonimizacji.</w:t>
      </w:r>
    </w:p>
    <w:p w14:paraId="5FAF5121" w14:textId="77777777" w:rsidR="00C17EE8" w:rsidRDefault="004F4AD0">
      <w:pPr>
        <w:pStyle w:val="Akapitzlist"/>
        <w:spacing w:after="80" w:line="280" w:lineRule="auto"/>
        <w:jc w:val="both"/>
      </w:pPr>
      <w:r>
        <w:t>9. Wprowadzić realną ochronę interesów w toku w przepisach intertemporalnych — co najmniej dla powiadomień złożonych przed wejściem w życie ustawy, zgodnie z linią K 9/92, K 26/97 i K 6/06.</w:t>
      </w:r>
    </w:p>
    <w:p w14:paraId="63C83B99" w14:textId="77777777" w:rsidR="00C17EE8" w:rsidRDefault="004F4AD0">
      <w:pPr>
        <w:pStyle w:val="Akapitzlist"/>
        <w:spacing w:after="80" w:line="280" w:lineRule="auto"/>
        <w:jc w:val="both"/>
      </w:pPr>
      <w:r>
        <w:t>10. Wprowadzić dla projektowanego art. 65 ust. 3 pkt 4 ustawy o Państwowej Inspekcji Sanitarnej mechanizm wezwania do aktualizacji danych w dodatkowym terminie przed wykreśleniem urządzenia z rejestru oraz zapewnić uzasadnienie i jasny tryb kontroli tego rozstrzygnięcia.</w:t>
      </w:r>
    </w:p>
    <w:p w14:paraId="13A349E8" w14:textId="77777777" w:rsidR="00C17EE8" w:rsidRDefault="00C17EE8">
      <w:pPr>
        <w:spacing w:after="240"/>
      </w:pPr>
    </w:p>
    <w:p w14:paraId="7A56FD47" w14:textId="4BF34CA3" w:rsidR="00C17EE8" w:rsidRDefault="004F4AD0">
      <w:pPr>
        <w:spacing w:after="120" w:line="300" w:lineRule="auto"/>
        <w:jc w:val="both"/>
      </w:pPr>
      <w:r>
        <w:t>Po wprowadzeniu powyższych korekt projekt będzie w znacznie większym stopniu spełniał standardy konstytucyjne, unijne oraz wynikające z RODO, a jednocześnie zachowa cele w zakresie efektywnego monitorowania rynku suplementów diety i eliminowania nadużycia procedury notyfikacyjn</w:t>
      </w:r>
      <w:r>
        <w:rPr>
          <w:i/>
          <w:iCs/>
        </w:rPr>
        <w:t xml:space="preserve">ej. </w:t>
      </w:r>
      <w:r>
        <w:t>Regulacja powinna odróżniać podmioty celowo nadużywające procedury notyfikacyjnej od przedsiębiorców działających w dobrej wierze, którzy uchybiają obowiązkom formalnym z przyczyn organizacyjnych, technicznych lub niezależnych od siebie.</w:t>
      </w:r>
    </w:p>
    <w:p w14:paraId="763F8F3D" w14:textId="77777777" w:rsidR="00C17EE8" w:rsidRDefault="00C17EE8">
      <w:pPr>
        <w:spacing w:after="360"/>
      </w:pPr>
    </w:p>
    <w:p w14:paraId="7F672080" w14:textId="77777777" w:rsidR="00C17EE8" w:rsidRDefault="004F4AD0">
      <w:pPr>
        <w:spacing w:after="60"/>
        <w:jc w:val="right"/>
      </w:pPr>
      <w:r>
        <w:rPr>
          <w:b/>
          <w:bCs/>
          <w:color w:val="4B0082"/>
        </w:rPr>
        <w:t>Tomasz Krawczyk</w:t>
      </w:r>
    </w:p>
    <w:p w14:paraId="3256CCC1" w14:textId="77777777" w:rsidR="00C17EE8" w:rsidRDefault="004F4AD0">
      <w:pPr>
        <w:spacing w:after="60"/>
        <w:jc w:val="right"/>
      </w:pPr>
      <w:r>
        <w:rPr>
          <w:color w:val="6B7280"/>
          <w:sz w:val="20"/>
          <w:szCs w:val="20"/>
        </w:rPr>
        <w:t>supplemental.pl</w:t>
      </w:r>
    </w:p>
    <w:p w14:paraId="46F9E480" w14:textId="77777777" w:rsidR="00C17EE8" w:rsidRDefault="004F4AD0">
      <w:pPr>
        <w:jc w:val="right"/>
      </w:pPr>
      <w:r>
        <w:rPr>
          <w:i/>
          <w:iCs/>
          <w:color w:val="6B7280"/>
          <w:sz w:val="20"/>
          <w:szCs w:val="20"/>
        </w:rPr>
        <w:t>Warszawa, 28 kwietnia 2026 r.</w:t>
      </w:r>
    </w:p>
    <w:p w14:paraId="7BBFDAE9" w14:textId="77777777" w:rsidR="00C17EE8" w:rsidRDefault="00C17EE8">
      <w:pPr>
        <w:spacing w:after="480"/>
      </w:pPr>
    </w:p>
    <w:p w14:paraId="0A3E29BD" w14:textId="77777777" w:rsidR="00C17EE8" w:rsidRDefault="00C17EE8">
      <w:pPr>
        <w:pBdr>
          <w:top w:val="single" w:sz="12" w:space="6" w:color="4B0082"/>
        </w:pBdr>
        <w:spacing w:before="120" w:after="120"/>
      </w:pPr>
    </w:p>
    <w:p w14:paraId="0DD3EC57" w14:textId="77777777" w:rsidR="00C17EE8" w:rsidRDefault="00C17EE8">
      <w:pPr>
        <w:pBdr>
          <w:top w:val="single" w:sz="12" w:space="6" w:color="4B0082"/>
        </w:pBdr>
        <w:spacing w:before="120" w:after="120"/>
      </w:pPr>
    </w:p>
    <w:p w14:paraId="161E6D52" w14:textId="77777777" w:rsidR="00C17EE8" w:rsidRDefault="004F4AD0">
      <w:pPr>
        <w:spacing w:before="120" w:after="120"/>
      </w:pPr>
      <w:r>
        <w:rPr>
          <w:b/>
          <w:bCs/>
          <w:color w:val="4B0082"/>
          <w:spacing w:val="60"/>
          <w:sz w:val="18"/>
        </w:rPr>
        <w:t>KLAUZULA LICENCYJNA  ·  OPEN SOURCE</w:t>
      </w:r>
    </w:p>
    <w:p w14:paraId="2854A09B" w14:textId="77777777" w:rsidR="00C17EE8" w:rsidRDefault="004F4AD0">
      <w:pPr>
        <w:pBdr>
          <w:left w:val="single" w:sz="18" w:space="8" w:color="4B0082"/>
        </w:pBdr>
        <w:spacing w:before="80" w:after="100" w:line="280" w:lineRule="auto"/>
        <w:ind w:left="360" w:right="360"/>
        <w:jc w:val="both"/>
      </w:pPr>
      <w:r>
        <w:rPr>
          <w:b/>
          <w:bCs/>
          <w:sz w:val="21"/>
          <w:szCs w:val="21"/>
        </w:rPr>
        <w:t xml:space="preserve">Niniejsza opinia ma charakter open source. </w:t>
      </w:r>
      <w:r>
        <w:rPr>
          <w:sz w:val="21"/>
          <w:szCs w:val="21"/>
        </w:rPr>
        <w:t>Może być swobodnie kopiowana, rozpowszechniana, modyfikowana i wykorzystywana — w całości lub w części, w celach komercyjnych i niekomercyjnych.</w:t>
      </w:r>
    </w:p>
    <w:p w14:paraId="51A22E87" w14:textId="77777777" w:rsidR="00C17EE8" w:rsidRDefault="004F4AD0">
      <w:pPr>
        <w:pBdr>
          <w:left w:val="single" w:sz="18" w:space="8" w:color="4B0082"/>
        </w:pBdr>
        <w:spacing w:before="80" w:after="100" w:line="280" w:lineRule="auto"/>
        <w:ind w:left="360" w:right="360"/>
        <w:jc w:val="both"/>
      </w:pPr>
      <w:r>
        <w:rPr>
          <w:sz w:val="21"/>
          <w:szCs w:val="21"/>
        </w:rPr>
        <w:t>Autor — Tomasz Krawczyk — udziela każdej zainteresowanej osobie nieodpłatnej, bezterminowej, nieograniczonej terytorialnie, niewyłącznej licencji na korzystanie z opinii na wszystkich znanych obecnie polach eksploatacji, w tym na utrwalanie, zwielokrotnianie, publiczne udostępnianie, rozpowszechnianie, modyfikowanie oraz wykorzystywanie opracowań opinii. Licencja obejmuje prawo do udzielania sublicencji oraz wykonywania praw zależnych.</w:t>
      </w:r>
    </w:p>
    <w:p w14:paraId="55DFD12D" w14:textId="641B8489" w:rsidR="00C17EE8" w:rsidRDefault="004F4AD0">
      <w:pPr>
        <w:pBdr>
          <w:left w:val="single" w:sz="18" w:space="8" w:color="4B0082"/>
        </w:pBdr>
        <w:spacing w:before="80" w:after="100" w:line="280" w:lineRule="auto"/>
        <w:ind w:left="360" w:right="360"/>
        <w:jc w:val="both"/>
      </w:pPr>
      <w:r>
        <w:rPr>
          <w:sz w:val="21"/>
          <w:szCs w:val="21"/>
        </w:rPr>
        <w:t>Autor zezwala na korzystanie z opinii z obowiązkiem każdorazowego oznaczania autorstwa oraz zobowiązuje się, w zakresie dopuszczalnym przez prawo, nie wykonywać autorskich praw osobistych w sposób ograniczający korzystanie z opinii zgodnie z niniejszą klauzulą.</w:t>
      </w:r>
    </w:p>
    <w:sectPr w:rsidR="00C17EE8">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D6A20" w14:textId="77777777" w:rsidR="00982DD4" w:rsidRDefault="00982DD4">
      <w:r>
        <w:separator/>
      </w:r>
    </w:p>
  </w:endnote>
  <w:endnote w:type="continuationSeparator" w:id="0">
    <w:p w14:paraId="6C389D06" w14:textId="77777777" w:rsidR="00982DD4" w:rsidRDefault="00982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F766" w14:textId="77777777" w:rsidR="00C17EE8" w:rsidRDefault="00C17EE8">
    <w:pPr>
      <w:pBdr>
        <w:top w:val="single" w:sz="4" w:space="4" w:color="D1D5DB"/>
      </w:pBdr>
      <w:spacing w:before="60"/>
    </w:pPr>
  </w:p>
  <w:p w14:paraId="6505ED8D" w14:textId="77777777" w:rsidR="00C17EE8" w:rsidRDefault="004F4AD0">
    <w:pPr>
      <w:tabs>
        <w:tab w:val="right" w:pos="9360"/>
      </w:tabs>
      <w:spacing w:before="60"/>
    </w:pPr>
    <w:r>
      <w:rPr>
        <w:color w:val="6B7280"/>
        <w:sz w:val="14"/>
        <w:szCs w:val="14"/>
      </w:rPr>
      <w:t>Tomasz Krawczyk  ·  +48 608 699 845  ·  tomaszkrawczyk@supplemental.pl</w:t>
    </w:r>
    <w:r>
      <w:rPr>
        <w:color w:val="6B7280"/>
        <w:sz w:val="14"/>
        <w:szCs w:val="14"/>
      </w:rPr>
      <w:tab/>
      <w:t xml:space="preserve">Str. </w:t>
    </w:r>
    <w:r>
      <w:rPr>
        <w:b/>
        <w:bCs/>
        <w:color w:val="6B7280"/>
        <w:sz w:val="14"/>
        <w:szCs w:val="14"/>
      </w:rPr>
      <w:fldChar w:fldCharType="begin"/>
    </w:r>
    <w:r>
      <w:rPr>
        <w:b/>
        <w:bCs/>
        <w:color w:val="6B7280"/>
        <w:sz w:val="14"/>
        <w:szCs w:val="14"/>
      </w:rPr>
      <w:instrText>PAGE</w:instrText>
    </w:r>
    <w:r>
      <w:rPr>
        <w:b/>
        <w:bCs/>
        <w:color w:val="6B7280"/>
        <w:sz w:val="14"/>
        <w:szCs w:val="14"/>
      </w:rPr>
      <w:fldChar w:fldCharType="separate"/>
    </w:r>
    <w:r>
      <w:rPr>
        <w:b/>
        <w:bCs/>
        <w:color w:val="6B7280"/>
        <w:sz w:val="14"/>
        <w:szCs w:val="14"/>
      </w:rPr>
      <w:fldChar w:fldCharType="end"/>
    </w:r>
    <w:r>
      <w:rPr>
        <w:color w:val="6B7280"/>
        <w:sz w:val="14"/>
        <w:szCs w:val="14"/>
      </w:rPr>
      <w:t xml:space="preserve"> / </w:t>
    </w:r>
    <w:r>
      <w:rPr>
        <w:color w:val="6B7280"/>
        <w:sz w:val="14"/>
        <w:szCs w:val="14"/>
      </w:rPr>
      <w:fldChar w:fldCharType="begin"/>
    </w:r>
    <w:r>
      <w:rPr>
        <w:color w:val="6B7280"/>
        <w:sz w:val="14"/>
        <w:szCs w:val="14"/>
      </w:rPr>
      <w:instrText>NUMPAGES</w:instrText>
    </w:r>
    <w:r>
      <w:rPr>
        <w:color w:val="6B7280"/>
        <w:sz w:val="14"/>
        <w:szCs w:val="14"/>
      </w:rPr>
      <w:fldChar w:fldCharType="separate"/>
    </w:r>
    <w:r>
      <w:rPr>
        <w:color w:val="6B72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15399" w14:textId="77777777" w:rsidR="00982DD4" w:rsidRDefault="00982DD4">
      <w:r>
        <w:separator/>
      </w:r>
    </w:p>
  </w:footnote>
  <w:footnote w:type="continuationSeparator" w:id="0">
    <w:p w14:paraId="148CB41F" w14:textId="77777777" w:rsidR="00982DD4" w:rsidRDefault="00982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9175" w14:textId="77777777" w:rsidR="00C17EE8" w:rsidRDefault="004F4AD0">
    <w:pPr>
      <w:tabs>
        <w:tab w:val="right" w:pos="9360"/>
      </w:tabs>
      <w:spacing w:after="60"/>
    </w:pPr>
    <w:r>
      <w:rPr>
        <w:noProof/>
      </w:rPr>
      <w:drawing>
        <wp:inline distT="0" distB="0" distL="0" distR="0" wp14:anchorId="35B1F374" wp14:editId="06D56DC7">
          <wp:extent cx="152400" cy="152400"/>
          <wp:effectExtent l="0" t="0" r="0" b="0"/>
          <wp:docPr id="400462865" name="Obraz 40046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 cy="152400"/>
                  </a:xfrm>
                  <a:prstGeom prst="rect">
                    <a:avLst/>
                  </a:prstGeom>
                </pic:spPr>
              </pic:pic>
            </a:graphicData>
          </a:graphic>
        </wp:inline>
      </w:drawing>
    </w:r>
    <w:r>
      <w:rPr>
        <w:b/>
        <w:bCs/>
        <w:color w:val="4B0082"/>
        <w:spacing w:val="60"/>
        <w:sz w:val="16"/>
        <w:szCs w:val="16"/>
      </w:rPr>
      <w:t xml:space="preserve">  SUPPLEMENTAL</w:t>
    </w:r>
    <w:r>
      <w:rPr>
        <w:color w:val="6B7280"/>
        <w:sz w:val="16"/>
        <w:szCs w:val="16"/>
      </w:rPr>
      <w:tab/>
      <w:t>Opinia prawna v19 · UD 247 · 28.04.2026</w:t>
    </w:r>
  </w:p>
  <w:p w14:paraId="2E890574" w14:textId="77777777" w:rsidR="00C17EE8" w:rsidRDefault="00C17EE8">
    <w:pPr>
      <w:pBdr>
        <w:bottom w:val="single" w:sz="6" w:space="2" w:color="4B0082"/>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2B9"/>
    <w:multiLevelType w:val="hybridMultilevel"/>
    <w:tmpl w:val="FFFFFFFF"/>
    <w:lvl w:ilvl="0" w:tplc="D4647BA8">
      <w:start w:val="1"/>
      <w:numFmt w:val="decimal"/>
      <w:lvlText w:val="%1."/>
      <w:lvlJc w:val="left"/>
      <w:pPr>
        <w:ind w:left="720" w:hanging="360"/>
      </w:pPr>
    </w:lvl>
    <w:lvl w:ilvl="1" w:tplc="59E065B2">
      <w:numFmt w:val="decimal"/>
      <w:lvlText w:val=""/>
      <w:lvlJc w:val="left"/>
    </w:lvl>
    <w:lvl w:ilvl="2" w:tplc="CF4632F2">
      <w:numFmt w:val="decimal"/>
      <w:lvlText w:val=""/>
      <w:lvlJc w:val="left"/>
    </w:lvl>
    <w:lvl w:ilvl="3" w:tplc="BFD2868A">
      <w:numFmt w:val="decimal"/>
      <w:lvlText w:val=""/>
      <w:lvlJc w:val="left"/>
    </w:lvl>
    <w:lvl w:ilvl="4" w:tplc="F4D2B998">
      <w:numFmt w:val="decimal"/>
      <w:lvlText w:val=""/>
      <w:lvlJc w:val="left"/>
    </w:lvl>
    <w:lvl w:ilvl="5" w:tplc="721874B0">
      <w:numFmt w:val="decimal"/>
      <w:lvlText w:val=""/>
      <w:lvlJc w:val="left"/>
    </w:lvl>
    <w:lvl w:ilvl="6" w:tplc="DDCEDB10">
      <w:numFmt w:val="decimal"/>
      <w:lvlText w:val=""/>
      <w:lvlJc w:val="left"/>
    </w:lvl>
    <w:lvl w:ilvl="7" w:tplc="997E1CD4">
      <w:numFmt w:val="decimal"/>
      <w:lvlText w:val=""/>
      <w:lvlJc w:val="left"/>
    </w:lvl>
    <w:lvl w:ilvl="8" w:tplc="4280AA14">
      <w:numFmt w:val="decimal"/>
      <w:lvlText w:val=""/>
      <w:lvlJc w:val="left"/>
    </w:lvl>
  </w:abstractNum>
  <w:abstractNum w:abstractNumId="1" w15:restartNumberingAfterBreak="0">
    <w:nsid w:val="596831F3"/>
    <w:multiLevelType w:val="hybridMultilevel"/>
    <w:tmpl w:val="FFFFFFFF"/>
    <w:lvl w:ilvl="0" w:tplc="0B2C1CEA">
      <w:start w:val="1"/>
      <w:numFmt w:val="bullet"/>
      <w:lvlText w:val="●"/>
      <w:lvlJc w:val="left"/>
      <w:pPr>
        <w:ind w:left="720" w:hanging="360"/>
      </w:pPr>
    </w:lvl>
    <w:lvl w:ilvl="1" w:tplc="9DCC3582">
      <w:start w:val="1"/>
      <w:numFmt w:val="bullet"/>
      <w:lvlText w:val="○"/>
      <w:lvlJc w:val="left"/>
      <w:pPr>
        <w:ind w:left="1440" w:hanging="360"/>
      </w:pPr>
    </w:lvl>
    <w:lvl w:ilvl="2" w:tplc="1A14F548">
      <w:start w:val="1"/>
      <w:numFmt w:val="bullet"/>
      <w:lvlText w:val="■"/>
      <w:lvlJc w:val="left"/>
      <w:pPr>
        <w:ind w:left="2160" w:hanging="360"/>
      </w:pPr>
    </w:lvl>
    <w:lvl w:ilvl="3" w:tplc="8732EF18">
      <w:start w:val="1"/>
      <w:numFmt w:val="bullet"/>
      <w:lvlText w:val="●"/>
      <w:lvlJc w:val="left"/>
      <w:pPr>
        <w:ind w:left="2880" w:hanging="360"/>
      </w:pPr>
    </w:lvl>
    <w:lvl w:ilvl="4" w:tplc="1A8824AC">
      <w:start w:val="1"/>
      <w:numFmt w:val="bullet"/>
      <w:lvlText w:val="○"/>
      <w:lvlJc w:val="left"/>
      <w:pPr>
        <w:ind w:left="3600" w:hanging="360"/>
      </w:pPr>
    </w:lvl>
    <w:lvl w:ilvl="5" w:tplc="258A83B4">
      <w:start w:val="1"/>
      <w:numFmt w:val="bullet"/>
      <w:lvlText w:val="■"/>
      <w:lvlJc w:val="left"/>
      <w:pPr>
        <w:ind w:left="4320" w:hanging="360"/>
      </w:pPr>
    </w:lvl>
    <w:lvl w:ilvl="6" w:tplc="05A2722E">
      <w:start w:val="1"/>
      <w:numFmt w:val="bullet"/>
      <w:lvlText w:val="●"/>
      <w:lvlJc w:val="left"/>
      <w:pPr>
        <w:ind w:left="5040" w:hanging="360"/>
      </w:pPr>
    </w:lvl>
    <w:lvl w:ilvl="7" w:tplc="F26A4C06">
      <w:start w:val="1"/>
      <w:numFmt w:val="bullet"/>
      <w:lvlText w:val="●"/>
      <w:lvlJc w:val="left"/>
      <w:pPr>
        <w:ind w:left="5760" w:hanging="360"/>
      </w:pPr>
    </w:lvl>
    <w:lvl w:ilvl="8" w:tplc="003C55BE">
      <w:start w:val="1"/>
      <w:numFmt w:val="bullet"/>
      <w:lvlText w:val="●"/>
      <w:lvlJc w:val="left"/>
      <w:pPr>
        <w:ind w:left="6480" w:hanging="360"/>
      </w:pPr>
    </w:lvl>
  </w:abstractNum>
  <w:abstractNum w:abstractNumId="2" w15:restartNumberingAfterBreak="0">
    <w:nsid w:val="6C5841A9"/>
    <w:multiLevelType w:val="hybridMultilevel"/>
    <w:tmpl w:val="FFFFFFFF"/>
    <w:lvl w:ilvl="0" w:tplc="598A96FC">
      <w:start w:val="1"/>
      <w:numFmt w:val="bullet"/>
      <w:lvlText w:val="•"/>
      <w:lvlJc w:val="left"/>
      <w:pPr>
        <w:ind w:left="720" w:hanging="360"/>
      </w:pPr>
      <w:rPr>
        <w:color w:val="4B0082"/>
      </w:rPr>
    </w:lvl>
    <w:lvl w:ilvl="1" w:tplc="DA70962E">
      <w:start w:val="1"/>
      <w:numFmt w:val="bullet"/>
      <w:lvlText w:val="◦"/>
      <w:lvlJc w:val="left"/>
      <w:pPr>
        <w:ind w:left="1080" w:hanging="360"/>
      </w:pPr>
      <w:rPr>
        <w:color w:val="4B0082"/>
      </w:rPr>
    </w:lvl>
    <w:lvl w:ilvl="2" w:tplc="EED28ADE">
      <w:numFmt w:val="decimal"/>
      <w:lvlText w:val=""/>
      <w:lvlJc w:val="left"/>
    </w:lvl>
    <w:lvl w:ilvl="3" w:tplc="C8DE7846">
      <w:numFmt w:val="decimal"/>
      <w:lvlText w:val=""/>
      <w:lvlJc w:val="left"/>
    </w:lvl>
    <w:lvl w:ilvl="4" w:tplc="71601296">
      <w:numFmt w:val="decimal"/>
      <w:lvlText w:val=""/>
      <w:lvlJc w:val="left"/>
    </w:lvl>
    <w:lvl w:ilvl="5" w:tplc="702A5766">
      <w:numFmt w:val="decimal"/>
      <w:lvlText w:val=""/>
      <w:lvlJc w:val="left"/>
    </w:lvl>
    <w:lvl w:ilvl="6" w:tplc="48BEEF90">
      <w:numFmt w:val="decimal"/>
      <w:lvlText w:val=""/>
      <w:lvlJc w:val="left"/>
    </w:lvl>
    <w:lvl w:ilvl="7" w:tplc="2010464E">
      <w:numFmt w:val="decimal"/>
      <w:lvlText w:val=""/>
      <w:lvlJc w:val="left"/>
    </w:lvl>
    <w:lvl w:ilvl="8" w:tplc="A5BA6386">
      <w:numFmt w:val="decimal"/>
      <w:lvlText w:val=""/>
      <w:lvlJc w:val="left"/>
    </w:lvl>
  </w:abstractNum>
  <w:num w:numId="1" w16cid:durableId="2109812222">
    <w:abstractNumId w:val="1"/>
    <w:lvlOverride w:ilvl="0">
      <w:startOverride w:val="1"/>
    </w:lvlOverride>
  </w:num>
  <w:num w:numId="2" w16cid:durableId="1046754155">
    <w:abstractNumId w:val="2"/>
    <w:lvlOverride w:ilvl="0">
      <w:startOverride w:val="1"/>
    </w:lvlOverride>
  </w:num>
  <w:num w:numId="3" w16cid:durableId="780999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EE8"/>
    <w:rsid w:val="001F1BEA"/>
    <w:rsid w:val="00264ABA"/>
    <w:rsid w:val="0038615D"/>
    <w:rsid w:val="00401143"/>
    <w:rsid w:val="00440BE7"/>
    <w:rsid w:val="004848BA"/>
    <w:rsid w:val="004A2618"/>
    <w:rsid w:val="004F4AD0"/>
    <w:rsid w:val="005668CD"/>
    <w:rsid w:val="00610E09"/>
    <w:rsid w:val="00666631"/>
    <w:rsid w:val="006E3DEA"/>
    <w:rsid w:val="006F14D3"/>
    <w:rsid w:val="00703351"/>
    <w:rsid w:val="00724823"/>
    <w:rsid w:val="00816A85"/>
    <w:rsid w:val="00982DD4"/>
    <w:rsid w:val="00AE47F1"/>
    <w:rsid w:val="00C17EE8"/>
    <w:rsid w:val="00D163DF"/>
    <w:rsid w:val="00E00B6E"/>
    <w:rsid w:val="00F465F8"/>
    <w:rsid w:val="00F7006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0D99A3E5"/>
  <w15:docId w15:val="{5A3ED6D0-48D2-2147-82D7-0CD6D399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spacing w:before="360" w:after="200"/>
      <w:outlineLvl w:val="0"/>
    </w:pPr>
    <w:rPr>
      <w:b/>
      <w:bCs/>
      <w:color w:val="4B0082"/>
      <w:sz w:val="30"/>
      <w:szCs w:val="30"/>
    </w:rPr>
  </w:style>
  <w:style w:type="paragraph" w:styleId="Nagwek2">
    <w:name w:val="heading 2"/>
    <w:uiPriority w:val="9"/>
    <w:unhideWhenUsed/>
    <w:qFormat/>
    <w:pPr>
      <w:spacing w:before="240" w:after="140"/>
      <w:outlineLvl w:val="1"/>
    </w:pPr>
    <w:rPr>
      <w:b/>
      <w:bCs/>
      <w:color w:val="6B21A8"/>
      <w:sz w:val="25"/>
      <w:szCs w:val="25"/>
    </w:rPr>
  </w:style>
  <w:style w:type="paragraph" w:styleId="Nagwek3">
    <w:name w:val="heading 3"/>
    <w:uiPriority w:val="9"/>
    <w:unhideWhenUsed/>
    <w:qFormat/>
    <w:pPr>
      <w:spacing w:before="200" w:after="100"/>
      <w:outlineLvl w:val="2"/>
    </w:pPr>
    <w:rPr>
      <w:b/>
      <w:bCs/>
      <w:color w:val="111827"/>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9350</Words>
  <Characters>56106</Characters>
  <Application>Microsoft Office Word</Application>
  <DocSecurity>0</DocSecurity>
  <Lines>467</Lines>
  <Paragraphs>130</Paragraphs>
  <ScaleCrop>false</ScaleCrop>
  <Company/>
  <LinksUpToDate>false</LinksUpToDate>
  <CharactersWithSpaces>65326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Opinia prawna v7 — UD 247</dc:title>
  <dc:creator>Tomasz Krawczyk · Supplemental</dc:creator>
  <dc:description>Opinia prawna w sprawie projektu ustawy o zmianie ustawy o bezpieczeństwie żywności i żywienia (UD 247) — konsultacje publiczne</dc:description>
  <cp:lastModifiedBy>tomasz krawczyk</cp:lastModifiedBy>
  <cp:revision>4</cp:revision>
  <dcterms:created xsi:type="dcterms:W3CDTF">2026-04-29T10:46:00Z</dcterms:created>
  <dcterms:modified xsi:type="dcterms:W3CDTF">2026-04-29T11:01:00Z</dcterms:modified>
</cp:coreProperties>
</file>