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5C2D91"/>
          <w:sz w:val="28"/>
          <w:szCs w:val="28"/>
        </w:rPr>
        <w:t xml:space="preserve">Tabela uwag do projektu UD247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Projekt ustawy o zmianie ustawy o bezpieczeństwie żywności i żywienia oraz ustawy o Państwowej Inspekcji Sanitarnej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Sprawa GIS: PR.LE.023.6.2025  ·  Sygnatura własna: SUP-2026-OP-UD247-v19  ·  Data: 28 kwietnia 2026 r.</w:t>
      </w:r>
    </w:p>
    <w:p>
      <w:pPr>
        <w:spacing w:after="200" w:before="8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Uwagi przekazane w trybie konsultacji publicznych projektu UD247 — z własnej inicjatywy, jako niezależny ekspert prawa żywnościowego. Pełne uzasadnienie wraz z odesłaniami do orzecznictwa TK, TSUE i NSA zawiera załączona opinia prawna SUP-2026-OP-UD247-v19 (24 strony, plik PDF). Tabela ta stanowi syntezę zgłaszanych uwag w formacie wymaganym przez pismo GIS z dnia 24 kwietnia 2026 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4200"/>
        <w:gridCol w:w="3700"/>
        <w:gridCol w:w="3698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5C2D9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5C2D9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Podmiot zgłaszający uwagę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5C2D9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Jednostka redakcyjna projektu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5C2D9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Treść uwagi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5C2D9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Uzasadnienie uwagi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5C2D9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Propozycja zmiany / propozycje rozwiązań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Art. 1 pkt 4 projektu — projektowany art. 31a ust. 6 ustawy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Projektowany przepis konstruuje automatyczne domniemanie nieprawidłowości kwalifikacji środka spożywczego oraz niespełniania przezeń wymagań — wyłącznie na podstawie uchybienia 14-dniowemu terminowi formalnemu z ust. 2. Domniemanie powstaje z mocy ustawy, bez badania składu, działania lub ryzyka produktu, bez decyzji administracyjnej i bez prawa do wysłuchania.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Konstrukcja funkcjonalnie odwraca ciężar dowodu i sankcjonuje uchybienie czysto proceduralne skutkiem materialnym. Stoi w sprzeczności z linią TSUE wymagającą oceny indywidualnej (case-by-case): C-387/99 Komisja/Niemcy, C-319/05 Komisja/Niemcy (czosnek), C-672/15 Noria, sprawy połączone C-211/03 i in. HLH/Orthica. Narusza standardy art. 2, art. 31 ust. 3 i art. 42 Konstytucji RP w zakresie odpowiedzialności represyjnej (wyroki TK K 17/97, P 19/06, P 124/15).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Wykreślenie ust. 6 albo zastąpienie domniemaniem wzruszalnym, z prawem do wysłuchania, indywidualizacją i kontrolą sądową. Subsydiarnie — gradacja skutków: pierwsze uchybienie → wezwanie z dodatkowym terminem; drugie uchybienie → możliwość wszczęcia odrębnego postępowania merytorycznego, a nie automatyczna kwalifikacja produktu.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Art. 1 pkt 4 projektu — projektowany art. 31a ust. 7 ustawy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Zakaz złożenia kolejnego powiadomienia dla produktu o tożsamym składzie jakościowo-ilościowym do czasu przedłożenia opinii skutkuje potencjalnym zamrożeniem nowych zgłoszeń tej samej formuły na czas oczekiwania na opinię — w praktyce nawet 6–12 miesięcy. Blokada powstaje z mocy ustawy, bez decyzji, i obejmuje także produkty różniące się wyłącznie nazwą handlową, opakowaniem lub kanałem dystrybucji.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Przepis może być kwalifikowany jako „inne wymaganie” lub „przepis zakazujący wprowadzania do obrotu” w rozumieniu art. 1 ust. 1 lit. d i lit. f dyrektywy 2015/1535, co implikuje obowiązek notyfikacji TRIS. Brak notyfikacji skutkuje niestosowalnością przepisu wobec jednostek (C-194/94 CIA Security, C-443/98 Unilever Italia). Ograniczenie nieproporcjonalne wobec MŚP (art. 31 ust. 3 Konstytucji RP).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Wykreślenie ust. 7. Subsydiarnie — wprowadzenie precyzyjnej definicji „tożsamego składu jakościowo-ilościowego”, ograniczenie blokady wyłącznie do produktu objętego konkretnym postępowaniem (nie zaś całej formuły) oraz mechanizmu wcześniejszego uchylenia blokady, np. po samodzielnym przedłożeniu pozytywnej opinii naukowej przez podmiot.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Art. 1 pkt 4 projektu — projektowany art. 31a ust. 8 ustawy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Bezterminowy zakaz ponownego powiadomienia dla produktu o tożsamym składzie jakościowo-ilościowym, w sytuacji gdy podmiot zrezygnuje z wprowadzania do obrotu produktu objętego postępowaniem opiniowym. Sankcja działa permanentnie i nie podlega żadnemu mechanizmowi uchylenia.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Sankcja bezterminowa, nieodwracalna, niespełniająca testu proporcjonalności z art. 31 ust. 3 Konstytucji RP. Zniechęca do racjonalnej rezygnacji z postępowania, premiując przeciąganie procedur. Obejmuje także sytuacje, w których rezygnacja wynika z ekonomicznej kalkulacji podmiotu, a nie z wątpliwości co do bezpieczeństwa produktu. Może być kwalifikowana jako „przepis zakazujący wprowadzania do obrotu” w rozumieniu dyrektywy 2015/1535.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Wykreślenie ust. 8. Subsydiarnie — ograniczenie zakazu czasowo (np. 12 miesięcy) i wprowadzenie mechanizmu ponownego powiadomienia po samodzielnym przedłożeniu pozytywnej opinii naukowej lub po istotnej zmianie składu/etykiety produktu.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Art. 1 pkt 3 projektu — projektowany art. 30 ust. 1a ustawy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Generalne wyłączenie stosowania KPA do postępowań prowadzonych na podstawie art. 30 ust. 1 ustawy, bez wprowadzenia w jego miejsce alternatywnych gwarancji procesowych — w szczególności prawa strony, prawa do wysłuchania, prawa wglądu do akt, obowiązku uzasadnienia rozstrzygnięcia oraz drogi odwoławczej.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Wyłączenie KPA bez ustawowej rekompensaty proceduralnej narusza standardy art. 2 i art. 78 Konstytucji RP oraz linię orzecznictwa NSA w sprawie pism kończących postępowanie wyjaśniające GIS (II GSK 42/22 i nast. — kontrola sądowoadministracyjna nawet pism „bezdecyzyjnych”, jeśli kształtują sytuację prawną adresata). Połączenie ust. 1a z domniemaniem z art. 31a ust. 6 daje organowi narzędzie kształtujące sytuację prawną podmiotu z mocy ustawy, faktycznie poza kontrolą sądową.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Albo (i) wykreślenie ust. 1a, albo (ii) pozostawienie wyłączenia KPA przy jednoczesnym wprowadzeniu zamkniętego katalogu gwarancji procesowych: 14-dniowy termin na wniesienie wyjaśnień, prawo wglądu do akt, obowiązek uzasadnienia pisma kończącego postępowanie, jednoznaczne wskazanie środków zaskarżenia (skarga do WSA na podstawie art. 3 § 2 pkt 4 p.p.s.a.).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Art. 1 pkt 8 projektu — projektowany art. 103 ustawy (kary pieniężne)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Podniesienie maksymalnego limitu kary pieniężnej z trzydziestokrotności do stukrotności przeciętnego miesięcznego wynagrodzenia w gospodarce narodowej za rok poprzedzający (przy wynagrodzeniu za 2025 r. wynoszącym 8 903,56 zł — kara do ok. 890 356 zł). Brak ustawowych gwarancji ochronnych: capu obrotowego, klauzuli safe harbour, gradacji sankcji w zależności od kategorii naruszenia.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Sankcja represyjna w wysokości ok. 0,9 mln zł wymaga oceny w świetle standardów konstytucyjnych z art. 22, 31 ust. 3 i 42 Konstytucji RP oraz orzecznictwa TK (P 26/11, P 19/06, K 18/03, P 124/15, K 17/97). Bez capu obrotowego kara o stałej wysokości może być nieproporcjonalna wobec MŚP, a wobec dużych podmiotów — niewystarczająco odstraszająca. Cap obrotowy stanowi standard w nowoczesnym prawie sankcyjnym (UOKiK, RODO).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Wprowadzenie: (i) capu obrotowego (np. 5% obrotu z roku poprzedzającego) jako alternatywy dla limitu stukrotnościowego — wybór wartości wyższej; (ii) klauzuli safe harbour dla pierwszego stwierdzonego uchybienia formalnego (organ udziela ostrzeżenia zamiast nakładania kary); (iii) gradacji sankcji z wyraźnym rozróżnieniem uchybień formalnych i materialnych w treści przepisu.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Art. 2 pkt 2 projektu — projektowany art. 8b–8d ustawy o PIS (system SEPIS, platforma e-Sanepid)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Projektowany art. 8c ust. 5 określa bardzo szeroki katalog danych przetwarzanych w SEPIS, obejmujący m.in. PESEL, dane dokumentu tożsamości, datę zgonu, dane o udzielonych, udzielanych i planowanych świadczeniach opieki zdrowotnej oraz dane dotyczące stanu zdrowia. Są to dane szczególnych kategorii w rozumieniu art. 9 RODO.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Uzasadnienie projektu nie zawiera syntetycznych wyników oceny skutków dla ochrony danych (DPIA) zgodnie z art. 35 RODO, mimo że projektowane przetwarzanie spełnia kryteria wymagające jej przeprowadzenia (przetwarzanie danych szczególnych kategorii na dużą skalę przez organ państwowy). Brak uzasadnienia przeciwdziałania ryzyku, brak wskazania kategorii odbiorców, retencji, środków minimalizacji i pseudonimizacji.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Uzupełnienie uzasadnienia projektu o syntetyczne wyniki DPIA, zgodnie z wymogiem art. 35 ust. 7 RODO oraz wytycznymi WP 248. W treści przepisu — doprecyzowanie celów przetwarzania, kategorii odbiorców, okresów retencji oraz środków technicznych i organizacyjnych zapewniających bezpieczeństwo danych.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Art. 5 i 6 projektu — przepisy przejściowe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Zakres temporalny projektowanych przepisów obejmuje powiadomienia pozostające w toku w dniu wejścia w życie ustawy — w pełnej, surowszej postaci. Przepisy przejściowe nie chronią adresatów przed retrospektywnym zastosowaniem nowych skutków (domniemanie z art. 31a ust. 6, blokada z ust. 7, kara z art. 103) do sytuacji już rozpoczętych.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Konstrukcja taka, choć formalnie nie stanowi naruszenia zasady lex retro non agit, narusza zasadę ochrony interesów w toku z art. 2 Konstytucji RP. TK w sprawach K 9/92, K 26/97, K 6/06 wskazuje, że zmiana pogarszająca sytuację prawną adresatów wymaga adekwatnego vacatio legis lub przepisów przejściowych chroniących już rozpoczęte przedsięwzięcia. W procedurze powiadomień suplementów interes w toku jest silny — powiadomienie jest zwykle elementem szerszego przedsięwzięcia produkcyjno-marketingowego.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Wprowadzenie przepisu przejściowego: powiadomienia złożone przed dniem wejścia w życie ustawy podlegają dotychczasowym regulacjom proceduralnym i sankcyjnym; nowe regulacje stosuje się wyłącznie do powiadomień złożonych po tym dniu. Subsydiarnie — wydłużenie vacatio legis do co najmniej 6 miesięcy, umożliwiające podmiotom dostosowanie procedur wewnętrznych.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Cały projekt — relacja do dyrektywy 2015/1535 (notyfikacja TRIS)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 uzasadnieniu projektu (str. ostatnia) projektodawca deklaruje wprost: „Projekt ustawy nie zawiera przepisów technicznych i nie podlega notyfikacji w rozumieniu przepisów rozporządzenia Rady Ministrów z dnia 23 grudnia 2002 r. w sprawie sposobu funkcjonowania krajowego systemu notyfikacji norm i aktów prawnych”. Stanowisko to jest dyskusyjne wobec konstrukcji projektowanego art. 31a ust. 6–8.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Projektowany mechanizm — automatyczne domniemanie niezgodności, czasowe zamrożenie nowych zgłoszeń tej samej formuły, bezterminowy zakaz po rezygnacji — może odpowiadać definicji „innego wymagania” (art. 1 ust. 1 lit. d) lub „przepisu zakazującego wprowadzania do obrotu” (lit. f) w rozumieniu dyrektywy 2015/1535. Konsekwencją braku notyfikacji jest niestosowalność wobec jednostek (C-194/94 CIA Security, C-443/98 Unilever Italia).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Przeprowadzenie pogłębionej analizy charakteru projektowanych przepisów pod kątem dyrektywy 2015/1535 przed dalszym procedowaniem projektu, z dołączeniem syntetycznych wyników do uzasadnienia. W razie wątpliwości — notyfikacja TRIS z 3-miesięcznym okresem oczekiwania na uwagi Komisji i innych państw członkowskich.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9.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Tomasz Krawczyk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</w:t>
            </w:r>
          </w:p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supplemental.pl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Art. 1 pkt 4 projektu — projektowany art. 31a ust. 1, 4 i 6 ustawy (relacja projekt/uzasadnienie)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Uzasadnienie projektu (str. dotycząca art. 31a) wskazuje, że „czas niezbędny do wydania opinii nie wlicza się w okres prowadzenia postępowania, o którym mowa w art. 30 ust. 1 ustawy”. Treść ta nie znajduje jednak jednoznacznego odzwierciedlenia w żadnej jednostce redakcyjnej projektowanego art. 31a (w tym w ust. 6, który kończy się powiadomieniem o zakończeniu postępowania).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Rozjazd między uzasadnieniem a treścią normy stanowi naruszenie zasad techniki prawodawczej (§ 5–6 załącznika do rozporządzenia Prezesa RM z dnia 20 czerwca 2002 r. w sprawie „Zasad techniki prawodawczej”). Skutek normatywny powinien wynikać wprost z przepisu, a nie z dokumentu interpretacyjnego.</w:t>
            </w:r>
          </w:p>
        </w:tc>
        <w:tc>
          <w:tcPr>
            <w:tcW w:type="dxa" w:w="36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4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Albo (i) uzupełnienie projektowanego art. 31a o nowy ustęp wyraźnie regulujący niewliczanie czasu opiniowania do okresu prowadzenia postępowania przez GIS, albo (ii) usunięcie tego elementu z uzasadnienia jako niemającego oparcia w treści projektu.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080" w:right="720" w:bottom="108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6B7280"/>
        <w:sz w:val="14"/>
        <w:szCs w:val="14"/>
      </w:rPr>
      <w:t xml:space="preserve">Tomasz Krawczyk  ·  +48 608 699 845  ·  tomaszkrawczyk@supplemental.pl</w:t>
    </w:r>
    <w:r>
      <w:rPr>
        <w:rFonts w:ascii="Calibri" w:cs="Calibri" w:eastAsia="Calibri" w:hAnsi="Calibri"/>
        <w:sz w:val="14"/>
        <w:szCs w:val="14"/>
      </w:rPr>
      <w:t xml:space="preserve">		</w:t>
    </w:r>
    <w:r>
      <w:rPr>
        <w:rFonts w:ascii="Calibri" w:cs="Calibri" w:eastAsia="Calibri" w:hAnsi="Calibri"/>
        <w:color w:val="6B7280"/>
        <w:sz w:val="14"/>
        <w:szCs w:val="14"/>
      </w:rPr>
      <w:t xml:space="preserve">Str.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4"/>
        <w:szCs w:val="14"/>
      </w:rPr>
      <w:t xml:space="preserve"> /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2D91" w:sz="6" w:space="4"/>
      </w:pBdr>
      <w:spacing w:after="60"/>
      <w:jc w:val="left"/>
    </w:pPr>
    <w:r>
      <w:rPr>
        <w:rFonts w:ascii="Calibri" w:cs="Calibri" w:eastAsia="Calibri" w:hAnsi="Calibri"/>
        <w:b/>
        <w:bCs/>
        <w:color w:val="5C2D91"/>
        <w:sz w:val="20"/>
        <w:szCs w:val="20"/>
      </w:rPr>
      <w:t xml:space="preserve">SUPPLEMENTAL</w:t>
    </w:r>
    <w:r>
      <w:rPr>
        <w:rFonts w:ascii="Calibri" w:cs="Calibri" w:eastAsia="Calibri" w:hAnsi="Calibri"/>
        <w:color w:val="6B7280"/>
        <w:sz w:val="16"/>
        <w:szCs w:val="16"/>
      </w:rPr>
      <w:t xml:space="preserve">    Tabela uwag do projektu UD247  ·  PR.LE.023.6.2025  ·  28.04.2026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 uwag do projektu UD247</dc:title>
  <dc:creator>Tomasz Krawczyk</dc:creator>
  <dc:description>Konsultacje publiczne — sprawa PR.LE.023.6.2025</dc:description>
  <cp:lastModifiedBy>Un-named</cp:lastModifiedBy>
  <cp:revision>1</cp:revision>
  <dcterms:created xsi:type="dcterms:W3CDTF">2026-04-29T11:30:15.163Z</dcterms:created>
  <dcterms:modified xsi:type="dcterms:W3CDTF">2026-04-29T11:30:15.163Z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