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F5D50"/>
          <w:sz w:val="18"/>
        </w:rPr>
        <w:t>INSTRUKCJA DLA ADMINISTRATORA KONTA</w:t>
      </w:r>
    </w:p>
    <w:p>
      <w:pPr>
        <w:pStyle w:val="Title"/>
        <w:spacing w:before="0" w:after="160"/>
      </w:pPr>
      <w:r>
        <w:rPr>
          <w:rFonts w:ascii="Calibri Light" w:hAnsi="Calibri Light"/>
          <w:sz w:val="52"/>
        </w:rPr>
        <w:t>Dostępy do konta Amazon</w:t>
      </w:r>
    </w:p>
    <w:p>
      <w:r>
        <w:t xml:space="preserve">Podłączamy wewnętrzne narzędzie do zarządzania Waszymi kampaniami. Potrzebne są </w:t>
      </w:r>
      <w:r>
        <w:rPr>
          <w:b/>
        </w:rPr>
        <w:t>dwie osobne integracje</w:t>
      </w:r>
      <w:r>
        <w:t xml:space="preserve"> — reklamowa i sprzedażowa. Można je nadać niezależnie; pierwsza wystarczy, żeby zacząć.</w:t>
      </w:r>
    </w:p>
    <w:p>
      <w:pPr>
        <w:spacing w:after="80"/>
      </w:pPr>
      <w:r>
        <w:rPr>
          <w:b/>
        </w:rPr>
        <w:t xml:space="preserve">Część I: </w:t>
      </w:r>
      <w:r>
        <w:t>ok. 10 minut</w:t>
      </w:r>
      <w:r>
        <w:rPr>
          <w:b/>
        </w:rPr>
        <w:t xml:space="preserve">     Część II: </w:t>
      </w:r>
      <w:r>
        <w:t>ok. 15 minut plus oczekiwanie Amazona</w:t>
      </w:r>
    </w:p>
    <w:p>
      <w:pPr>
        <w:pStyle w:val="Heading1"/>
        <w:spacing w:before="360" w:after="120"/>
      </w:pPr>
      <w:r>
        <w:rPr>
          <w:rFonts w:ascii="Calibri Light" w:hAnsi="Calibri Light"/>
          <w:color w:val="2F5D50"/>
          <w:sz w:val="34"/>
        </w:rPr>
        <w:t>Część I — Amazon Ads API</w:t>
      </w:r>
    </w:p>
    <w:p>
      <w:r>
        <w:t>Daje narzędziu dostęp do kampanii: wydatków, sprzedaży z reklam i fraz wyszukiwania. To integracja podstawowa — bez niej narzędzie nie ma czego pokazywać.</w:t>
      </w:r>
    </w:p>
    <w:p>
      <w:pPr>
        <w:spacing w:before="280" w:after="0"/>
      </w:pPr>
      <w:r>
        <w:rPr>
          <w:b/>
          <w:color w:val="2F5D50"/>
          <w:sz w:val="17"/>
        </w:rPr>
        <w:t>ZACZNIJCIE OD JEDNEGO SPRAWDZENIA</w:t>
      </w:r>
    </w:p>
    <w:p>
      <w:r>
        <w:t>W konsoli reklamowej, w ustawieniach konta, jest lista autoryzowanych aplikacji. To jedno spojrzenie decyduje, czy czeka Was 10 minut, czy dodatkowo dwa dni.</w:t>
      </w:r>
    </w:p>
    <w:p>
      <w:pPr>
        <w:spacing w:after="40"/>
        <w:ind w:left="340"/>
      </w:pPr>
      <w:r>
        <w:rPr>
          <w:b/>
        </w:rPr>
        <w:t>Coś tam jest</w:t>
      </w:r>
      <w:r>
        <w:t xml:space="preserve"> — dostęp API już istnieje, pomijacie krok 1.</w:t>
      </w:r>
    </w:p>
    <w:p>
      <w:pPr>
        <w:ind w:left="340"/>
      </w:pPr>
      <w:r>
        <w:rPr>
          <w:b/>
        </w:rPr>
        <w:t>Pusto</w:t>
      </w:r>
      <w:r>
        <w:t xml:space="preserve"> — trzeba złożyć wniosek, krok 1.</w:t>
      </w:r>
    </w:p>
    <w:p>
      <w:pPr>
        <w:spacing w:before="320" w:after="40"/>
      </w:pPr>
      <w:r>
        <w:rPr>
          <w:b/>
          <w:color w:val="2F5D50"/>
          <w:sz w:val="25"/>
        </w:rPr>
        <w:t xml:space="preserve">Krok 1.  </w:t>
      </w:r>
      <w:r>
        <w:rPr>
          <w:b/>
          <w:sz w:val="25"/>
        </w:rPr>
        <w:t>Wniosek o dostęp do Ads API</w:t>
      </w:r>
    </w:p>
    <w:p>
      <w:pPr>
        <w:spacing w:after="120"/>
      </w:pPr>
      <w:r>
        <w:rPr>
          <w:i/>
          <w:color w:val="6E7076"/>
          <w:sz w:val="18"/>
        </w:rPr>
        <w:t>tylko gdy dostępu jeszcze nie ma · 1–2 dni</w:t>
      </w:r>
    </w:p>
    <w:p>
      <w:r>
        <w:t xml:space="preserve">Wejście prowadzi z dokumentacji Amazon Ads API, przez </w:t>
      </w:r>
      <w:r>
        <w:rPr>
          <w:b/>
        </w:rPr>
        <w:t>Get started</w:t>
      </w:r>
      <w:r>
        <w:t xml:space="preserve"> / </w:t>
      </w:r>
      <w:r>
        <w:rPr>
          <w:b/>
        </w:rPr>
        <w:t>Request access</w:t>
      </w:r>
      <w:r>
        <w:t>. Wniosek składa właściciel konta albo administrator — Amazon wiąże dostęp z kontem, nie z narzędziem.</w:t>
      </w:r>
    </w:p>
    <w:p>
      <w:r>
        <w:t xml:space="preserve">W formularzu pada pytanie, kto i po co będzie korzystał z API. Zgodna z prawdą odpowiedź brzmi: </w:t>
      </w:r>
      <w:r>
        <w:rPr>
          <w:i/>
        </w:rPr>
        <w:t>wewnętrzne narzędzie do zarządzania własnymi kampaniami reklamowymi</w:t>
      </w:r>
      <w:r>
        <w:t>. To wystarcza — nie jest to aplikacja dla klientów zewnętrznych.</w:t>
      </w:r>
    </w:p>
    <w:p>
      <w:pPr>
        <w:spacing w:before="120"/>
        <w:ind w:left="170"/>
        <w:pBdr>
          <w:left w:val="single" w:sz="18" w:space="8" w:color="2F5D50"/>
        </w:pBdr>
      </w:pPr>
      <w:r>
        <w:rPr>
          <w:i/>
          <w:color w:val="6E7076"/>
          <w:sz w:val="20"/>
        </w:rPr>
        <w:t>Amazon czasem dopytuje mailem. Warto sprawdzać skrzynkę tej samej osoby, która wysyłała wniosek.</w:t>
      </w:r>
    </w:p>
    <w:p>
      <w:pPr>
        <w:spacing w:before="320" w:after="40"/>
      </w:pPr>
      <w:r>
        <w:rPr>
          <w:b/>
          <w:color w:val="2F5D50"/>
          <w:sz w:val="25"/>
        </w:rPr>
        <w:t xml:space="preserve">Krok 2.  </w:t>
      </w:r>
      <w:r>
        <w:rPr>
          <w:b/>
          <w:sz w:val="25"/>
        </w:rPr>
        <w:t>Client ID i Client Secret</w:t>
      </w:r>
    </w:p>
    <w:p>
      <w:pPr>
        <w:spacing w:after="120"/>
      </w:pPr>
      <w:r>
        <w:rPr>
          <w:i/>
          <w:color w:val="6E7076"/>
          <w:sz w:val="18"/>
        </w:rPr>
        <w:t>ok. 5 minut · konsola deweloperska</w:t>
      </w:r>
    </w:p>
    <w:p>
      <w:r>
        <w:t xml:space="preserve">To dane identyfikujące </w:t>
      </w:r>
      <w:r>
        <w:rPr>
          <w:b/>
        </w:rPr>
        <w:t>aplikację</w:t>
      </w:r>
      <w:r>
        <w:t>, nie osobę. Znajdują się w Security Profile powiązanym z Waszym kontem reklamowym.</w:t>
      </w:r>
    </w:p>
    <w:p>
      <w:pPr>
        <w:spacing w:before="120" w:after="200"/>
        <w:ind w:left="227"/>
        <w:shd w:val="clear" w:fill="EDEBE6"/>
      </w:pPr>
      <w:r>
        <w:rPr>
          <w:rFonts w:ascii="Consolas" w:hAnsi="Consolas"/>
          <w:sz w:val="20"/>
        </w:rPr>
        <w:t>developer.amazon.com  -&gt;  Login with Amazon  -&gt;  Security Profile  -&gt;  Web Settings</w:t>
      </w:r>
    </w:p>
    <w:p>
      <w:pPr>
        <w:spacing w:after="40"/>
        <w:ind w:left="340"/>
      </w:pPr>
      <w:r>
        <w:rPr>
          <w:b/>
        </w:rPr>
        <w:t>Client ID</w:t>
      </w:r>
      <w:r>
        <w:t xml:space="preserve"> — zaczyna się od </w:t>
      </w:r>
      <w:r>
        <w:rPr>
          <w:rFonts w:ascii="Consolas" w:hAnsi="Consolas"/>
          <w:sz w:val="20"/>
        </w:rPr>
        <w:t>amzn1.application-oa2-client.</w:t>
      </w:r>
    </w:p>
    <w:p>
      <w:pPr>
        <w:ind w:left="340"/>
      </w:pPr>
      <w:r>
        <w:rPr>
          <w:b/>
        </w:rPr>
        <w:t>Client Secret</w:t>
      </w:r>
      <w:r>
        <w:t xml:space="preserve"> — ukryty, pokazuje się po kliknięciu </w:t>
      </w:r>
      <w:r>
        <w:rPr>
          <w:i/>
        </w:rPr>
        <w:t>Show Secret</w:t>
      </w:r>
    </w:p>
    <w:p>
      <w:pPr>
        <w:spacing w:before="320" w:after="40"/>
      </w:pPr>
      <w:r>
        <w:rPr>
          <w:b/>
          <w:color w:val="2F5D50"/>
          <w:sz w:val="25"/>
        </w:rPr>
        <w:t xml:space="preserve">Krok 3.  </w:t>
      </w:r>
      <w:r>
        <w:rPr>
          <w:b/>
          <w:sz w:val="25"/>
        </w:rPr>
        <w:t>Adres zwrotny</w:t>
      </w:r>
    </w:p>
    <w:p>
      <w:pPr>
        <w:spacing w:after="120"/>
      </w:pPr>
      <w:r>
        <w:rPr>
          <w:i/>
          <w:color w:val="6E7076"/>
          <w:sz w:val="18"/>
        </w:rPr>
        <w:t>ok. 1 minuta · ten sam ekran</w:t>
      </w:r>
    </w:p>
    <w:p>
      <w:r>
        <w:t xml:space="preserve">W zakładce </w:t>
      </w:r>
      <w:r>
        <w:rPr>
          <w:b/>
        </w:rPr>
        <w:t>Web Settings -&gt; Edit</w:t>
      </w:r>
      <w:r>
        <w:t xml:space="preserve"> jest pole </w:t>
      </w:r>
      <w:r>
        <w:rPr>
          <w:b/>
        </w:rPr>
        <w:t>Allowed Return URLs</w:t>
      </w:r>
      <w:r>
        <w:t>. Dodajcie tam dokładnie:</w:t>
      </w:r>
    </w:p>
    <w:p>
      <w:pPr>
        <w:spacing w:before="120" w:after="200"/>
        <w:ind w:left="227"/>
        <w:shd w:val="clear" w:fill="EDEBE6"/>
      </w:pPr>
      <w:r>
        <w:rPr>
          <w:rFonts w:ascii="Consolas" w:hAnsi="Consolas"/>
          <w:sz w:val="20"/>
        </w:rPr>
        <w:t>http://localhost:9090/redirect</w:t>
      </w:r>
    </w:p>
    <w:p>
      <w:r>
        <w:rPr>
          <w:b/>
        </w:rPr>
        <w:t>Musi być dokładnie taki ciąg.</w:t>
      </w:r>
      <w:r>
        <w:t xml:space="preserve"> Bez ukośnika na końcu, z </w:t>
      </w:r>
      <w:r>
        <w:rPr>
          <w:rFonts w:ascii="Consolas" w:hAnsi="Consolas"/>
          <w:sz w:val="20"/>
        </w:rPr>
        <w:t>http</w:t>
      </w:r>
      <w:r>
        <w:t xml:space="preserve"> — nie </w:t>
      </w:r>
      <w:r>
        <w:rPr>
          <w:rFonts w:ascii="Consolas" w:hAnsi="Consolas"/>
          <w:sz w:val="20"/>
        </w:rPr>
        <w:t>https</w:t>
      </w:r>
      <w:r>
        <w:t xml:space="preserve"> — i z portem </w:t>
      </w:r>
      <w:r>
        <w:rPr>
          <w:rFonts w:ascii="Consolas" w:hAnsi="Consolas"/>
          <w:sz w:val="20"/>
        </w:rPr>
        <w:t>9090</w:t>
      </w:r>
      <w:r>
        <w:t xml:space="preserve">. Każda różnica, nawet jeden znak, kończy się błędem </w:t>
      </w:r>
      <w:r>
        <w:rPr>
          <w:rFonts w:ascii="Consolas" w:hAnsi="Consolas"/>
          <w:sz w:val="20"/>
        </w:rPr>
        <w:t>redirect_uri mismatch</w:t>
      </w:r>
      <w:r>
        <w:t>.</w:t>
      </w:r>
    </w:p>
    <w:p>
      <w:pPr>
        <w:spacing w:before="120"/>
        <w:ind w:left="170"/>
        <w:pBdr>
          <w:left w:val="single" w:sz="18" w:space="8" w:color="2F5D50"/>
        </w:pBdr>
      </w:pPr>
      <w:r>
        <w:rPr>
          <w:i/>
          <w:color w:val="6E7076"/>
          <w:sz w:val="20"/>
        </w:rPr>
        <w:t>Adres wskazuje na komputer lokalny. Nie otwiera niczego na zewnątrz i nie jest dostępny z internetu — służy wyłącznie do odebrania odpowiedzi Amazona podczas jednorazowego logowania.</w:t>
      </w:r>
    </w:p>
    <w:p>
      <w:pPr>
        <w:spacing w:before="320" w:after="40"/>
      </w:pPr>
      <w:r>
        <w:rPr>
          <w:b/>
          <w:color w:val="2F5D50"/>
          <w:sz w:val="25"/>
        </w:rPr>
        <w:t xml:space="preserve">Krok 4.  </w:t>
      </w:r>
      <w:r>
        <w:rPr>
          <w:b/>
          <w:sz w:val="25"/>
        </w:rPr>
        <w:t>Rola użytkownika</w:t>
      </w:r>
    </w:p>
    <w:p>
      <w:pPr>
        <w:spacing w:after="120"/>
      </w:pPr>
      <w:r>
        <w:rPr>
          <w:i/>
          <w:color w:val="6E7076"/>
          <w:sz w:val="18"/>
        </w:rPr>
        <w:t>ok. 1 minuta · konsola reklamowa</w:t>
      </w:r>
    </w:p>
    <w:p>
      <w:r>
        <w:t xml:space="preserve">Osoba, która będzie korzystać z narzędzia, musi mieć na koncie reklamowym rolę pozwalającą </w:t>
      </w:r>
      <w:r>
        <w:rPr>
          <w:b/>
        </w:rPr>
        <w:t>zarządzać kampaniami</w:t>
      </w:r>
      <w:r>
        <w:t>. Sam podgląd nie wystarczy — narzędzie nie zobaczy wtedy części danych.</w:t>
      </w:r>
    </w:p>
    <w:p>
      <w:r>
        <w:br w:type="page"/>
      </w:r>
    </w:p>
    <w:p>
      <w:pPr>
        <w:pStyle w:val="Heading1"/>
        <w:spacing w:before="0" w:after="120"/>
      </w:pPr>
      <w:r>
        <w:rPr>
          <w:rFonts w:ascii="Calibri Light" w:hAnsi="Calibri Light"/>
          <w:color w:val="2F5D50"/>
          <w:sz w:val="34"/>
        </w:rPr>
        <w:t>Część II — raporty sprzedaży (SP-API)</w:t>
      </w:r>
    </w:p>
    <w:p>
      <w:r>
        <w:t>Druga, całkowicie osobna integracja. Wymaga uprawnień właściciela konta, dlatego trafia do Was, a nie do użytkownika subkonta.</w:t>
      </w:r>
    </w:p>
    <w:p>
      <w:pPr>
        <w:spacing w:before="280" w:after="0"/>
      </w:pPr>
      <w:r>
        <w:rPr>
          <w:b/>
          <w:color w:val="2F5D50"/>
          <w:sz w:val="17"/>
        </w:rPr>
        <w:t>DLACZEGO TO OSOBNA SPRAWA</w:t>
      </w:r>
    </w:p>
    <w:p>
      <w:r>
        <w:t xml:space="preserve">Ads API zna wyłącznie sprzedaż </w:t>
      </w:r>
      <w:r>
        <w:rPr>
          <w:i/>
        </w:rPr>
        <w:t>przypisaną do reklam</w:t>
      </w:r>
      <w:r>
        <w:t xml:space="preserve">. Sprzedaży organicznej nie zna wcale — sprawdziliśmy wszystkie kolumny wszystkich raportów. Bez niej nie da się policzyć TACOS, czyli stosunku wydatków na reklamę do </w:t>
      </w:r>
      <w:r>
        <w:rPr>
          <w:b/>
        </w:rPr>
        <w:t>całego</w:t>
      </w:r>
      <w:r>
        <w:t xml:space="preserve"> przychodu.</w:t>
      </w:r>
    </w:p>
    <w:p>
      <w:r>
        <w:t>Tę brakującą część daje Selling Partner API. To odrębne API, z odrębną rejestracją i odrębnymi kluczami — istniejącej aplikacji reklamowej nie da się do tego użyć.</w:t>
      </w:r>
    </w:p>
    <w:p>
      <w:r>
        <w:t>Daje też pełną listę ofert: ceny, stany magazynowe i produkty, których nigdy nie reklamowano. Bez tego narzędzie widzi tylko to, co już jest w kampaniach.</w:t>
      </w:r>
    </w:p>
    <w:p>
      <w:pPr>
        <w:spacing w:before="320" w:after="40"/>
      </w:pPr>
      <w:r>
        <w:rPr>
          <w:b/>
          <w:color w:val="2F5D50"/>
          <w:sz w:val="25"/>
        </w:rPr>
        <w:t xml:space="preserve">Krok 1.  </w:t>
      </w:r>
      <w:r>
        <w:rPr>
          <w:b/>
          <w:sz w:val="25"/>
        </w:rPr>
        <w:t>Rejestracja dewelopera</w:t>
      </w:r>
    </w:p>
    <w:p>
      <w:pPr>
        <w:spacing w:after="120"/>
      </w:pPr>
      <w:r>
        <w:rPr>
          <w:i/>
          <w:color w:val="6E7076"/>
          <w:sz w:val="18"/>
        </w:rPr>
        <w:t>Seller Central · konto główne</w:t>
      </w:r>
    </w:p>
    <w:p>
      <w:pPr>
        <w:spacing w:before="120" w:after="200"/>
        <w:ind w:left="227"/>
        <w:shd w:val="clear" w:fill="EDEBE6"/>
      </w:pPr>
      <w:r>
        <w:rPr>
          <w:rFonts w:ascii="Consolas" w:hAnsi="Consolas"/>
          <w:sz w:val="20"/>
        </w:rPr>
        <w:t>Seller Central  -&gt;  Apps and Services  -&gt;  Develop Apps</w:t>
      </w:r>
    </w:p>
    <w:p>
      <w:pPr>
        <w:spacing w:before="120"/>
        <w:ind w:left="170"/>
        <w:pBdr>
          <w:left w:val="single" w:sz="18" w:space="8" w:color="2F5D50"/>
        </w:pBdr>
      </w:pPr>
      <w:r>
        <w:rPr>
          <w:i/>
          <w:color w:val="6E7076"/>
          <w:sz w:val="20"/>
        </w:rPr>
        <w:t>Jeśli konto zostało już przeniesione do Solution Provider Portal, ta sama strona jest dostępna stamtąd.</w:t>
      </w:r>
    </w:p>
    <w:p>
      <w:pPr>
        <w:spacing w:before="320" w:after="40"/>
      </w:pPr>
      <w:r>
        <w:rPr>
          <w:b/>
          <w:color w:val="2F5D50"/>
          <w:sz w:val="25"/>
        </w:rPr>
        <w:t xml:space="preserve">Krok 2.  </w:t>
      </w:r>
      <w:r>
        <w:rPr>
          <w:b/>
          <w:sz w:val="25"/>
        </w:rPr>
        <w:t>Typ integracji i rola</w:t>
      </w:r>
    </w:p>
    <w:p>
      <w:pPr>
        <w:spacing w:after="120"/>
      </w:pPr>
      <w:r>
        <w:rPr>
          <w:i/>
          <w:color w:val="6E7076"/>
          <w:sz w:val="18"/>
        </w:rPr>
        <w:t>profil dewelopera</w:t>
      </w:r>
    </w:p>
    <w:p>
      <w:r>
        <w:t xml:space="preserve">W sekcji </w:t>
      </w:r>
      <w:r>
        <w:rPr>
          <w:b/>
        </w:rPr>
        <w:t>Data Access</w:t>
      </w:r>
      <w:r>
        <w:t xml:space="preserve"> wybierzcie opcję dla integracji własnej firmy:</w:t>
      </w:r>
    </w:p>
    <w:p>
      <w:pPr>
        <w:spacing w:before="120" w:after="200"/>
        <w:ind w:left="227"/>
        <w:shd w:val="clear" w:fill="EDEBE6"/>
      </w:pPr>
      <w:r>
        <w:rPr>
          <w:rFonts w:ascii="Consolas" w:hAnsi="Consolas"/>
          <w:sz w:val="20"/>
        </w:rPr>
        <w:t>Private Developer: I build application(s) that integrate</w:t>
      </w:r>
      <w:r>
        <w:rPr>
          <w:rFonts w:ascii="Consolas" w:hAnsi="Consolas"/>
          <w:sz w:val="20"/>
        </w:rPr>
        <w:br/>
        <w:t>my own company with Amazon Services APIs</w:t>
      </w:r>
    </w:p>
    <w:p>
      <w:r>
        <w:t xml:space="preserve">W sekcji </w:t>
      </w:r>
      <w:r>
        <w:rPr>
          <w:b/>
        </w:rPr>
        <w:t>Roles</w:t>
      </w:r>
      <w:r>
        <w:t xml:space="preserve"> zaznaczcie </w:t>
      </w:r>
      <w:r>
        <w:rPr>
          <w:b/>
        </w:rPr>
        <w:t>wyłącznie</w:t>
      </w:r>
      <w:r>
        <w:t>:</w:t>
      </w:r>
    </w:p>
    <w:p>
      <w:pPr>
        <w:spacing w:before="120" w:after="200"/>
        <w:ind w:left="227"/>
        <w:shd w:val="clear" w:fill="EDEBE6"/>
      </w:pPr>
      <w:r>
        <w:rPr>
          <w:rFonts w:ascii="Consolas" w:hAnsi="Consolas"/>
          <w:sz w:val="20"/>
        </w:rPr>
        <w:t>Brand Analytics</w:t>
      </w:r>
    </w:p>
    <w:p>
      <w:pPr>
        <w:spacing w:before="160"/>
        <w:ind w:left="170"/>
        <w:shd w:val="clear" w:fill="F7E9E3"/>
        <w:pBdr>
          <w:left w:val="single" w:sz="24" w:space="8" w:color="9C3F26"/>
        </w:pBdr>
      </w:pPr>
      <w:r>
        <w:rPr>
          <w:b/>
          <w:color w:val="9C3F26"/>
          <w:sz w:val="18"/>
        </w:rPr>
        <w:t>NIE ZAZNACZAJCIE NIC WIĘCEJ</w:t>
        <w:br/>
      </w:r>
      <w:r>
        <w:rPr>
          <w:sz w:val="20"/>
        </w:rPr>
        <w:t>Role oznaczone jako restricted i wszystko związane z danymi kupujących uruchamiają ankietę bezpieczeństwa i znacznie dłuższą procedurę. Do raportu sprzedaży nie są potrzebne — nie prosimy o żadne dane osobowe klientów.</w:t>
      </w:r>
    </w:p>
    <w:p>
      <w:pPr>
        <w:spacing w:before="320" w:after="40"/>
      </w:pPr>
      <w:r>
        <w:rPr>
          <w:b/>
          <w:color w:val="2F5D50"/>
          <w:sz w:val="25"/>
        </w:rPr>
        <w:t xml:space="preserve">Krok 3.  </w:t>
      </w:r>
      <w:r>
        <w:rPr>
          <w:b/>
          <w:sz w:val="25"/>
        </w:rPr>
        <w:t>Klucze aplikacji</w:t>
      </w:r>
    </w:p>
    <w:p>
      <w:pPr>
        <w:spacing w:after="120"/>
      </w:pPr>
      <w:r>
        <w:rPr>
          <w:i/>
          <w:color w:val="6E7076"/>
          <w:sz w:val="18"/>
        </w:rPr>
        <w:t>po akceptacji Amazona</w:t>
      </w:r>
    </w:p>
    <w:p>
      <w:r>
        <w:t xml:space="preserve">Po zatwierdzeniu w tym samym miejscu pojawią się </w:t>
      </w:r>
      <w:r>
        <w:rPr>
          <w:b/>
        </w:rPr>
        <w:t>Client ID</w:t>
      </w:r>
      <w:r>
        <w:t xml:space="preserve"> i </w:t>
      </w:r>
      <w:r>
        <w:rPr>
          <w:b/>
        </w:rPr>
        <w:t>Client Secret</w:t>
      </w:r>
      <w:r>
        <w:t xml:space="preserve"> — inne niż te z części I. Obie integracje mają własne, niezależne klucze.</w:t>
      </w:r>
    </w:p>
    <w:p>
      <w:pPr>
        <w:spacing w:before="120"/>
        <w:ind w:left="170"/>
        <w:pBdr>
          <w:left w:val="single" w:sz="18" w:space="8" w:color="2F5D50"/>
        </w:pBdr>
      </w:pPr>
      <w:r>
        <w:rPr>
          <w:i/>
          <w:color w:val="6E7076"/>
          <w:sz w:val="20"/>
        </w:rPr>
        <w:t>Rola Brand Analytics bywa nadawana z opóźnieniem — u nas trwało to około pół godziny po akceptacji. Jeśli pierwsze połączenie nie działa, zwykle wystarczy odczekać.</w:t>
      </w:r>
    </w:p>
    <w:p>
      <w:pPr>
        <w:pStyle w:val="Heading1"/>
        <w:spacing w:before="360" w:after="120"/>
      </w:pPr>
      <w:r>
        <w:rPr>
          <w:rFonts w:ascii="Calibri Light" w:hAnsi="Calibri Light"/>
          <w:color w:val="2F5D50"/>
          <w:sz w:val="34"/>
        </w:rPr>
        <w:t>Zakres — co to oznacza dla konta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907"/>
          </w:tcPr>
          <w:p>
            <w:pPr>
              <w:jc w:val="center"/>
              <w:shd w:val="clear" w:fill="E4EDE9"/>
            </w:pPr>
            <w:r>
              <w:rPr>
                <w:b/>
                <w:color w:val="2F5D50"/>
                <w:sz w:val="18"/>
              </w:rPr>
              <w:t>TAK</w:t>
            </w:r>
          </w:p>
        </w:tc>
        <w:tc>
          <w:tcPr>
            <w:tcW w:type="dxa" w:w="8164"/>
          </w:tcPr>
          <w:p>
            <w:pPr>
              <w:spacing w:after="40"/>
            </w:pPr>
            <w:r>
              <w:t xml:space="preserve">Narzędzie </w:t>
            </w:r>
            <w:r>
              <w:rPr>
                <w:b/>
              </w:rPr>
              <w:t>czyta</w:t>
            </w:r>
            <w:r>
              <w:t xml:space="preserve"> dane kampanii i sprzedaży: wydatki, przychód, frazy wyszukiwania, stany magazynowe.</w:t>
            </w:r>
          </w:p>
        </w:tc>
      </w:tr>
      <w:tr>
        <w:tc>
          <w:tcPr>
            <w:tcW w:type="dxa" w:w="907"/>
          </w:tcPr>
          <w:p>
            <w:pPr>
              <w:jc w:val="center"/>
              <w:shd w:val="clear" w:fill="E4EDE9"/>
            </w:pPr>
            <w:r>
              <w:rPr>
                <w:b/>
                <w:color w:val="2F5D50"/>
                <w:sz w:val="18"/>
              </w:rPr>
              <w:t>TAK</w:t>
            </w:r>
          </w:p>
        </w:tc>
        <w:tc>
          <w:tcPr>
            <w:tcW w:type="dxa" w:w="8164"/>
          </w:tcPr>
          <w:p>
            <w:pPr>
              <w:spacing w:after="40"/>
            </w:pPr>
            <w:r>
              <w:t xml:space="preserve">Może wprowadzać zmiany w kampaniach — stawki, budżety, wykluczenia — ale </w:t>
            </w:r>
            <w:r>
              <w:rPr>
                <w:b/>
              </w:rPr>
              <w:t>każda wymaga osobnego, ręcznego zatwierdzenia</w:t>
            </w:r>
            <w:r>
              <w:t>. Nic nie dzieje się automatycznie.</w:t>
            </w:r>
          </w:p>
        </w:tc>
      </w:tr>
      <w:tr>
        <w:tc>
          <w:tcPr>
            <w:tcW w:type="dxa" w:w="907"/>
          </w:tcPr>
          <w:p>
            <w:pPr>
              <w:jc w:val="center"/>
              <w:shd w:val="clear" w:fill="F7E9E3"/>
            </w:pPr>
            <w:r>
              <w:rPr>
                <w:b/>
                <w:color w:val="9C3F26"/>
                <w:sz w:val="18"/>
              </w:rPr>
              <w:t>NIE</w:t>
            </w:r>
          </w:p>
        </w:tc>
        <w:tc>
          <w:tcPr>
            <w:tcW w:type="dxa" w:w="8164"/>
          </w:tcPr>
          <w:p>
            <w:pPr>
              <w:spacing w:after="40"/>
            </w:pPr>
            <w:r>
              <w:t>Nie ma dostępu do danych osobowych kupujących ani do metod płatności.</w:t>
            </w:r>
          </w:p>
        </w:tc>
      </w:tr>
      <w:tr>
        <w:tc>
          <w:tcPr>
            <w:tcW w:type="dxa" w:w="907"/>
          </w:tcPr>
          <w:p>
            <w:pPr>
              <w:jc w:val="center"/>
              <w:shd w:val="clear" w:fill="F7E9E3"/>
            </w:pPr>
            <w:r>
              <w:rPr>
                <w:b/>
                <w:color w:val="9C3F26"/>
                <w:sz w:val="18"/>
              </w:rPr>
              <w:t>NIE</w:t>
            </w:r>
          </w:p>
        </w:tc>
        <w:tc>
          <w:tcPr>
            <w:tcW w:type="dxa" w:w="8164"/>
          </w:tcPr>
          <w:p>
            <w:pPr>
              <w:spacing w:after="40"/>
            </w:pPr>
            <w:r>
              <w:t>Nie zmienia niczego po stronie sprzedażowej — ofert, cen, stanów magazynowych ani zamówień.</w:t>
            </w:r>
          </w:p>
        </w:tc>
      </w:tr>
      <w:tr>
        <w:tc>
          <w:tcPr>
            <w:tcW w:type="dxa" w:w="907"/>
          </w:tcPr>
          <w:p>
            <w:pPr>
              <w:jc w:val="center"/>
              <w:shd w:val="clear" w:fill="F7E9E3"/>
            </w:pPr>
            <w:r>
              <w:rPr>
                <w:b/>
                <w:color w:val="9C3F26"/>
                <w:sz w:val="18"/>
              </w:rPr>
              <w:t>NIE</w:t>
            </w:r>
          </w:p>
        </w:tc>
        <w:tc>
          <w:tcPr>
            <w:tcW w:type="dxa" w:w="8164"/>
          </w:tcPr>
          <w:p>
            <w:pPr>
              <w:spacing w:after="40"/>
            </w:pPr>
            <w:r>
              <w:t>Nie udostępnia niczego na zewnątrz. Dane pozostają na naszym serwerze.</w:t>
            </w:r>
          </w:p>
        </w:tc>
      </w:tr>
      <w:tr>
        <w:tc>
          <w:tcPr>
            <w:tcW w:type="dxa" w:w="907"/>
          </w:tcPr>
          <w:p>
            <w:pPr>
              <w:jc w:val="center"/>
              <w:shd w:val="clear" w:fill="E4EDE9"/>
            </w:pPr>
            <w:r>
              <w:rPr>
                <w:b/>
                <w:color w:val="2F5D50"/>
                <w:sz w:val="18"/>
              </w:rPr>
              <w:t>TAK</w:t>
            </w:r>
          </w:p>
        </w:tc>
        <w:tc>
          <w:tcPr>
            <w:tcW w:type="dxa" w:w="8164"/>
          </w:tcPr>
          <w:p>
            <w:pPr>
              <w:spacing w:after="40"/>
            </w:pPr>
            <w:r>
              <w:t>Dostęp można cofnąć w każdej chwili — usuwając aplikację z listy autoryzowanych.</w:t>
            </w:r>
          </w:p>
        </w:tc>
      </w:tr>
    </w:tbl>
    <w:p>
      <w:pPr>
        <w:pStyle w:val="Heading1"/>
        <w:spacing w:before="360" w:after="120"/>
      </w:pPr>
      <w:r>
        <w:rPr>
          <w:rFonts w:ascii="Calibri Light" w:hAnsi="Calibri Light"/>
          <w:color w:val="2F5D50"/>
          <w:sz w:val="34"/>
        </w:rPr>
        <w:t>Do odesłania</w:t>
      </w:r>
    </w:p>
    <w:p>
      <w:r>
        <w:rPr>
          <w:b/>
        </w:rPr>
        <w:t xml:space="preserve">Część I: </w:t>
      </w:r>
      <w:r>
        <w:t>Client ID i Client Secret z Security Profile, plus potwierdzenie, że adres zwrotny został dodany.</w:t>
      </w:r>
    </w:p>
    <w:p>
      <w:r>
        <w:rPr>
          <w:b/>
        </w:rPr>
        <w:t xml:space="preserve">Część II: </w:t>
      </w:r>
      <w:r>
        <w:t>Client ID i Client Secret z Seller Central.</w:t>
      </w:r>
    </w:p>
    <w:p>
      <w:pPr>
        <w:spacing w:before="160"/>
        <w:ind w:left="170"/>
        <w:shd w:val="clear" w:fill="F7E9E3"/>
        <w:pBdr>
          <w:left w:val="single" w:sz="24" w:space="8" w:color="9C3F26"/>
        </w:pBdr>
      </w:pPr>
      <w:r>
        <w:rPr>
          <w:b/>
          <w:color w:val="9C3F26"/>
          <w:sz w:val="18"/>
        </w:rPr>
        <w:t>SPOSÓB PRZESŁANIA</w:t>
        <w:br/>
      </w:r>
      <w:r>
        <w:rPr>
          <w:sz w:val="20"/>
        </w:rPr>
        <w:t>Client Secret to hasło do konta. Prześlijcie oba menedżerem haseł albo wiadomością, którą da się później usunąć — nie zwykłym mailem, który zostanie w archiwum na lata.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