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 w:line="300" w:lineRule="auto"/>
      </w:pPr>
      <w:r>
        <w:rPr>
          <w:rFonts w:ascii="Calibri" w:hAnsi="Calibri" w:eastAsia="Calibri"/>
          <w:b/>
          <w:color w:val="5F6774"/>
          <w:sz w:val="20"/>
        </w:rPr>
        <w:t>SENTINEL COSTA BLANCA</w:t>
      </w:r>
    </w:p>
    <w:p>
      <w:pPr>
        <w:keepNext/>
        <w:spacing w:before="0" w:after="80" w:line="300" w:lineRule="auto"/>
      </w:pPr>
      <w:r>
        <w:rPr>
          <w:rFonts w:ascii="Calibri" w:hAnsi="Calibri" w:eastAsia="Calibri"/>
          <w:b/>
          <w:i w:val="0"/>
          <w:color w:val="182330"/>
          <w:sz w:val="40"/>
        </w:rPr>
        <w:t>Potwierdzenie przekazania / zwrotu kluczy i dostępu</w:t>
      </w:r>
    </w:p>
    <w:p>
      <w:pPr>
        <w:keepNext w:val="0"/>
        <w:spacing w:before="0" w:after="240" w:line="300" w:lineRule="auto"/>
      </w:pPr>
      <w:r>
        <w:rPr>
          <w:rFonts w:ascii="Calibri" w:hAnsi="Calibri" w:eastAsia="Calibri"/>
          <w:b w:val="0"/>
          <w:i w:val="0"/>
          <w:color w:val="5F6774"/>
          <w:sz w:val="24"/>
        </w:rPr>
        <w:t>AKC-03 Key Handover / Return Receipt - dokument roboczy v0.2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8"/>
              </w:rPr>
              <w:t>Pole</w:t>
            </w:r>
          </w:p>
        </w:tc>
        <w:tc>
          <w:tcPr>
            <w:tcW w:type="dxa" w:w="68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8"/>
              </w:rPr>
              <w:t>Wartość</w:t>
            </w:r>
          </w:p>
        </w:tc>
      </w:tr>
      <w:tr>
        <w:tc>
          <w:tcPr>
            <w:tcW w:type="dxa" w:w="25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Rodzaj</w:t>
            </w:r>
          </w:p>
        </w:tc>
        <w:tc>
          <w:tcPr>
            <w:tcW w:type="dxa" w:w="68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wewnętrzny dokument roboczy (draft) — rekord przekazania / zwrotu</w:t>
            </w:r>
          </w:p>
        </w:tc>
      </w:tr>
      <w:tr>
        <w:tc>
          <w:tcPr>
            <w:tcW w:type="dxa" w:w="25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Wersja</w:t>
            </w:r>
          </w:p>
        </w:tc>
        <w:tc>
          <w:tcPr>
            <w:tcW w:type="dxa" w:w="68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v0.2 robocza (mikro-poprawka warmth/clarity)</w:t>
            </w:r>
          </w:p>
        </w:tc>
      </w:tr>
      <w:tr>
        <w:tc>
          <w:tcPr>
            <w:tcW w:type="dxa" w:w="25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Przegląd</w:t>
            </w:r>
          </w:p>
        </w:tc>
        <w:tc>
          <w:tcPr>
            <w:tcW w:type="dxa" w:w="68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wymaga przeglądu właściciela; częściowy przegląd prawny tam, gdzie oznaczono</w:t>
            </w:r>
          </w:p>
        </w:tc>
      </w:tr>
      <w:tr>
        <w:tc>
          <w:tcPr>
            <w:tcW w:type="dxa" w:w="25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Zatwierdzenie</w:t>
            </w:r>
          </w:p>
        </w:tc>
        <w:tc>
          <w:tcPr>
            <w:tcW w:type="dxa" w:w="68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nie zatwierdzony do użytku z klientem i nie do podpisu prawnego</w:t>
            </w:r>
          </w:p>
        </w:tc>
      </w:tr>
      <w:tr>
        <w:tc>
          <w:tcPr>
            <w:tcW w:type="dxa" w:w="25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Źródło zakresu</w:t>
            </w:r>
          </w:p>
        </w:tc>
        <w:tc>
          <w:tcPr>
            <w:tcW w:type="dxa" w:w="68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SCO-01 (przechowanie / dostęp w zakresie)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FF8E8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OSTRZEŻENIE: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Dokument roboczy. Nie jest umową ani aneksem odpowiedzialności. Służy do udokumentowania jednego przekazania, odbioru albo zwrotu kluczy / dostępu. Zakres wynika z SCO-01 lub późniejszego pisemnego potwierdzenia. Nie wpisuje się tu kodów, haseł ani pełnych danych dostępowych.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82330"/>
          <w:sz w:val="21"/>
        </w:rPr>
        <w:t>&lt;!-- v0.2 = warmth/clarity micro-patch after SCO-01: owner reassurance, who-fills line, prominent no-secrets rule, digital-access skip note, mixed key-test exception note, handover/return block instruction. Structure and custody doctrine unchanged. --&gt;</w:t>
      </w:r>
    </w:p>
    <w:p>
      <w:pPr>
        <w:keepNext w:val="0"/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82330"/>
          <w:sz w:val="21"/>
        </w:rPr>
        <w:t>Ten dokument chroni właściciela i Sentinel: zapisuje, co dokładnie przekazano albo zwrócono, kiedy, w jakim widocznym stanie i co wymaga dalszego sprawdzenia.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EAF2FB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KTO WYPEŁNIA: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formularz wypełnia operator Sentinel podczas przekazania, odbioru albo zwrotu. Osoba przekazująca lub odbierająca może przejrzeć gotowy zapis.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FF8E8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BEZPIECZEŃSTWO: </w:t>
            </w:r>
            <w:r>
              <w:rPr>
                <w:rFonts w:ascii="Calibri" w:hAnsi="Calibri" w:eastAsia="Calibri"/>
                <w:b/>
                <w:i w:val="0"/>
                <w:color w:val="182330"/>
                <w:sz w:val="21"/>
              </w:rPr>
              <w:t>Dla bezpieczeństwa nie zapisuje się tu: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 xml:space="preserve"> pełnego adresu, kodów, haseł, PIN-ów, etykiet Wi-Fi ani kodów sejfu. Dostęp cyfrowy zapisujemy wyłącznie jako status (np. przyznany / przetestowany / cofnięty).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82330"/>
          <w:sz w:val="21"/>
        </w:rPr>
        <w:t>Jeden dokument dokumentuje jedno zdarzenie: przekazanie, odbiór albo zwrot. Liczba, identyfikatory i widoczny stan kluczy oraz status dostępu należą tutaj, a nie do SCO-01. To potwierdzenie nie tworzy uprawnień dostępu ponad SCO-01.</w:t>
      </w: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1. Rekord zdarzenia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ID potwierdzenia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AKC-03 / 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Referencja nieruchomości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SEN-PROP-______ (bez pełnego adresu)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Data / godzina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Typ zdarzenia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przekazanie: właściciel → Sentinel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przekazanie: Sentinel → właściciel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zwrot końcowy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wymiana / aktualizacja dostępu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potwierdzenie dostępu cyfrowego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inne: 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Powiązany SCO-01 / pisemne potwierdzenie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SCO-01 / 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Osoba przekazująca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Osoba odbierająca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Miejsce przekazania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 (obszar / miejscowość; bez pełnego adresu)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Status dokumentu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roboczy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potwierdzony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skorygowany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zastąpiony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2. Zakres dostępu z SCO-01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Przechowanie / dostęp w zakresie?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tak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oczekuje na decyzję właściciela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/ nie dotyczy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Dozwolone użycie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planowa wizyta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gotowość / sprzątanie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dostęp awaryjny / ochronny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dostęp wykonawcy tylko po decyzji właściciela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inna pisemna instrukcja: 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Ograniczenia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strefy prywatne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strefy bez zdjęć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ograniczenia czasu dostępu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inne: 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REGUŁA: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To potwierdzenie nie tworzy praw dostępu ponad SCO-01 lub pisemną instrukcję właściciela.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3. Przekazywane elementy fizyczne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1700"/>
        <w:gridCol w:w="2200"/>
        <w:gridCol w:w="900"/>
        <w:gridCol w:w="2160"/>
        <w:gridCol w:w="24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8"/>
              </w:rPr>
              <w:t>Wewn. ref</w:t>
            </w:r>
          </w:p>
        </w:tc>
        <w:tc>
          <w:tcPr>
            <w:tcW w:type="dxa" w:w="22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8"/>
              </w:rPr>
              <w:t>Typ</w:t>
            </w:r>
          </w:p>
        </w:tc>
        <w:tc>
          <w:tcPr>
            <w:tcW w:type="dxa" w:w="9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8"/>
              </w:rPr>
              <w:t>Ilość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8"/>
              </w:rPr>
              <w:t>Widoczny stan</w:t>
            </w:r>
          </w:p>
        </w:tc>
        <w:tc>
          <w:tcPr>
            <w:tcW w:type="dxa" w:w="24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8"/>
              </w:rPr>
              <w:t>Uwagi</w:t>
            </w:r>
          </w:p>
        </w:tc>
      </w:tr>
      <w:tr>
        <w:tc>
          <w:tcPr>
            <w:tcW w:type="dxa" w:w="17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2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9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4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</w:tr>
      <w:tr>
        <w:tc>
          <w:tcPr>
            <w:tcW w:type="dxa" w:w="17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2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9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4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</w:tr>
      <w:tr>
        <w:tc>
          <w:tcPr>
            <w:tcW w:type="dxa" w:w="17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2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9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4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</w:tr>
      <w:tr>
        <w:tc>
          <w:tcPr>
            <w:tcW w:type="dxa" w:w="17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2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9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  <w:tc>
          <w:tcPr>
            <w:tcW w:type="dxa" w:w="24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8"/>
              </w:rPr>
              <w:t>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REGUŁA: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Typ: klucz apartamentu · klucz budynku / wspólnoty · klucz garażu / komórki · klucz skrzynki · pilot / karta / fob · inny. Na etykietach nie umieszcza się pełnego adresu ani oznaczeń ujawniających dostęp. Zapisuje się wyłącznie widoczny stan.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4. Dostęp cyfrowy / smart lock / alarm — jeśli dotyczy</w:t>
      </w:r>
    </w:p>
    <w:p>
      <w:pPr>
        <w:keepNext w:val="0"/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82330"/>
          <w:sz w:val="21"/>
        </w:rPr>
        <w:t>Jeżeli nie ma dostępu cyfrowego, zaznacz nie dotyczy i pomiń pozostałe pola tej sekcji.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Rodzaj dostępu cyfrowego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aplikacja smart lock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kod tymczasowy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aplikacja alarmu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aplikacja budynku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dotyczy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Status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przyznany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przetestowany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oczekuje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cofnięty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dotyczy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Kto kontroluje dane dostępowe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właściciel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Sentinel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osoba trzecia / administrator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Czy zapisano tu dane dostępowe?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Uwaga o cofnięciu / wygaśnięciu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Wynik testu (bez kodu)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REGUŁA: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W AKC-03 nie zapisuje się rzeczywistych kodów, haseł, PIN-ów, danych logowania do aplikacji, etykiet Wi-Fi ani kodów sejfu. Dostęp cyfrowy zapisuje się wyłącznie jako status.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5. Test dostępu przy odbiorze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Klucz fizyczny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przetestowany, działa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testowano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problem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dotyczy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Dostęp do budynku / części wspólnych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przetestowany, działa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testowano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problem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dotyczy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Dostęp cyfrowy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przetestowany, działa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testowano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problem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dotyczy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Opis problemu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Potrzebny dalszy krok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82330"/>
          <w:sz w:val="21"/>
        </w:rPr>
        <w:t>Jeżeli część kluczy działa, a część nie była testowana albo ma problem, wpisz wyjątek w opisie problemu i w sekcji 8.</w:t>
      </w: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6. Zdjęcia / dowody przekazania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Zdjęcie zestawu kluczy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wykonane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wykonane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dotyczy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Ograniczenia zdjęć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Referencja dowodu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Oznaczenia wrażliwe ukryte / wykadrowane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tak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 dotyczy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REGUŁA: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Zdjęcie może pokazać liczbę i stan kluczy, ale nie może ujawniać etykiet adresowych, kodów ani wrażliwych identyfikatorów.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7. Potwierdzenie odbioru / zwrotu</w:t>
      </w:r>
    </w:p>
    <w:p>
      <w:pPr>
        <w:keepNext w:val="0"/>
        <w:spacing w:before="0" w:after="120" w:line="300" w:lineRule="auto"/>
      </w:pPr>
      <w:r>
        <w:rPr>
          <w:rFonts w:ascii="Calibri" w:hAnsi="Calibri" w:eastAsia="Calibri"/>
          <w:b w:val="0"/>
          <w:i w:val="0"/>
          <w:color w:val="182330"/>
          <w:sz w:val="21"/>
        </w:rPr>
        <w:t>Wypełnij tylko blok odpowiadający temu zdarzeniu. Drugi blok oznacz jako nie dotyczy albo zdarzenie przyszłe.</w:t>
      </w:r>
    </w:p>
    <w:p>
      <w:pPr>
        <w:pStyle w:val="Heading2"/>
        <w:keepNext/>
        <w:spacing w:before="180" w:after="80" w:line="300" w:lineRule="auto"/>
      </w:pPr>
      <w:r/>
      <w:r>
        <w:rPr>
          <w:rFonts w:ascii="Calibri" w:hAnsi="Calibri" w:eastAsia="Calibri"/>
          <w:b/>
          <w:i w:val="0"/>
          <w:color w:val="1F4D78"/>
          <w:sz w:val="23"/>
        </w:rPr>
        <w:t>A. Przekazanie do Sentinel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Przekazał(a)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Odebrał(a)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Data / godzina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Liczba potwierdzona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tak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nie: 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Widoczny stan potwierdzony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tak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uwagi: 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Uwagi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Potwierdzenie (bez podpisu prawnego)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80" w:line="300" w:lineRule="auto"/>
      </w:pPr>
      <w:r/>
      <w:r>
        <w:rPr>
          <w:rFonts w:ascii="Calibri" w:hAnsi="Calibri" w:eastAsia="Calibri"/>
          <w:b/>
          <w:i w:val="0"/>
          <w:color w:val="1F4D78"/>
          <w:sz w:val="23"/>
        </w:rPr>
        <w:t>B. Zwrot od Sentinel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Zwrócił(a)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Odebrał(a)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Data / godzina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Liczba potwierdzona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tak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nie: 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Widoczny stan przy zwrocie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Różnice / braki / problem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Potwierdzenie (bez podpisu prawnego)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REGUŁA: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Potwierdzenie jest dowodem operacyjnym, nie finalną klauzulą prawną. Odnotowuje się wyłącznie widoczne fakty; nie ma ukrytego przyjęcia szkód lub braków ponad to, co widocznie zapisano.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8. Różnice, braki, problem z dostępem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Problem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Widoczny fakt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Co Sentinel zrobił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Czego Sentinel nie zrobił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Dalszy krok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aktualizacja SCO-01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notatka AKC-02 / AKC-04 (później)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raport REC-01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wniosek decyzyjny REC-03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☐ potrzebna instrukcja właściciela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F4F6F9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REGUŁA: </w:t>
            </w:r>
            <w:r>
              <w:rPr>
                <w:rFonts w:ascii="Calibri" w:hAnsi="Calibri" w:eastAsia="Calibri"/>
                <w:b w:val="0"/>
                <w:i w:val="0"/>
                <w:color w:val="182330"/>
                <w:sz w:val="21"/>
              </w:rPr>
              <w:t>(Powtórz blok dla każdego problemu.) Wyłącznie widoczne fakty; bez diagnozy zamka ani systemu technicznego.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9. Granice potwierdzenia</w:t>
      </w:r>
    </w:p>
    <w:p>
      <w:pPr>
        <w:pStyle w:val="SentinelBullet"/>
      </w:pPr>
      <w:r>
        <w:rPr>
          <w:rFonts w:ascii="Calibri" w:hAnsi="Calibri" w:eastAsia="Calibri"/>
          <w:b w:val="0"/>
          <w:i w:val="0"/>
          <w:color w:val="182330"/>
          <w:sz w:val="20"/>
        </w:rPr>
        <w:t>Dokumentuje wyłącznie przekazanie, zwrot albo status dostępu.</w:t>
      </w:r>
    </w:p>
    <w:p>
      <w:pPr>
        <w:pStyle w:val="SentinelBullet"/>
      </w:pPr>
      <w:r>
        <w:rPr>
          <w:rFonts w:ascii="Calibri" w:hAnsi="Calibri" w:eastAsia="Calibri"/>
          <w:b w:val="0"/>
          <w:i w:val="0"/>
          <w:color w:val="182330"/>
          <w:sz w:val="20"/>
        </w:rPr>
        <w:t>Nie zastępuje SCO-01.</w:t>
      </w:r>
    </w:p>
    <w:p>
      <w:pPr>
        <w:pStyle w:val="SentinelBullet"/>
      </w:pPr>
      <w:r>
        <w:rPr>
          <w:rFonts w:ascii="Calibri" w:hAnsi="Calibri" w:eastAsia="Calibri"/>
          <w:b w:val="0"/>
          <w:i w:val="0"/>
          <w:color w:val="182330"/>
          <w:sz w:val="20"/>
        </w:rPr>
        <w:t>Nie tworzy uprawnień dostępu ponad SCO-01 lub pisemną instrukcję właściciela.</w:t>
      </w:r>
    </w:p>
    <w:p>
      <w:pPr>
        <w:pStyle w:val="SentinelBullet"/>
      </w:pPr>
      <w:r>
        <w:rPr>
          <w:rFonts w:ascii="Calibri" w:hAnsi="Calibri" w:eastAsia="Calibri"/>
          <w:b w:val="0"/>
          <w:i w:val="0"/>
          <w:color w:val="182330"/>
          <w:sz w:val="20"/>
        </w:rPr>
        <w:t>Nie zapisuje rzeczywistych kodów, haseł ani PIN-ów.</w:t>
      </w:r>
    </w:p>
    <w:p>
      <w:pPr>
        <w:pStyle w:val="SentinelBullet"/>
      </w:pPr>
      <w:r>
        <w:rPr>
          <w:rFonts w:ascii="Calibri" w:hAnsi="Calibri" w:eastAsia="Calibri"/>
          <w:b w:val="0"/>
          <w:i w:val="0"/>
          <w:color w:val="182330"/>
          <w:sz w:val="20"/>
        </w:rPr>
        <w:t>Nie diagnozuje zamków ani systemów technicznych.</w:t>
      </w:r>
    </w:p>
    <w:p>
      <w:pPr>
        <w:pStyle w:val="SentinelBullet"/>
      </w:pPr>
      <w:r>
        <w:rPr>
          <w:rFonts w:ascii="Calibri" w:hAnsi="Calibri" w:eastAsia="Calibri"/>
          <w:b w:val="0"/>
          <w:i w:val="0"/>
          <w:color w:val="182330"/>
          <w:sz w:val="20"/>
        </w:rPr>
        <w:t>Nie tworzy nieograniczonej odpowiedzialności.</w:t>
      </w:r>
    </w:p>
    <w:p>
      <w:pPr>
        <w:pStyle w:val="SentinelBullet"/>
      </w:pPr>
      <w:r>
        <w:rPr>
          <w:rFonts w:ascii="Calibri" w:hAnsi="Calibri" w:eastAsia="Calibri"/>
          <w:b w:val="0"/>
          <w:i w:val="0"/>
          <w:color w:val="182330"/>
          <w:sz w:val="20"/>
        </w:rPr>
        <w:t>Każdy problem z dostępem dokumentuje się osobno.</w:t>
      </w:r>
    </w:p>
    <w:p>
      <w:pPr>
        <w:pStyle w:val="Heading1"/>
        <w:keepNext/>
        <w:spacing w:before="320" w:after="140" w:line="300" w:lineRule="auto"/>
      </w:pPr>
      <w:r/>
      <w:r>
        <w:rPr>
          <w:rFonts w:ascii="Calibri" w:hAnsi="Calibri" w:eastAsia="Calibri"/>
          <w:b/>
          <w:i w:val="0"/>
          <w:color w:val="2E74B5"/>
          <w:sz w:val="30"/>
        </w:rPr>
        <w:t>10. Notatki operatora / archiwum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0DC"/>
          <w:left w:val="single" w:sz="4" w:space="0" w:color="C8D0DC"/>
          <w:bottom w:val="single" w:sz="4" w:space="0" w:color="C8D0DC"/>
          <w:right w:val="single" w:sz="4" w:space="0" w:color="C8D0DC"/>
          <w:insideH w:val="single" w:sz="4" w:space="0" w:color="C8D0DC"/>
          <w:insideV w:val="single" w:sz="4" w:space="0" w:color="C8D0DC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Pole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8EEF5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i w:val="0"/>
                <w:color w:val="182330"/>
                <w:sz w:val="19"/>
              </w:rPr>
              <w:t>Wartość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Referencja archiwum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Powiązane dokumenty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 (np. SCO-01; później AKC-02 / AKC-04)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Przygotował(a)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Sprawdził(a)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  <w:tr>
        <w:tc>
          <w:tcPr>
            <w:tcW w:type="dxa" w:w="260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Potrzebna aktualizacja</w:t>
            </w:r>
          </w:p>
        </w:tc>
        <w:tc>
          <w:tcPr>
            <w:tcW w:type="dxa" w:w="67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82330"/>
                <w:sz w:val="19"/>
              </w:rPr>
              <w:t>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Calibri"/>
        <w:color w:val="5F6774"/>
        <w:sz w:val="17"/>
      </w:rPr>
      <w:t xml:space="preserve">Strona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 w:eastAsia="Calibri"/>
        <w:color w:val="5F6774"/>
        <w:sz w:val="17"/>
      </w:rPr>
      <w:t>Sentinel Costa Blanca | AKC-03 Potwierdzenie przekazania / zwrotu | wersja robocza v0.2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823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ntinelBullet">
    <w:name w:val="Sentinel Bullet"/>
    <w:basedOn w:val="Normal"/>
    <w:pPr>
      <w:spacing w:after="80" w:line="300" w:lineRule="auto"/>
      <w:ind w:left="540" w:hanging="271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Handover / Return Receipt - Working Draft PL v0.2</dc:title>
  <dc:subject>Sentinel Costa Blanca working document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>draft-source</cp:category>
</cp:coreProperties>
</file>