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60" w:line="240" w:lineRule="auto"/>
      </w:pPr>
      <w:r>
        <w:rPr>
          <w:rFonts w:ascii="Calibri" w:hAnsi="Calibri" w:eastAsia="Calibri"/>
          <w:b/>
          <w:color w:val="326B69"/>
          <w:sz w:val="22"/>
        </w:rPr>
        <w:t>SENTINEL COSTA BLANCA</w:t>
      </w:r>
    </w:p>
    <w:p>
      <w:pPr>
        <w:spacing w:before="0" w:after="160" w:line="240" w:lineRule="auto"/>
      </w:pPr>
      <w:r>
        <w:rPr>
          <w:rFonts w:ascii="Calibri" w:hAnsi="Calibri" w:eastAsia="Calibri"/>
          <w:b/>
          <w:color w:val="203A4A"/>
          <w:sz w:val="48"/>
        </w:rPr>
        <w:t>Wniosek decyzyjny właściciela</w:t>
      </w:r>
    </w:p>
    <w:p>
      <w:pPr>
        <w:spacing w:before="0" w:after="440" w:line="240" w:lineRule="auto"/>
      </w:pPr>
      <w:r>
        <w:rPr>
          <w:rFonts w:ascii="Calibri" w:hAnsi="Calibri" w:eastAsia="Calibri"/>
          <w:b/>
          <w:color w:val="5B6870"/>
          <w:sz w:val="26"/>
        </w:rPr>
        <w:t>REC-03 Decision Request - dokument roboczy v0.2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7440"/>
          <w:left w:val="single" w:sz="8" w:space="0" w:color="8A7440"/>
          <w:bottom w:val="single" w:sz="8" w:space="0" w:color="8A7440"/>
          <w:right w:val="single" w:sz="8" w:space="0" w:color="8A7440"/>
          <w:insideH w:val="single" w:sz="8" w:space="0" w:color="8A7440"/>
          <w:insideV w:val="single" w:sz="8" w:space="0" w:color="8A7440"/>
        </w:tblBorders>
      </w:tblPr>
      <w:tblGrid>
        <w:gridCol w:w="9360"/>
      </w:tblGrid>
      <w:tr>
        <w:tc>
          <w:tcPr>
            <w:tcW w:type="dxa" w:w="9360"/>
            <w:shd w:fill="F4F1E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B422A"/>
                <w:sz w:val="19"/>
              </w:rPr>
              <w:t>WAŻNE: Dokument roboczy. Nie jest umową, fakturą, wyceną ani zleceniem wykonawcy. Służy do uzyskania decyzji właściciela przed działaniem, kosztem albo eskalacją. Opiera się na REC-01 i widocznych faktach. Nie jest diagnozą techniczną. Nie tworzy nowego uprawnienia do wydatku.</w:t>
            </w:r>
          </w:p>
        </w:tc>
      </w:tr>
    </w:tbl>
    <w:p>
      <w:pPr>
        <w:spacing w:before="0" w:after="120" w:line="240" w:lineRule="auto"/>
      </w:pPr>
    </w:p>
    <w:p>
      <w:pPr>
        <w:spacing w:before="200" w:after="100" w:line="240" w:lineRule="auto"/>
      </w:pPr>
      <w:r>
        <w:rPr>
          <w:rFonts w:ascii="Calibri" w:hAnsi="Calibri" w:eastAsia="Calibri"/>
          <w:b/>
          <w:color w:val="326B69"/>
          <w:sz w:val="24"/>
        </w:rPr>
        <w:t>Cel dokumentu</w:t>
      </w: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Jeden wniosek dotyczy jednej decyzji. REC-03 powstaje tylko wtedy, gdy potrzebna jest decyzja właściciela, zanim Sentinel zadziała, poniesie koszt, zorganizuje dostęp wykonawcy albo wyjdzie poza normalny zakres. Zwykłe uwagi bez decyzji zostają w REC-01.</w:t>
      </w: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0. Decyzja do podjęcia — dla właściciela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Prosimy o decyzję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Czego dotyczy sprawa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Proponowany następny krok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Czy wiąże się z kosztem?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tak — kwota znana: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możliwe — potrzebna wycena / potwierdzenie wykonawcy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Czy bez odpowiedzi Sentinel wykona płatne działanie?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tylko jeśli mieści się w już pisemnie uzgodnionym uprawnieniu / limicie Full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Termin odpowiedzi właściciela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Co stanie się bez odpowiedzi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7440"/>
          <w:left w:val="single" w:sz="8" w:space="0" w:color="8A7440"/>
          <w:bottom w:val="single" w:sz="8" w:space="0" w:color="8A7440"/>
          <w:right w:val="single" w:sz="8" w:space="0" w:color="8A7440"/>
          <w:insideH w:val="single" w:sz="8" w:space="0" w:color="8A7440"/>
          <w:insideV w:val="single" w:sz="8" w:space="0" w:color="8A7440"/>
        </w:tblBorders>
      </w:tblPr>
      <w:tblGrid>
        <w:gridCol w:w="9360"/>
      </w:tblGrid>
      <w:tr>
        <w:tc>
          <w:tcPr>
            <w:tcW w:type="dxa" w:w="9360"/>
            <w:shd w:fill="F4F1E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B422A"/>
                <w:sz w:val="19"/>
              </w:rPr>
              <w:t>WAŻNE: Brak odpowiedzi nie oznacza zgody. Bez wymaganej zgody Sentinel nie podejmie nowego płatnego działania, nie zleci wykonawcy ani nie wyjdzie poza uzgodniony zakres.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Skróty dokumentów są wewnętrznymi referencjami Sentinel: REC-01 oznacza raport wizyty, SCO-01 ustalony zakres i uprawnienia, REC-03 ten wniosek decyzyjny, a REC-04 późniejsze podsumowanie wykonanego działania, jeśli będzie potrzebne.</w:t>
      </w: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1. Rekord wniosku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ID wniosku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REC-03 / 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Referencja nieruchomości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SEN-PROP-______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Data wniosku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Powiązany raport REC-01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REC-01 / 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Powiązana uwaga / dowód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Pakiet / kontekst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Podstawowy / Basic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Rozszerzony / Extended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Pełny / Full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Źródło uprawnienia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SCO-01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późniejsze pisemne potwierdzenie: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 wniosku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roboczy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wysłany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zaakceptowany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odrzucony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informacje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zastąpiony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Termin odpowiedzi właściciela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2. Podsumowanie dla właściciela — opis po ludzku</w:t>
      </w: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Napisz tu 2–4 zdania po ludzku: co zaobserwowano, dlaczego potrzebna jest decyzja, czy podjęto jakiekolwiek natychmiastowe działanie i co się stanie, jeśli decyzji nie będzie. Przykład tonu: „Podczas wizyty widoczny był ślad wilgoci przy brodziku. Nie postawiono diagnozy i nie podjęto działania płatnego. Prosimy o decyzję, czy zlecić oględziny — do tego czasu monitorujemy stan przy kolejnej wizycie."</w:t>
      </w: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To jest część do szybkiego przeczytania; szczegóły decyzji, opcje i dowody są niżej.</w:t>
      </w:r>
    </w:p>
    <w:p>
      <w:pPr>
        <w:spacing w:before="0" w:after="140" w:line="283" w:lineRule="auto"/>
      </w:pPr>
      <w:r>
        <w:rPr>
          <w:rFonts w:ascii="Consolas" w:hAnsi="Consolas" w:eastAsia="Consolas"/>
          <w:color w:val="5B6870"/>
          <w:sz w:val="20"/>
        </w:rPr>
        <w:t>______</w:t>
      </w: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3. Widoczny fakt i źródło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Widoczny fakt (z REC-01)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Referencja dowodu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Co Sentinel zaobserwował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Czego Sentinel nie zdiagnozował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 (bez oceny przyczyny ani stanu technicznego)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Znaczenie operacyjne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7440"/>
          <w:left w:val="single" w:sz="8" w:space="0" w:color="8A7440"/>
          <w:bottom w:val="single" w:sz="8" w:space="0" w:color="8A7440"/>
          <w:right w:val="single" w:sz="8" w:space="0" w:color="8A7440"/>
          <w:insideH w:val="single" w:sz="8" w:space="0" w:color="8A7440"/>
          <w:insideV w:val="single" w:sz="8" w:space="0" w:color="8A7440"/>
        </w:tblBorders>
      </w:tblPr>
      <w:tblGrid>
        <w:gridCol w:w="9360"/>
      </w:tblGrid>
      <w:tr>
        <w:tc>
          <w:tcPr>
            <w:tcW w:type="dxa" w:w="9360"/>
            <w:shd w:fill="F4F1E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B422A"/>
                <w:sz w:val="19"/>
              </w:rPr>
              <w:t>DLA JASNOŚCI: Wyłącznie widoczne fakty; bez diagnozy. „Widoczny ślad wilgoci pod oknem" to fakt; „uszczelka uszkodzona" to diagnoza i tu nie należy.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4. Decyzja potrzebna od właściciela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Treść decyzji do podjęcia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 (jedno zdanie: co właściciel ma zdecydować)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Dlaczego potrzebna decyzja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przekracza zakres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przekracza uprawnienie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wymaga płatnego działania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wymaga dostępu wykonawcy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eskalacja poza normalny zakres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Możliwe opcje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patrz sekcja 5 (menu opcji)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Jak odpowiedzieć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email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WhatsApp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telefon (z pisemnym potwierdzeniem)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inny: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Termin odpowiedzi (jeśli dotyczy)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Pilność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rutynowa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uwaga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pilna ochronna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7440"/>
          <w:left w:val="single" w:sz="8" w:space="0" w:color="8A7440"/>
          <w:bottom w:val="single" w:sz="8" w:space="0" w:color="8A7440"/>
          <w:right w:val="single" w:sz="8" w:space="0" w:color="8A7440"/>
          <w:insideH w:val="single" w:sz="8" w:space="0" w:color="8A7440"/>
          <w:insideV w:val="single" w:sz="8" w:space="0" w:color="8A7440"/>
        </w:tblBorders>
      </w:tblPr>
      <w:tblGrid>
        <w:gridCol w:w="9360"/>
      </w:tblGrid>
      <w:tr>
        <w:tc>
          <w:tcPr>
            <w:tcW w:type="dxa" w:w="9360"/>
            <w:shd w:fill="F4F1E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B422A"/>
                <w:sz w:val="19"/>
              </w:rPr>
              <w:t>DLA JASNOŚCI: Pilność to klasyfikacja ochronna oparta na widocznych faktach, nie presja na decyzję ani gwarancja rozwiązania sprawy. „Pilna ochronna" oznacza widoczne ryzyko (czynny wyciek, naruszone zabezpieczenie, ryzyko wody lub prądu).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5. Proponowany następny krok / opcje</w:t>
      </w: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Opcja: </w:t>
      </w:r>
      <w:r>
        <w:rPr>
          <w:rFonts w:ascii="Calibri" w:hAnsi="Calibri" w:eastAsia="Calibri"/>
          <w:b/>
          <w:i w:val="0"/>
          <w:color w:val="203A4A"/>
          <w:sz w:val="21"/>
        </w:rPr>
        <w:t>Brak działania / obserwacja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Co Sentinel zrobi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monitoruje w ramach uzgodnionego rytmu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Płatne?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Zgoda właściciela?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 / ograniczenia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bez gwarancji rozwiązania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Opcja: </w:t>
      </w:r>
      <w:r>
        <w:rPr>
          <w:rFonts w:ascii="Calibri" w:hAnsi="Calibri" w:eastAsia="Calibri"/>
          <w:b/>
          <w:i w:val="0"/>
          <w:color w:val="203A4A"/>
          <w:sz w:val="21"/>
        </w:rPr>
        <w:t>Zgoda na zakup drobnych środków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Co Sentinel zrobi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kupuje po zgodzie; rachunek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Płatne?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Zgoda właściciela?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tak, chyba że mieści się w uzgodnionym limicie Full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 / ograniczenia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kwota do potwierdzenia; brak limitu domyślnego dla Basic / Extended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Opcja: </w:t>
      </w:r>
      <w:r>
        <w:rPr>
          <w:rFonts w:ascii="Calibri" w:hAnsi="Calibri" w:eastAsia="Calibri"/>
          <w:b/>
          <w:i w:val="0"/>
          <w:color w:val="203A4A"/>
          <w:sz w:val="21"/>
        </w:rPr>
        <w:t>Dostęp wykonawcy po decyzji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Co Sentinel zrobi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organizuje i dokumentuje dostęp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Płatne?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Zgoda właściciela?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 / ograniczenia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wynik i cena wykonawcy niegwarantowane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Opcja: </w:t>
      </w:r>
      <w:r>
        <w:rPr>
          <w:rFonts w:ascii="Calibri" w:hAnsi="Calibri" w:eastAsia="Calibri"/>
          <w:b/>
          <w:i w:val="0"/>
          <w:color w:val="203A4A"/>
          <w:sz w:val="21"/>
        </w:rPr>
        <w:t>Ocena / wycena specjalisty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Co Sentinel zrobi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koordynuje ocenę lub wycenę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Płatne?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 / oczekuje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Zgoda właściciela?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 / ograniczenia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bez diagnozy własnej; wynik niegwarantowany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Opcja: </w:t>
      </w:r>
      <w:r>
        <w:rPr>
          <w:rFonts w:ascii="Calibri" w:hAnsi="Calibri" w:eastAsia="Calibri"/>
          <w:b/>
          <w:i w:val="0"/>
          <w:color w:val="203A4A"/>
          <w:sz w:val="21"/>
        </w:rPr>
        <w:t>Wizyta kontrolna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Co Sentinel zrobi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sprawdza ponownie przy kolejnej wizycie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Płatne?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Zgoda właściciela?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 / ograniczenia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 ramach rytmu z SCO-01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Opcja: </w:t>
      </w:r>
      <w:r>
        <w:rPr>
          <w:rFonts w:ascii="Calibri" w:hAnsi="Calibri" w:eastAsia="Calibri"/>
          <w:b/>
          <w:i w:val="0"/>
          <w:color w:val="203A4A"/>
          <w:sz w:val="21"/>
        </w:rPr>
        <w:t>Właściciel załatwia samodzielnie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Co Sentinel zrobi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brak działania Sentinel poza dokumentacją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Płatne?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Zgoda właściciela?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 / ograniczenia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wykonawca właściciela poza odpowiedzialnością Sentinel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Opcja: </w:t>
      </w:r>
      <w:r>
        <w:rPr>
          <w:rFonts w:ascii="Calibri" w:hAnsi="Calibri" w:eastAsia="Calibri"/>
          <w:b/>
          <w:i w:val="0"/>
          <w:color w:val="203A4A"/>
          <w:sz w:val="21"/>
        </w:rPr>
        <w:t>Inne (instrukcja właściciela)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Co Sentinel zrobi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według pisemnej instrukcji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Płatne?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Zgoda właściciela?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 / ograniczenia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7440"/>
          <w:left w:val="single" w:sz="8" w:space="0" w:color="8A7440"/>
          <w:bottom w:val="single" w:sz="8" w:space="0" w:color="8A7440"/>
          <w:right w:val="single" w:sz="8" w:space="0" w:color="8A7440"/>
          <w:insideH w:val="single" w:sz="8" w:space="0" w:color="8A7440"/>
          <w:insideV w:val="single" w:sz="8" w:space="0" w:color="8A7440"/>
        </w:tblBorders>
      </w:tblPr>
      <w:tblGrid>
        <w:gridCol w:w="9360"/>
      </w:tblGrid>
      <w:tr>
        <w:tc>
          <w:tcPr>
            <w:tcW w:type="dxa" w:w="9360"/>
            <w:shd w:fill="F4F1E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B422A"/>
                <w:sz w:val="19"/>
              </w:rPr>
              <w:t>DLA JASNOŚCI: Opcje są ogólne, gotowe do użycia; nie są konkretną wyceną wykonawcy. Wybór właściciela zapisuje się w sekcji 9.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6. Pozycja kosztowa i uprawnienia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Podstawa uprawnienia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Basic / Extended: zgoda właściciela przed płatnym działaniem lub wydatkiem na wykonawcę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Full: w ramach uzgodnionego limitu EUR 300 (opcjonalnie EUR 500, jeśli uzgodniony)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/ do potwierdzenia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Szacowany koszt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brak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nieznany — potrzebna wycena wykonawcy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kwota zatwierdzona przez właściciela: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w ramach limitu Full: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Płatne działanie przed zgodą?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 — tylko jeśli już uprawnione pisemnie / Full w ramach limitu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Wymagany rachunek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7440"/>
          <w:left w:val="single" w:sz="8" w:space="0" w:color="8A7440"/>
          <w:bottom w:val="single" w:sz="8" w:space="0" w:color="8A7440"/>
          <w:right w:val="single" w:sz="8" w:space="0" w:color="8A7440"/>
          <w:insideH w:val="single" w:sz="8" w:space="0" w:color="8A7440"/>
          <w:insideV w:val="single" w:sz="8" w:space="0" w:color="8A7440"/>
        </w:tblBorders>
      </w:tblPr>
      <w:tblGrid>
        <w:gridCol w:w="9360"/>
      </w:tblGrid>
      <w:tr>
        <w:tc>
          <w:tcPr>
            <w:tcW w:type="dxa" w:w="9360"/>
            <w:shd w:fill="F4F1E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B422A"/>
                <w:sz w:val="19"/>
              </w:rPr>
              <w:t>WAŻNE: Nie wymyśla się limitu euro dla Basic / Extended. Powyżej wybranego limitu (Full) wymagana jest zgoda właściciela. Minimalne działanie wymagane przez służby awaryjne albo administrację wspólnoty może zostać udokumentowane, ale nie tworzy wcześniej autoryzowanego mandatu do wydatków w Basic / Extended.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7. Ryzyko czekania i granice decyzji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Co może się stać, jeśli właściciel czeka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 (opis faktów, bez straszenia)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Co Sentinel może monitorować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Czego Sentinel nie gwarantuje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rozwiązania sprawy; dostępności, ceny, jakości ani rezultatu pracy wykonawcy / specjalisty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Charakter wniosku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to nie jest porada techniczna, prawna, podatkowa ani ubezpieczeniowa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7440"/>
          <w:left w:val="single" w:sz="8" w:space="0" w:color="8A7440"/>
          <w:bottom w:val="single" w:sz="8" w:space="0" w:color="8A7440"/>
          <w:right w:val="single" w:sz="8" w:space="0" w:color="8A7440"/>
          <w:insideH w:val="single" w:sz="8" w:space="0" w:color="8A7440"/>
          <w:insideV w:val="single" w:sz="8" w:space="0" w:color="8A7440"/>
        </w:tblBorders>
      </w:tblPr>
      <w:tblGrid>
        <w:gridCol w:w="9360"/>
      </w:tblGrid>
      <w:tr>
        <w:tc>
          <w:tcPr>
            <w:tcW w:type="dxa" w:w="9360"/>
            <w:shd w:fill="F4F1E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B422A"/>
                <w:sz w:val="19"/>
              </w:rPr>
              <w:t>DLA JASNOŚCI: Język neutralny: opis widocznych faktów i możliwych kroków, nie perswazja. SLA oznacza czas reakcji / decyzji, nie gwarancję rozwiązania.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8. Dowody i prywatność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Referencja dowodów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Wybrane zdjęcia dostarczone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email z wnioskiem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link z archiwum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Element wrażliwy widoczny; nie sfotografowano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tak — opis: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Referencja archiwum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7440"/>
          <w:left w:val="single" w:sz="8" w:space="0" w:color="8A7440"/>
          <w:bottom w:val="single" w:sz="8" w:space="0" w:color="8A7440"/>
          <w:right w:val="single" w:sz="8" w:space="0" w:color="8A7440"/>
          <w:insideH w:val="single" w:sz="8" w:space="0" w:color="8A7440"/>
          <w:insideV w:val="single" w:sz="8" w:space="0" w:color="8A7440"/>
        </w:tblBorders>
      </w:tblPr>
      <w:tblGrid>
        <w:gridCol w:w="9360"/>
      </w:tblGrid>
      <w:tr>
        <w:tc>
          <w:tcPr>
            <w:tcW w:type="dxa" w:w="9360"/>
            <w:shd w:fill="F4F1E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B422A"/>
                <w:sz w:val="19"/>
              </w:rPr>
              <w:t xml:space="preserve">DLA JASNOŚCI: </w:t>
            </w:r>
            <w:r>
              <w:rPr>
                <w:rFonts w:ascii="Calibri" w:hAnsi="Calibri" w:eastAsia="Calibri"/>
                <w:b/>
                <w:i w:val="0"/>
                <w:color w:val="4B422A"/>
                <w:sz w:val="19"/>
              </w:rPr>
              <w:t>Dokumenty i dane:</w:t>
            </w:r>
            <w:r>
              <w:rPr>
                <w:rFonts w:ascii="Calibri" w:hAnsi="Calibri" w:eastAsia="Calibri"/>
                <w:b/>
                <w:i w:val="0"/>
                <w:color w:val="4B422A"/>
                <w:sz w:val="19"/>
              </w:rPr>
              <w:t xml:space="preserve"> nie fotografuje się dokumentów tożsamości ani ekranów z danymi logowania.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40" w:line="283" w:lineRule="auto"/>
      </w:pPr>
      <w:r>
        <w:rPr>
          <w:rFonts w:ascii="Calibri" w:hAnsi="Calibri" w:eastAsia="Calibri"/>
          <w:b/>
          <w:i w:val="0"/>
          <w:color w:val="1E2933"/>
          <w:sz w:val="21"/>
        </w:rPr>
        <w:t>Dostęp i bezpieczeństwo:</w:t>
      </w:r>
      <w:r>
        <w:rPr>
          <w:rFonts w:ascii="Calibri" w:hAnsi="Calibri" w:eastAsia="Calibri"/>
          <w:b w:val="0"/>
          <w:i w:val="0"/>
          <w:color w:val="1E2933"/>
          <w:sz w:val="21"/>
        </w:rPr>
        <w:t xml:space="preserve"> nie fotografuje się kodów ani haseł.</w:t>
      </w:r>
    </w:p>
    <w:p>
      <w:pPr>
        <w:spacing w:before="0" w:after="140" w:line="283" w:lineRule="auto"/>
      </w:pPr>
      <w:r>
        <w:rPr>
          <w:rFonts w:ascii="Calibri" w:hAnsi="Calibri" w:eastAsia="Calibri"/>
          <w:b/>
          <w:i w:val="0"/>
          <w:color w:val="1E2933"/>
          <w:sz w:val="21"/>
        </w:rPr>
        <w:t>Osoby i prywatność:</w:t>
      </w:r>
      <w:r>
        <w:rPr>
          <w:rFonts w:ascii="Calibri" w:hAnsi="Calibri" w:eastAsia="Calibri"/>
          <w:b w:val="0"/>
          <w:i w:val="0"/>
          <w:color w:val="1E2933"/>
          <w:sz w:val="21"/>
        </w:rPr>
        <w:t xml:space="preserve"> nie fotografuje się dzieci, leków ani przedmiotów intymnych.</w:t>
      </w:r>
    </w:p>
    <w:p>
      <w:pPr>
        <w:spacing w:before="0" w:after="140" w:line="283" w:lineRule="auto"/>
      </w:pPr>
      <w:r>
        <w:rPr>
          <w:rFonts w:ascii="Calibri" w:hAnsi="Calibri" w:eastAsia="Calibri"/>
          <w:b/>
          <w:i w:val="0"/>
          <w:color w:val="1E2933"/>
          <w:sz w:val="21"/>
        </w:rPr>
        <w:t>Rzeczy osobiste i zamknięte strefy:</w:t>
      </w:r>
      <w:r>
        <w:rPr>
          <w:rFonts w:ascii="Calibri" w:hAnsi="Calibri" w:eastAsia="Calibri"/>
          <w:b w:val="0"/>
          <w:i w:val="0"/>
          <w:color w:val="1E2933"/>
          <w:sz w:val="21"/>
        </w:rPr>
        <w:t xml:space="preserve"> nie fotografuje się wnętrza zamkniętych szaf / sejfów ani rzeczy gości.</w:t>
      </w:r>
    </w:p>
    <w:p>
      <w:pPr>
        <w:spacing w:before="0" w:after="140" w:line="283" w:lineRule="auto"/>
      </w:pPr>
      <w:r>
        <w:rPr>
          <w:rFonts w:ascii="Calibri" w:hAnsi="Calibri" w:eastAsia="Calibri"/>
          <w:b/>
          <w:i w:val="0"/>
          <w:color w:val="1E2933"/>
          <w:sz w:val="21"/>
        </w:rPr>
        <w:t>Wyjątek operacyjny:</w:t>
      </w:r>
      <w:r>
        <w:rPr>
          <w:rFonts w:ascii="Calibri" w:hAnsi="Calibri" w:eastAsia="Calibri"/>
          <w:b w:val="0"/>
          <w:i w:val="0"/>
          <w:color w:val="1E2933"/>
          <w:sz w:val="21"/>
        </w:rPr>
        <w:t xml:space="preserve"> jeśli element jest bezpośrednio związany ze sprawą, materiał ogranicz lub wykadruj.</w:t>
      </w:r>
    </w:p>
    <w:p>
      <w:pPr>
        <w:spacing w:before="0" w:after="140" w:line="283" w:lineRule="auto"/>
      </w:pPr>
      <w:r>
        <w:rPr>
          <w:rFonts w:ascii="Calibri" w:hAnsi="Calibri" w:eastAsia="Calibri"/>
          <w:b/>
          <w:i w:val="0"/>
          <w:color w:val="1E2933"/>
          <w:sz w:val="21"/>
        </w:rPr>
        <w:t>Archiwum:</w:t>
      </w:r>
      <w:r>
        <w:rPr>
          <w:rFonts w:ascii="Calibri" w:hAnsi="Calibri" w:eastAsia="Calibri"/>
          <w:b w:val="0"/>
          <w:i w:val="0"/>
          <w:color w:val="1E2933"/>
          <w:sz w:val="21"/>
        </w:rPr>
        <w:t xml:space="preserve"> pełny zestaw dowodów jest w bezpiecznym archiwum; WhatsApp nie jest archiwum.</w:t>
      </w: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9. Odpowiedź właściciela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Wybrana decyzja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zatwierdzono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odmówiono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prośba o więcej informacji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brak odpowiedzi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Wybrana opcja (z sekcji 5)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Instrukcja / uwagi właściciela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Zatwierdzona kwota albo instrukcja bez wydatku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Zatwierdzony kanał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email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WhatsApp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telefon z pisemnym potwierdzeniem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Data / godzina odpowiedzi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Imię osoby odpowiadającej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Potrzebne podsumowanie działania (REC-04) po wykonaniu?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7440"/>
          <w:left w:val="single" w:sz="8" w:space="0" w:color="8A7440"/>
          <w:bottom w:val="single" w:sz="8" w:space="0" w:color="8A7440"/>
          <w:right w:val="single" w:sz="8" w:space="0" w:color="8A7440"/>
          <w:insideH w:val="single" w:sz="8" w:space="0" w:color="8A7440"/>
          <w:insideV w:val="single" w:sz="8" w:space="0" w:color="8A7440"/>
        </w:tblBorders>
      </w:tblPr>
      <w:tblGrid>
        <w:gridCol w:w="9360"/>
      </w:tblGrid>
      <w:tr>
        <w:tc>
          <w:tcPr>
            <w:tcW w:type="dxa" w:w="9360"/>
            <w:shd w:fill="F4F1E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B422A"/>
                <w:sz w:val="19"/>
              </w:rPr>
              <w:t>WAŻNE: To nie jest klauzula podpisu prawnego. Zgoda głosowa wymaga pisemnego potwierdzenia przed działaniem. Do czasu odpowiedzi Sentinel nie podejmuje działania poza uzgodnionym uprawnieniem; „brak odpowiedzi" nie tworzy uprawnienia do wydatku w Basic / Extended.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10. Granice wniosku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Nie stawia diagnozy technicznej.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Nie gwarantuje rezultatu ani dostępności, ceny czy jakości pracy wykonawcy / specjalisty.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Nie tworzy uprawnienia do wydatku ponad SCO-01 lub pisemną zgodę właściciela.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Nie zastępuje umowy ani przeglądu prawnego / księgowego.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Nie zmienia zakresu ustalonego w SCO-01.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Nie jest fakturą, wyceną ani zleceniem wykonawcy.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Po zatwierdzeniu działanie i jego wynik dokumentuje się osobno.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Calibri" w:hAnsi="Calibri" w:eastAsia="Calibri"/>
        <w:color w:val="5B6870"/>
        <w:sz w:val="17"/>
      </w:rPr>
      <w:t>Dokument roboczy - nie do podpisu</w:t>
    </w:r>
    <w:r>
      <w:t xml:space="preserve">                                                    </w:t>
    </w:r>
    <w:r>
      <w:rPr>
        <w:rFonts w:ascii="Calibri" w:hAnsi="Calibri" w:eastAsia="Calibri"/>
        <w:color w:val="5B6870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Calibri"/>
        <w:b/>
        <w:color w:val="5B6870"/>
        <w:sz w:val="17"/>
      </w:rPr>
      <w:t>Sentinel Costa Blanca</w:t>
    </w:r>
    <w:r>
      <w:rPr>
        <w:rFonts w:ascii="Calibri" w:hAnsi="Calibri" w:eastAsia="Calibri"/>
        <w:color w:val="5B6870"/>
        <w:sz w:val="17"/>
      </w:rPr>
      <w:t xml:space="preserve">   |   REC-03   |   wersja robocza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E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03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326B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03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Wniosek decyzyjny właściciela</dc:title>
  <dc:subject>Roboczy dokument operacyjny REC-03 v0.2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