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 w:line="240" w:lineRule="auto"/>
      </w:pPr>
      <w:r>
        <w:rPr>
          <w:rFonts w:ascii="Calibri" w:hAnsi="Calibri" w:eastAsia="Calibri"/>
          <w:b/>
          <w:color w:val="326B69"/>
          <w:sz w:val="22"/>
        </w:rPr>
        <w:t>SENTINEL COSTA BLANCA</w:t>
      </w:r>
    </w:p>
    <w:p>
      <w:pPr>
        <w:spacing w:before="0" w:after="160" w:line="240" w:lineRule="auto"/>
      </w:pPr>
      <w:r>
        <w:rPr>
          <w:rFonts w:ascii="Calibri" w:hAnsi="Calibri" w:eastAsia="Calibri"/>
          <w:b/>
          <w:color w:val="203A4A"/>
          <w:sz w:val="48"/>
        </w:rPr>
        <w:t>Potwierdzenie zakresu obsługi nieruchomości</w:t>
      </w:r>
    </w:p>
    <w:p>
      <w:pPr>
        <w:spacing w:before="0" w:after="440" w:line="240" w:lineRule="auto"/>
      </w:pPr>
      <w:r>
        <w:rPr>
          <w:rFonts w:ascii="Calibri" w:hAnsi="Calibri" w:eastAsia="Calibri"/>
          <w:b/>
          <w:color w:val="5B6870"/>
          <w:sz w:val="26"/>
        </w:rPr>
        <w:t>Roboczy dokument operacyjny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Dokument roboczy operacyjny. Nie jest umową, nie jest finalnym brzmieniem prawnym i nie jest zatwierdzony do podpisu przez właściciela. Wymaga przeglądu po stronie Sentinel oraz, w oznaczonych miejscach, przeglądu prawnego i księgowego.</w:t>
            </w:r>
          </w:p>
        </w:tc>
      </w:tr>
    </w:tbl>
    <w:p>
      <w:pPr>
        <w:spacing w:before="0" w:after="120" w:line="240" w:lineRule="auto"/>
      </w:pPr>
    </w:p>
    <w:p>
      <w:pPr>
        <w:spacing w:before="200" w:after="100" w:line="240" w:lineRule="auto"/>
      </w:pPr>
      <w:r>
        <w:rPr>
          <w:rFonts w:ascii="Calibri" w:hAnsi="Calibri" w:eastAsia="Calibri"/>
          <w:b/>
          <w:color w:val="326B69"/>
          <w:sz w:val="24"/>
        </w:rPr>
        <w:t>Cel dokumentu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Ten dokument służy do uporządkowania informacji o nieruchomości, uzgodnionym zakresie, dostępie, kontakcie decyzyjnym, dokumentacji i ograniczeniach działania Sentinel. Pola niewypełnione muszą mieć status: </w:t>
      </w:r>
      <w:r>
        <w:rPr>
          <w:rFonts w:ascii="Consolas" w:hAnsi="Consolas" w:eastAsia="Consolas"/>
          <w:color w:val="5B6870"/>
          <w:sz w:val="20"/>
        </w:rPr>
        <w:t>nie dotyczy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oczekuje na decyzję właściciela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 albo </w:t>
      </w:r>
      <w:r>
        <w:rPr>
          <w:rFonts w:ascii="Consolas" w:hAnsi="Consolas" w:eastAsia="Consolas"/>
          <w:color w:val="5B6870"/>
          <w:sz w:val="20"/>
        </w:rPr>
        <w:t>oczekuje na pierwszą wizytę</w:t>
      </w:r>
      <w:r>
        <w:rPr>
          <w:rFonts w:ascii="Calibri" w:hAnsi="Calibri" w:eastAsia="Calibri"/>
          <w:b w:val="0"/>
          <w:i w:val="0"/>
          <w:color w:val="1E2933"/>
          <w:sz w:val="21"/>
        </w:rPr>
        <w:t>.</w:t>
      </w:r>
    </w:p>
    <w:p>
      <w:pPr>
        <w:spacing w:before="360" w:after="0" w:line="240" w:lineRule="auto"/>
      </w:pPr>
      <w:r>
        <w:rPr>
          <w:rFonts w:ascii="Calibri" w:hAnsi="Calibri" w:eastAsia="Calibri"/>
          <w:color w:val="5B6870"/>
          <w:sz w:val="18"/>
        </w:rPr>
        <w:t>Referencja wewnętrzna: SCO-01</w:t>
      </w:r>
    </w:p>
    <w:p>
      <w:r>
        <w:br w:type="page"/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1. Kontrola dokumentu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ID dokumentu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SCO-01 / 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nieruchomości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SEN-PROP-______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Wersja robocza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Data wypełnienia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Etap wypełnienia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rozmowa wstępna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częściowo wypełnione - przed pierwszą wizytą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 pierwszej wizycie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wycofane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Język rekordu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☒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EN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Kanał wypełnienia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spotkanie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telefon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wideo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WhatsApp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Uczestnicy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Operator wypełniający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Punkty nierozstrzygnięte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Odniesienie do archiwum roboczego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2. Właściciel / nieruchomość / profil użycia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WLASC-______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Imię i nazwisko / nazwa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Email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Telefon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Preferowany język kontaktu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polski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angielski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Obszar nieruchomości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(obszar / miejscowość, bez pełnego adresu w wersji roboczej)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Typ nieruchomości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apartament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willa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Profil użycia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Nieobecność prywatna (</w:t>
            </w:r>
            <w:r>
              <w:rPr>
                <w:rFonts w:ascii="Consolas" w:hAnsi="Consolas" w:eastAsia="Consolas"/>
                <w:color w:val="5B6870"/>
                <w:sz w:val="18"/>
              </w:rPr>
              <w:t>private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)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Aktywne użycie przez gości (</w:t>
            </w:r>
            <w:r>
              <w:rPr>
                <w:rFonts w:ascii="Consolas" w:hAnsi="Consolas" w:eastAsia="Consolas"/>
                <w:color w:val="5B6870"/>
                <w:sz w:val="18"/>
              </w:rPr>
              <w:t>guest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)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Użycie mieszane / nieustalone (</w:t>
            </w:r>
            <w:r>
              <w:rPr>
                <w:rFonts w:ascii="Consolas" w:hAnsi="Consolas" w:eastAsia="Consolas"/>
                <w:color w:val="5B6870"/>
                <w:sz w:val="18"/>
              </w:rPr>
              <w:t>mixed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Źródło kalendarza pobytów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 przekazuje daty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współdzielony kalendarz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inne: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Wiarygodność źródła kalendarza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potwierdzone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 testu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do profilu użycia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Źródło kalendarza służy wyłącznie jako źródło terminów gotowości. Nie oznacza obsługi rezerwacji, cen, komunikacji z gośćmi ani zarządzania najmem.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3. Pakiet i poziom odpowiedzialności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Pakiet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Podstawowy / Basic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Rozszerzony / Extended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Pełny / Full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 potwierdzenia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Znaczenie SLA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Czas reakcji / decyzji, nie gwarancja rozwiązania sprawy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Okno reakcji / decyzji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48h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24h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tego samego dnia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inne zgodne z pakietem: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Rytm wizyt / częstotliwość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Full - minimum wizyt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min. 3/mies.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jeśli wybrano Full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Dodatkowe zdarzenia dostępu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Przypomnienie o odpowiedzialności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Pakiet określa rytm, intensywność, czas reakcji i pozycję decyzyjną; nie przenosi odpowiedzialności właściciela i nie tworzy gwarancji rezultatu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Zasada stała: odpowiedzialność pakietowa ≠ uprawnienie awaryjne ≠ odpowiedzialność za szkodę. Sentinel dokumentuje widoczne fakty i działa w uzgodnionych granicach; nie stawia diagnoz technicznych.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4. Moduły zakresu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Status modułu: objęte zakresem / poza zakresem / nie dotyczy / oczekuje na decyzję właściciela / oczekuje na pierwszą wizytę. Wewnętrzne kody mogą zostać użyte pomocniczo: </w:t>
      </w:r>
      <w:r>
        <w:rPr>
          <w:rFonts w:ascii="Consolas" w:hAnsi="Consolas" w:eastAsia="Consolas"/>
          <w:color w:val="5B6870"/>
          <w:sz w:val="20"/>
        </w:rPr>
        <w:t>included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not_included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n/a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owner_decision</w:t>
      </w:r>
      <w:r>
        <w:rPr>
          <w:rFonts w:ascii="Calibri" w:hAnsi="Calibri" w:eastAsia="Calibri"/>
          <w:b w:val="0"/>
          <w:i w:val="0"/>
          <w:color w:val="1E2933"/>
          <w:sz w:val="21"/>
        </w:rPr>
        <w:t xml:space="preserve">, </w:t>
      </w:r>
      <w:r>
        <w:rPr>
          <w:rFonts w:ascii="Consolas" w:hAnsi="Consolas" w:eastAsia="Consolas"/>
          <w:color w:val="5B6870"/>
          <w:sz w:val="20"/>
        </w:rPr>
        <w:t>first_visit</w:t>
      </w:r>
      <w:r>
        <w:rPr>
          <w:rFonts w:ascii="Calibri" w:hAnsi="Calibri" w:eastAsia="Calibri"/>
          <w:b w:val="0"/>
          <w:i w:val="0"/>
          <w:color w:val="1E2933"/>
          <w:sz w:val="21"/>
        </w:rPr>
        <w:t>.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Planowa wizyta nadzorcza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scheduled_oversight_visit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raport wizyty (</w:t>
            </w:r>
            <w:r>
              <w:rPr>
                <w:rFonts w:ascii="Consolas" w:hAnsi="Consolas" w:eastAsia="Consolas"/>
                <w:color w:val="5B6870"/>
                <w:sz w:val="18"/>
              </w:rPr>
              <w:t>REC-01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Przechowanie kluczy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keyholding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podpisane przekazanie kluczy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ciągłe / wg rejestru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rejestr kluczy (</w:t>
            </w:r>
            <w:r>
              <w:rPr>
                <w:rFonts w:ascii="Consolas" w:hAnsi="Consolas" w:eastAsia="Consolas"/>
                <w:color w:val="5B6870"/>
                <w:sz w:val="18"/>
              </w:rPr>
              <w:t>AKC-02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bez pełnego adresu na oznaczeniach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Gotowość przed przyjazdem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pre_arrival_readiness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zgłoszony termin przyjazdu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raport / checklista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zależne od terminu powiadomienia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Sprzątanie gotowości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cleaning_readiness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przyjazd właściciela / uzgodniona gotowość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dowód przed/po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funkcja w ramach nadzoru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Sprzątanie rotacyjne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turnover_cleaning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wyjazd/przyjazd gości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dowód przed/po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oznacza zarządzania najmem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Pościel / pranie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linen_laundry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kto pierze i uzupełnia stan: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Kontrola po gościach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guest_check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termin z kalendarza gotowości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raport / zdjęcia referencyjne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bez obsługi rezerwacji, cen i wiadomości do gości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Dostęp dla wykonawcy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vendor_access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decyzja właściciela / zlecenie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log dostępu + raport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nie gwarantuje pracy wykonawcy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Balkon / zewnętrzna kontrola wizualna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exterior_visual_check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wizyta nadzorcza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notatka / zdjęcie referencyjne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tylko widoczne elementy, bez prac technicznych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Media / świadomość odcięć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utility_shutoff_awareness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pierwsza wizyta / zmiana danych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notatka lokalizacji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lokalizacja zaworów/wyłączników, bez napraw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Moduł: </w:t>
      </w:r>
      <w:r>
        <w:rPr>
          <w:rFonts w:ascii="Calibri" w:hAnsi="Calibri" w:eastAsia="Calibri"/>
          <w:b/>
          <w:i w:val="0"/>
          <w:color w:val="203A4A"/>
          <w:sz w:val="21"/>
        </w:rPr>
        <w:t>Komunikaty wspólnoty / budynku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Kod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community_notice_check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Wyzwalacz / kiedy działa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wizyta / dostęp do tablicy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Częstotliwość / limit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/ rekord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notatka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Decyzja właściciela?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 / wyłączenia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tylko widoczne komunikaty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5. Zasady powiadomienia i przyjazdu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Powiadomienie o przyjeździe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Wartość domyślna / minimalne powiadomienie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omówione?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potwierdzone?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Nadpisanie / wyjątek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Krótki termin przyjazdu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Wartość domyślna / minimalne powiadomienie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omówione?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potwierdzone?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Nadpisanie / wyjątek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Gotowość lokalu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Wartość domyślna / minimalne powiadomienie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omówione?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potwierdzone?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Nadpisanie / wyjątek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Sprzątanie gotowości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Wartość domyślna / minimalne powiadomienie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omówione?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potwierdzone?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Nadpisanie / wyjątek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Sprzątanie rotacyjne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Wartość domyślna / minimalne powiadomienie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omówione?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potwierdzone?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Nadpisanie / wyjątek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Temat: </w:t>
      </w:r>
      <w:r>
        <w:rPr>
          <w:rFonts w:ascii="Calibri" w:hAnsi="Calibri" w:eastAsia="Calibri"/>
          <w:b/>
          <w:i w:val="0"/>
          <w:color w:val="203A4A"/>
          <w:sz w:val="21"/>
        </w:rPr>
        <w:t>Dostęp wykonawcy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Wartość domyślna / minimalne powiadomienie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omówione?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Czy potwierdzone?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Nadpisanie / wyjątek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Krótki termin może ograniczyć wykonanie gotowości. Nie zmienia to znaczenia SLA: SLA dotyczy reakcji / decyzji, nie gwarantowanego rezultatu.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6. Sprzątanie i gotowość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Model sprzątania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cleaner 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cleaner wybrany przez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Zakres sprzątania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gotowość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rotacja gości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oba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obejmuje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Odpowiedzialność za środki / produkty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przechowywane w lokalu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zakup za zgodą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Postępowanie przy braku środków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raport bez zakupu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zakup po zgodzie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osobna stała zgoda wyłącznie w sprawdzonym instrumencie uprawnienia (po wymaganym przeglądzie prawnym / księgowym)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Pranie / pościel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cleaner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pralnia zewnętrzna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obejmuje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Pytanie o ponowne sprzątanie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 decyduje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poprawia, jeśli błąd cleaner Sentinel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koszt wg ustalenia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przegląd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Dowód przed/po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decyzję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Odniesienie do checklisty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CLN-02 / 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Sprzątanie jest funkcją w ramach uzgodnionego nadzoru, a nie publiczną kategorią usługi. Dowód przed/po dokumentuje widoczną gotowość; nie jest certyfikatem higieny ani gwarancją stanu technicznego.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7. Dostęp, klucze, kody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Liczba kluczy deklarowana przez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Liczba kluczy potwierdzona przy przekazaniu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 / przekazanie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potwierdzono: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Oznaczenie kluczy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(ID klucza, bez pełnego adresu)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Stan przechowania kluczy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przekazano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przekazano częściowo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przekazano i wpisano do rejestru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AKC-02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Metoda dostępu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klucz fizyczny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smart lock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kod alarmu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wspólnota / portier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inna: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Stan kodów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systemu kodowego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znany, ale nie wpisany tutaj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zapisany wyłącznie w bezpiecznym rejestrze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zmieniony przez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 odmawia przekazania - respektowane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AKC-01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Udostępnienie kodu cleanerowi Sentinel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AKC-01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Udostępnienie kodu cleanerowi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AKC-01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Udostępnienie kodu wykonawcy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każdorazowo za zgodą właściciela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AKC-01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Klucze, które nie mogą opuścić nieruchomości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Osoby upoważnione do dostępu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Odniesienie do rejestru dostępu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AKC-02 / AKC-04 / ______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Nie wolno wpisywać w tym dokumencie rzeczywistych kodów, haseł, PIN-ów, etykiet Wi-Fi, kodów sejfu ani pełnych danych dostępowych. Dokument zapisuje wyłącznie stan i zgodę na użycie dostępu.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8. Uprawnienia, płatne działania i decyzje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Basic / Extended - zgoda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autonomicznego płatnego działania domyślnie; zgoda właściciela wymagana przed każdym płatnym działaniem lub wydatkiem na wykonawcę (wewnętrzna referencja: Option A)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Full - uprawnienie do działania ochronnego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Standardowo EUR 300 na decyzję; ☐ opcjonalnie EUR 500 uzgodnione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opcjonalnie EUR 500 nieuzgodnione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dotyczy; powyżej uzgodnionego limitu wymagana zgoda właściciela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Oddzielny instrument uprawnienia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istnieje po wymaganym przeglądzie: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przegląd prawny / księgowy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Kanał decyzji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Zasada potwierdzenia pisemnego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WhatsApp jako dowód komunikacji + archiwizacja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telefon tylko z pisemnym potwierdzeniem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inne: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Reguła rachunku / dowodu wydatku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wymagany rachunek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próg de minimis oczekuje na księgowego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Odniesienie do księgowości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Wymagany przegląd księgowy (ACCOUNTANT REVIEW REQUIRED)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dla progów, zwrotów i rozliczeń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Wydajność wykonawcy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może koordynować dostęp i dokumentację; nie gwarantuje rezultatu pracy wykonawcy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7440"/>
          <w:left w:val="single" w:sz="8" w:space="0" w:color="8A7440"/>
          <w:bottom w:val="single" w:sz="8" w:space="0" w:color="8A7440"/>
          <w:right w:val="single" w:sz="8" w:space="0" w:color="8A7440"/>
          <w:insideH w:val="single" w:sz="8" w:space="0" w:color="8A7440"/>
          <w:insideV w:val="single" w:sz="8" w:space="0" w:color="8A7440"/>
        </w:tblBorders>
      </w:tblPr>
      <w:tblGrid>
        <w:gridCol w:w="9360"/>
      </w:tblGrid>
      <w:tr>
        <w:tc>
          <w:tcPr>
            <w:tcW w:type="dxa" w:w="9360"/>
            <w:shd w:fill="F4F1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B422A"/>
                <w:sz w:val="19"/>
              </w:rPr>
              <w:t>Minimalne działanie wymagane przez służby awaryjne albo administrację wspólnoty może zostać udokumentowane, jeżeli sytuacja tego wymaga. Nie oznacza to jednak wcześniej autoryzowanego mandatu Sentinel do wydatków w Basic / Extended. Nie wolno tworzyć limitu euro dla Basic / Extended.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9. Kontakty i kanały decyzyjne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Główny kontakt decyzyjny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Użycie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decyzje operacyjne i płatne działania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Kontakt zapasowy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Użycie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gdy właściciel nie odpowiada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Kontakt wspólnoty / administracji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Użycie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sprawy budynku / awarie wspólnotowe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podano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Kontakt ubezpieczeniowy / szkoda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Użycie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ścieżka roszczeń właściciela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podano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Kontakt dostawcy mediów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Użycie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woda / prąd / gaz, jeśli podano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podano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Oficjalne archiwum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Użycie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archiwum rekordu i dowodów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WhatsApp nie jest oficjalnym archiwum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Kontakt / kanał: </w:t>
      </w:r>
      <w:r>
        <w:rPr>
          <w:rFonts w:ascii="Calibri" w:hAnsi="Calibri" w:eastAsia="Calibri"/>
          <w:b/>
          <w:i w:val="0"/>
          <w:color w:val="203A4A"/>
          <w:sz w:val="21"/>
        </w:rPr>
        <w:t>Kanał operacyjny pomocniczy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Dane / 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WhatsApp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telefon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inny: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Użycie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komunikacja robocza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Uwagi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musi mieć ślad w archiwum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10. Dowody, zdjęcia i dane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bazowego zestawu dowodowego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Referencje zdjęć / dowodów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Dostawa wybranych zdjęć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email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link z archiwum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oba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Pełny zestaw dowodów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strukturalne zaszyfrowane archiwum: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Strefy ograniczone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Retencja / prywatność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Wymagany przegląd prawny (LAWYER REVIEW REQUIRED)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 do potwierdzenia z polityką prywatności i harmonogramem retencji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Nie fotografować: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dokumentów tożsamości, paszportów, dokumentów prawnych;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kart płatniczych, faktur z pełnymi danymi, dokumentów bankowych;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kodów alarmu, haseł, routerów / etykiet Wi-Fi, kodów sejfu;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dzieci, zdjęć rodzinnych i prywatnych materiałów osobistych;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wnętrza zamkniętych szaf, sejfów, prywatnych schowków lub stref wyłączonych;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przedmiotów wrażliwych, jeśli wystarczy notatka operacyjna.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Jeżeli element wrażliwy ma znaczenie operacyjne, zapisać fakt widoczny bez fotografowania. Dowody opisują widoczny stan; nie są diagnozą techniczną.</w:t>
      </w: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11. Wyłączenia i brak obietnic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Zarządzanie nieruchomością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nie przejmuje ogólnego zarządzania nieruchomością właściciela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Zarządzanie najmem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obsługi rezerwacji, cen, ogłoszeń, meldowania gości lub komunikacji z gośćmi, chyba że osobno i wyraźnie poza tym dokumentem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Concierge / lifestyle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usług lifestyle, zakupów osobistych, organizacji wygody lub ogólnej opieki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Diagnoza techniczna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dokumentuje widoczne fakty; diagnoza należy do właściwego specjalisty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Gwarancja rozwiązania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SLA oznacza reakcję / decyzję, nie gwarantowany rezultat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Wykonawcy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 nie gwarantuje dostępności, ceny ani jakości pracy wykonawcy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Usługi niewymienione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Jeżeli coś nie jest wpisane jako objęte zakresem (</w:t>
            </w:r>
            <w:r>
              <w:rPr>
                <w:rFonts w:ascii="Consolas" w:hAnsi="Consolas" w:eastAsia="Consolas"/>
                <w:color w:val="5B6870"/>
                <w:sz w:val="18"/>
              </w:rPr>
              <w:t>included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), nie jest automatycznie objęte zakresem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Odpowiedzialność prawna / podatkowa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Zgodność prawna, podatkowa i ubezpieczeniowa pozostaje po stronie właściciela i właściwych doradców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12. Weryfikacja podczas pierwszej wizyty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Pola, które mogą pozostać jako oczekujące na pierwszą wizytę (</w:t>
      </w:r>
      <w:r>
        <w:rPr>
          <w:rFonts w:ascii="Consolas" w:hAnsi="Consolas" w:eastAsia="Consolas"/>
          <w:color w:val="5B6870"/>
          <w:sz w:val="20"/>
        </w:rPr>
        <w:t>pending first visit</w:t>
      </w:r>
      <w:r>
        <w:rPr>
          <w:rFonts w:ascii="Calibri" w:hAnsi="Calibri" w:eastAsia="Calibri"/>
          <w:b w:val="0"/>
          <w:i w:val="0"/>
          <w:color w:val="1E2933"/>
          <w:sz w:val="21"/>
        </w:rPr>
        <w:t>) przed fizyczną weryfikacją: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Obszar: </w:t>
      </w:r>
      <w:r>
        <w:rPr>
          <w:rFonts w:ascii="Calibri" w:hAnsi="Calibri" w:eastAsia="Calibri"/>
          <w:b/>
          <w:i w:val="0"/>
          <w:color w:val="203A4A"/>
          <w:sz w:val="21"/>
        </w:rPr>
        <w:t>Lokalizacja zaworu wody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po wizycie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Obszar: </w:t>
      </w:r>
      <w:r>
        <w:rPr>
          <w:rFonts w:ascii="Calibri" w:hAnsi="Calibri" w:eastAsia="Calibri"/>
          <w:b/>
          <w:i w:val="0"/>
          <w:color w:val="203A4A"/>
          <w:sz w:val="21"/>
        </w:rPr>
        <w:t>Lokalizacja wyłącznika prądu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po wizycie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Obszar: </w:t>
      </w:r>
      <w:r>
        <w:rPr>
          <w:rFonts w:ascii="Calibri" w:hAnsi="Calibri" w:eastAsia="Calibri"/>
          <w:b/>
          <w:i w:val="0"/>
          <w:color w:val="203A4A"/>
          <w:sz w:val="21"/>
        </w:rPr>
        <w:t>Mechanika wejścia do budynku / wspólnoty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po wizycie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Obszar: </w:t>
      </w:r>
      <w:r>
        <w:rPr>
          <w:rFonts w:ascii="Calibri" w:hAnsi="Calibri" w:eastAsia="Calibri"/>
          <w:b/>
          <w:i w:val="0"/>
          <w:color w:val="203A4A"/>
          <w:sz w:val="21"/>
        </w:rPr>
        <w:t>Znane ryzyka widoczne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widocznych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po wizycie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Obszar: </w:t>
      </w:r>
      <w:r>
        <w:rPr>
          <w:rFonts w:ascii="Calibri" w:hAnsi="Calibri" w:eastAsia="Calibri"/>
          <w:b/>
          <w:i w:val="0"/>
          <w:color w:val="203A4A"/>
          <w:sz w:val="21"/>
        </w:rPr>
        <w:t>Bazowy zestaw zdjęć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wykonano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ograniczono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po wizycie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Obszar: </w:t>
      </w:r>
      <w:r>
        <w:rPr>
          <w:rFonts w:ascii="Calibri" w:hAnsi="Calibri" w:eastAsia="Calibri"/>
          <w:b/>
          <w:i w:val="0"/>
          <w:color w:val="203A4A"/>
          <w:sz w:val="21"/>
        </w:rPr>
        <w:t>Liczba i typ kluczy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rozbieżność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po wizycie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Obszar: </w:t>
      </w:r>
      <w:r>
        <w:rPr>
          <w:rFonts w:ascii="Calibri" w:hAnsi="Calibri" w:eastAsia="Calibri"/>
          <w:b/>
          <w:i w:val="0"/>
          <w:color w:val="203A4A"/>
          <w:sz w:val="21"/>
        </w:rPr>
        <w:t>Komunikaty wspólnoty / zasady budynku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brak dostępu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po wizycie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Obszar: </w:t>
      </w:r>
      <w:r>
        <w:rPr>
          <w:rFonts w:ascii="Calibri" w:hAnsi="Calibri" w:eastAsia="Calibri"/>
          <w:b/>
          <w:i w:val="0"/>
          <w:color w:val="203A4A"/>
          <w:sz w:val="21"/>
        </w:rPr>
        <w:t>Strefy wyłączone / prywatne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oczekuje na pierwszą wizytę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potwierdzono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Wynik po wizycie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Referencja dowodu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13. Punkty otwarte i bramki przeglądu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Kategoria: </w:t>
      </w:r>
      <w:r>
        <w:rPr>
          <w:rFonts w:ascii="Calibri" w:hAnsi="Calibri" w:eastAsia="Calibri"/>
          <w:b/>
          <w:i w:val="0"/>
          <w:color w:val="203A4A"/>
          <w:sz w:val="21"/>
        </w:rPr>
        <w:t>Decyzje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Punkty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otwarte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zamknięte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Kategoria: </w:t>
      </w:r>
      <w:r>
        <w:rPr>
          <w:rFonts w:ascii="Calibri" w:hAnsi="Calibri" w:eastAsia="Calibri"/>
          <w:b/>
          <w:i w:val="0"/>
          <w:color w:val="203A4A"/>
          <w:sz w:val="21"/>
        </w:rPr>
        <w:t>Oczekuje na pierwszą wizytę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Punkty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Sentinel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otwarte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zamknięte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Kategoria: </w:t>
      </w:r>
      <w:r>
        <w:rPr>
          <w:rFonts w:ascii="Calibri" w:hAnsi="Calibri" w:eastAsia="Calibri"/>
          <w:b/>
          <w:i w:val="0"/>
          <w:color w:val="203A4A"/>
          <w:sz w:val="21"/>
        </w:rPr>
        <w:t>Przegląd prawny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Punkty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prawnik / Sentinel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Kategoria: </w:t>
      </w:r>
      <w:r>
        <w:rPr>
          <w:rFonts w:ascii="Calibri" w:hAnsi="Calibri" w:eastAsia="Calibri"/>
          <w:b/>
          <w:i w:val="0"/>
          <w:color w:val="203A4A"/>
          <w:sz w:val="21"/>
        </w:rPr>
        <w:t>Przegląd księgowy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Punkty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księgowy / Sentinel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wymagany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 dotyczy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Kategoria: </w:t>
      </w:r>
      <w:r>
        <w:rPr>
          <w:rFonts w:ascii="Calibri" w:hAnsi="Calibri" w:eastAsia="Calibri"/>
          <w:b/>
          <w:i w:val="0"/>
          <w:color w:val="203A4A"/>
          <w:sz w:val="21"/>
        </w:rPr>
        <w:t>Zmiana zakresu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Punkty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właściciel + Sentinel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wymaga pisemnego potwierdzenia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Kategoria: </w:t>
      </w:r>
      <w:r>
        <w:rPr>
          <w:rFonts w:ascii="Calibri" w:hAnsi="Calibri" w:eastAsia="Calibri"/>
          <w:b/>
          <w:i w:val="0"/>
          <w:color w:val="203A4A"/>
          <w:sz w:val="21"/>
        </w:rPr>
        <w:t>Braki danych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Punkty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Odpowiedzialny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otwarte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zamknięte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14. Potwierdzenie właściciela - robocze</w:t>
      </w:r>
    </w:p>
    <w:p>
      <w:pPr>
        <w:spacing w:before="0" w:after="140" w:line="283" w:lineRule="auto"/>
      </w:pPr>
      <w:r>
        <w:rPr>
          <w:rFonts w:ascii="Calibri" w:hAnsi="Calibri" w:eastAsia="Calibri"/>
          <w:b w:val="0"/>
          <w:i w:val="0"/>
          <w:color w:val="1E2933"/>
          <w:sz w:val="21"/>
        </w:rPr>
        <w:t>To nie jest klauzula podpisu prawnego.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Właściciel potwierdza, że informacje operacyjne są wystarczająco dokładne do przygotowania pracy Sentinel, z zastrzeżeniem finalnej umowy i wymaganych przeglądów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 xml:space="preserve">częściowo: </w:t>
            </w: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Właściciel rozumie, że pola oznaczone jako oczekujące wymagają uzupełnienia przed użyciem operacyjnym albo przed przekazaniem jako dokument właściciela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tak</w:t>
            </w:r>
          </w:p>
          <w:p>
            <w:pPr>
              <w:spacing w:before="0" w:after="40" w:line="259" w:lineRule="auto"/>
            </w:pPr>
            <w:r>
              <w:rPr>
                <w:rFonts w:ascii="Segoe UI Symbol" w:hAnsi="Segoe UI Symbol" w:eastAsia="Segoe UI Symbol"/>
                <w:color w:val="1E2933"/>
                <w:sz w:val="22"/>
              </w:rPr>
              <w:t xml:space="preserve">☐ </w:t>
            </w: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nie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Data roboczego potwierdzenia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70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Potwierdzone przez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0" w:after="200" w:line="240" w:lineRule="auto"/>
      </w:pPr>
      <w:r>
        <w:rPr>
          <w:rFonts w:ascii="Calibri" w:hAnsi="Calibri" w:eastAsia="Calibri"/>
          <w:b/>
          <w:i w:val="0"/>
          <w:color w:val="203A4A"/>
          <w:sz w:val="32"/>
        </w:rPr>
        <w:t>15. Wewnętrzny rejestr zmian</w:t>
      </w:r>
    </w:p>
    <w:p>
      <w:pPr>
        <w:pStyle w:val="Heading3"/>
        <w:keepNext/>
        <w:spacing w:before="160" w:after="80" w:line="240" w:lineRule="auto"/>
      </w:pPr>
      <w:r>
        <w:rPr>
          <w:rFonts w:ascii="Calibri" w:hAnsi="Calibri" w:eastAsia="Calibri"/>
          <w:b/>
          <w:color w:val="326B69"/>
          <w:sz w:val="21"/>
        </w:rPr>
        <w:t xml:space="preserve">Wersja: </w:t>
      </w:r>
      <w:r>
        <w:rPr>
          <w:rFonts w:ascii="Calibri" w:hAnsi="Calibri" w:eastAsia="Calibri"/>
          <w:b/>
          <w:i w:val="0"/>
          <w:color w:val="203A4A"/>
          <w:sz w:val="21"/>
        </w:rPr>
        <w:t>0.1-working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BC"/>
          <w:left w:val="single" w:sz="6" w:space="0" w:color="AAB7BC"/>
          <w:bottom w:val="single" w:sz="6" w:space="0" w:color="AAB7BC"/>
          <w:right w:val="single" w:sz="6" w:space="0" w:color="AAB7BC"/>
          <w:insideH w:val="single" w:sz="6" w:space="0" w:color="AAB7BC"/>
          <w:insideV w:val="single" w:sz="6" w:space="0" w:color="AAB7BC"/>
        </w:tblBorders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Data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Zmiana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Pierwszy czysty roboczy draft PL na bazie SCO-01 v0.3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Autor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color w:val="5B6870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550"/>
            <w:shd w:fill="EAF0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E2933"/>
                <w:sz w:val="18"/>
              </w:rPr>
              <w:t>Status</w:t>
            </w:r>
          </w:p>
        </w:tc>
        <w:tc>
          <w:tcPr>
            <w:tcW w:type="dxa" w:w="6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E2933"/>
                <w:sz w:val="19"/>
              </w:rPr>
              <w:t>źródło robocze</w:t>
            </w:r>
          </w:p>
        </w:tc>
      </w:tr>
    </w:tbl>
    <w:p>
      <w:pPr>
        <w:spacing w:before="0" w:after="80" w:line="240" w:lineRule="auto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Calibri" w:hAnsi="Calibri" w:eastAsia="Calibri"/>
        <w:color w:val="5B6870"/>
        <w:sz w:val="17"/>
      </w:rPr>
      <w:t>Dokument roboczy - nie do podpisu</w:t>
    </w:r>
    <w:r>
      <w:t xml:space="preserve">                                                    </w:t>
    </w:r>
    <w:r>
      <w:rPr>
        <w:rFonts w:ascii="Calibri" w:hAnsi="Calibri" w:eastAsia="Calibri"/>
        <w:color w:val="5B687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Calibri"/>
        <w:b/>
        <w:color w:val="5B6870"/>
        <w:sz w:val="17"/>
      </w:rPr>
      <w:t>Sentinel Costa Blanca</w:t>
    </w:r>
    <w:r>
      <w:rPr>
        <w:rFonts w:ascii="Calibri" w:hAnsi="Calibri" w:eastAsia="Calibri"/>
        <w:color w:val="5B6870"/>
        <w:sz w:val="17"/>
      </w:rPr>
      <w:t xml:space="preserve">   |   SCO-01   |   wersja robocza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03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26B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03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Potwierdzenie zakresu obsługi nieruchomości</dc:title>
  <dc:subject>Roboczy dokument operacyjny v0.3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