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60" w:line="300" w:lineRule="auto"/>
      </w:pPr>
      <w:r>
        <w:rPr>
          <w:rFonts w:ascii="Calibri" w:hAnsi="Calibri" w:eastAsia="Calibri"/>
          <w:b/>
          <w:color w:val="5F6774"/>
          <w:sz w:val="20"/>
        </w:rPr>
        <w:t>SENTINEL COSTA BLANCA</w:t>
      </w:r>
    </w:p>
    <w:p>
      <w:pPr>
        <w:keepNext/>
        <w:spacing w:before="0" w:after="80" w:line="300" w:lineRule="auto"/>
      </w:pPr>
      <w:r>
        <w:rPr>
          <w:rFonts w:ascii="Calibri" w:hAnsi="Calibri" w:eastAsia="Calibri"/>
          <w:b/>
          <w:i w:val="0"/>
          <w:color w:val="182330"/>
          <w:sz w:val="42"/>
        </w:rPr>
        <w:t>Potwierdzenie zakresu obsługi nieruchomości</w:t>
      </w:r>
    </w:p>
    <w:p>
      <w:pPr>
        <w:keepNext w:val="0"/>
        <w:spacing w:before="0" w:after="240" w:line="300" w:lineRule="auto"/>
      </w:pPr>
      <w:r>
        <w:rPr>
          <w:rFonts w:ascii="Calibri" w:hAnsi="Calibri" w:eastAsia="Calibri"/>
          <w:b w:val="0"/>
          <w:i w:val="0"/>
          <w:color w:val="5F6774"/>
          <w:sz w:val="24"/>
        </w:rPr>
        <w:t>Property Scope Confirmation - dokument roboczy v0.6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8D0DC"/>
          <w:left w:val="single" w:sz="4" w:space="0" w:color="C8D0DC"/>
          <w:bottom w:val="single" w:sz="4" w:space="0" w:color="C8D0DC"/>
          <w:right w:val="single" w:sz="4" w:space="0" w:color="C8D0DC"/>
          <w:insideH w:val="single" w:sz="4" w:space="0" w:color="C8D0DC"/>
          <w:insideV w:val="single" w:sz="4" w:space="0" w:color="C8D0DC"/>
        </w:tblBorders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E8EEF5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/>
                <w:i w:val="0"/>
                <w:color w:val="182330"/>
                <w:sz w:val="18"/>
              </w:rPr>
              <w:t>Pole</w:t>
            </w:r>
          </w:p>
        </w:tc>
        <w:tc>
          <w:tcPr>
            <w:tcW w:type="dxa" w:w="68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E8EEF5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/>
                <w:i w:val="0"/>
                <w:color w:val="182330"/>
                <w:sz w:val="18"/>
              </w:rPr>
              <w:t>Wartość</w:t>
            </w:r>
          </w:p>
        </w:tc>
      </w:tr>
      <w:tr>
        <w:tc>
          <w:tcPr>
            <w:tcW w:type="dxa" w:w="25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Rodzaj</w:t>
            </w:r>
          </w:p>
        </w:tc>
        <w:tc>
          <w:tcPr>
            <w:tcW w:type="dxa" w:w="68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wewnętrzny dokument roboczy (draft) — wspólne ustalenie zakresu</w:t>
            </w:r>
          </w:p>
        </w:tc>
      </w:tr>
      <w:tr>
        <w:tc>
          <w:tcPr>
            <w:tcW w:type="dxa" w:w="25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Wersja</w:t>
            </w:r>
          </w:p>
        </w:tc>
        <w:tc>
          <w:tcPr>
            <w:tcW w:type="dxa" w:w="68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v0.6 robocza (po opiniach z testu beta)</w:t>
            </w:r>
          </w:p>
        </w:tc>
      </w:tr>
      <w:tr>
        <w:tc>
          <w:tcPr>
            <w:tcW w:type="dxa" w:w="25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Kto wypełnia</w:t>
            </w:r>
          </w:p>
        </w:tc>
        <w:tc>
          <w:tcPr>
            <w:tcW w:type="dxa" w:w="68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pracownik Sentinel podczas rozmowy wstępnej; właściciel przegląda gotowy zapis</w:t>
            </w:r>
          </w:p>
        </w:tc>
      </w:tr>
      <w:tr>
        <w:tc>
          <w:tcPr>
            <w:tcW w:type="dxa" w:w="25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Przegląd</w:t>
            </w:r>
          </w:p>
        </w:tc>
        <w:tc>
          <w:tcPr>
            <w:tcW w:type="dxa" w:w="68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wymaga przeglądu właściciela; częściowy przegląd prawny i księgowy tam, gdzie oznaczono</w:t>
            </w:r>
          </w:p>
        </w:tc>
      </w:tr>
      <w:tr>
        <w:tc>
          <w:tcPr>
            <w:tcW w:type="dxa" w:w="25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Zatwierdzenie</w:t>
            </w:r>
          </w:p>
        </w:tc>
        <w:tc>
          <w:tcPr>
            <w:tcW w:type="dxa" w:w="68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nie zatwierdzony do użytku z klientem i nie do podpisu</w:t>
            </w:r>
          </w:p>
        </w:tc>
      </w:tr>
    </w:tbl>
    <w:p>
      <w:pPr>
        <w:spacing w:after="40"/>
      </w:pPr>
    </w:p>
    <w:p>
      <w:pPr>
        <w:keepNext w:val="0"/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82330"/>
          <w:sz w:val="21"/>
        </w:rPr>
        <w:t>Ten dokument to wspólne ustalenie, jak Sentinel ma zajmować się Państwa nieruchomością pod Państwa nieobecność: co sprawdzamy, jak dostajemy dostęp, co Państwo otrzymują po wizycie i kiedy pytamy o decyzję. Ustala też wyraźnie, czego Sentinel nie robi.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DEE8"/>
          <w:left w:val="single" w:sz="4" w:space="0" w:color="D8DEE8"/>
          <w:bottom w:val="single" w:sz="4" w:space="0" w:color="D8DEE8"/>
          <w:right w:val="single" w:sz="4" w:space="0" w:color="D8DEE8"/>
          <w:insideH w:val="single" w:sz="4" w:space="0" w:color="D8DEE8"/>
          <w:insideV w:val="single" w:sz="4" w:space="0" w:color="D8DEE8"/>
        </w:tblBorders>
      </w:tblPr>
      <w:tblGrid>
        <w:gridCol w:w="9360"/>
      </w:tblGrid>
      <w:tr>
        <w:tc>
          <w:tcPr>
            <w:tcW w:type="dxa" w:w="9360"/>
            <w:tcMar>
              <w:top w:w="140" w:type="dxa"/>
              <w:start w:w="180" w:type="dxa"/>
              <w:bottom w:w="140" w:type="dxa"/>
              <w:end w:w="180" w:type="dxa"/>
            </w:tcMar>
            <w:vAlign w:val="center"/>
            <w:shd w:fill="EAF2FB"/>
          </w:tcPr>
          <w:p>
            <w:pPr>
              <w:keepNext w:val="0"/>
              <w:spacing w:before="0" w:after="0" w:line="288" w:lineRule="auto"/>
            </w:pPr>
            <w:r>
              <w:rPr>
                <w:rFonts w:ascii="Calibri" w:hAnsi="Calibri" w:eastAsia="Calibri"/>
                <w:b/>
                <w:color w:val="1F4D78"/>
                <w:sz w:val="21"/>
              </w:rPr>
              <w:t xml:space="preserve">KTO WYPEŁNIA: </w:t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21"/>
              </w:rPr>
              <w:t>formularz wypełnia pracownik Sentinel podczas rozmowy wstępnej, na podstawie Państwa odpowiedzi. Nie trzeba znać ani wypełniać każdego pola samodzielnie — od tego jest nasza rozmowa. Czego jeszcze nie wiadomo, zaznaczamy jako nie dotyczy, do decyzji właściciela albo do ustalenia po pierwszej wizycie. Gotowy, wypełniony dokument wraca do Państwa do przejrzenia.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DEE8"/>
          <w:left w:val="single" w:sz="4" w:space="0" w:color="D8DEE8"/>
          <w:bottom w:val="single" w:sz="4" w:space="0" w:color="D8DEE8"/>
          <w:right w:val="single" w:sz="4" w:space="0" w:color="D8DEE8"/>
          <w:insideH w:val="single" w:sz="4" w:space="0" w:color="D8DEE8"/>
          <w:insideV w:val="single" w:sz="4" w:space="0" w:color="D8DEE8"/>
        </w:tblBorders>
      </w:tblPr>
      <w:tblGrid>
        <w:gridCol w:w="9360"/>
      </w:tblGrid>
      <w:tr>
        <w:tc>
          <w:tcPr>
            <w:tcW w:type="dxa" w:w="9360"/>
            <w:tcMar>
              <w:top w:w="140" w:type="dxa"/>
              <w:start w:w="180" w:type="dxa"/>
              <w:bottom w:w="140" w:type="dxa"/>
              <w:end w:w="180" w:type="dxa"/>
            </w:tcMar>
            <w:vAlign w:val="center"/>
            <w:shd w:fill="FFF8E8"/>
          </w:tcPr>
          <w:p>
            <w:pPr>
              <w:keepNext w:val="0"/>
              <w:spacing w:before="0" w:after="0" w:line="288" w:lineRule="auto"/>
            </w:pPr>
            <w:r>
              <w:rPr>
                <w:rFonts w:ascii="Calibri" w:hAnsi="Calibri" w:eastAsia="Calibri"/>
                <w:b/>
                <w:color w:val="1F4D78"/>
                <w:sz w:val="21"/>
              </w:rPr>
              <w:t xml:space="preserve">WAŻNE: </w:t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21"/>
              </w:rPr>
              <w:t>To nie jest umowa i nie jest dokument do podpisu. Ustala zakres pracy i granice; ostateczne brzmienie prawne i księgowe wymaga osobnego przeglądu.</w:t>
            </w:r>
          </w:p>
        </w:tc>
      </w:tr>
    </w:tbl>
    <w:p>
      <w:pPr>
        <w:spacing w:after="40"/>
      </w:pPr>
    </w:p>
    <w:p>
      <w:pPr>
        <w:keepNext w:val="0"/>
        <w:spacing w:before="0" w:after="120" w:line="300" w:lineRule="auto"/>
      </w:pPr>
      <w:r>
        <w:rPr>
          <w:rFonts w:ascii="Calibri" w:hAnsi="Calibri" w:eastAsia="Calibri"/>
          <w:b/>
          <w:i w:val="0"/>
          <w:color w:val="182330"/>
          <w:sz w:val="21"/>
        </w:rPr>
        <w:t>Krótka mapa pojęć:</w:t>
      </w:r>
    </w:p>
    <w:p>
      <w:pPr>
        <w:pStyle w:val="SentinelBullet"/>
      </w:pPr>
      <w:r>
        <w:rPr>
          <w:rFonts w:ascii="Calibri" w:hAnsi="Calibri" w:eastAsia="Calibri"/>
          <w:b/>
          <w:i w:val="0"/>
          <w:color w:val="182330"/>
          <w:sz w:val="20"/>
        </w:rPr>
        <w:t>Nadzór</w:t>
      </w:r>
      <w:r>
        <w:rPr>
          <w:rFonts w:ascii="Calibri" w:hAnsi="Calibri" w:eastAsia="Calibri"/>
          <w:b w:val="0"/>
          <w:i w:val="0"/>
          <w:color w:val="182330"/>
          <w:sz w:val="20"/>
        </w:rPr>
        <w:t xml:space="preserve"> — regularne, umówione sprawdzanie nieruchomości i reagowanie w uzgodnionych granicach.</w:t>
      </w:r>
    </w:p>
    <w:p>
      <w:pPr>
        <w:pStyle w:val="SentinelBullet"/>
      </w:pPr>
      <w:r>
        <w:rPr>
          <w:rFonts w:ascii="Calibri" w:hAnsi="Calibri" w:eastAsia="Calibri"/>
          <w:b/>
          <w:i w:val="0"/>
          <w:color w:val="182330"/>
          <w:sz w:val="20"/>
        </w:rPr>
        <w:t>Sprzątanie / gotowość</w:t>
      </w:r>
      <w:r>
        <w:rPr>
          <w:rFonts w:ascii="Calibri" w:hAnsi="Calibri" w:eastAsia="Calibri"/>
          <w:b w:val="0"/>
          <w:i w:val="0"/>
          <w:color w:val="182330"/>
          <w:sz w:val="20"/>
        </w:rPr>
        <w:t xml:space="preserve"> — przygotowanie lokalu (np. przed przyjazdem); wykonywane według osobnej checklisty.</w:t>
      </w:r>
    </w:p>
    <w:p>
      <w:pPr>
        <w:pStyle w:val="SentinelBullet"/>
      </w:pPr>
      <w:r>
        <w:rPr>
          <w:rFonts w:ascii="Calibri" w:hAnsi="Calibri" w:eastAsia="Calibri"/>
          <w:b/>
          <w:i w:val="0"/>
          <w:color w:val="182330"/>
          <w:sz w:val="20"/>
        </w:rPr>
        <w:t>Klucze i dostęp</w:t>
      </w:r>
      <w:r>
        <w:rPr>
          <w:rFonts w:ascii="Calibri" w:hAnsi="Calibri" w:eastAsia="Calibri"/>
          <w:b w:val="0"/>
          <w:i w:val="0"/>
          <w:color w:val="182330"/>
          <w:sz w:val="20"/>
        </w:rPr>
        <w:t xml:space="preserve"> — jak Sentinel wchodzi do środka; przekazanie kluczy potwierdza osobny dokument.</w:t>
      </w:r>
    </w:p>
    <w:p>
      <w:pPr>
        <w:pStyle w:val="SentinelBullet"/>
      </w:pPr>
      <w:r>
        <w:rPr>
          <w:rFonts w:ascii="Calibri" w:hAnsi="Calibri" w:eastAsia="Calibri"/>
          <w:b/>
          <w:i w:val="0"/>
          <w:color w:val="182330"/>
          <w:sz w:val="20"/>
        </w:rPr>
        <w:t>Raport</w:t>
      </w:r>
      <w:r>
        <w:rPr>
          <w:rFonts w:ascii="Calibri" w:hAnsi="Calibri" w:eastAsia="Calibri"/>
          <w:b w:val="0"/>
          <w:i w:val="0"/>
          <w:color w:val="182330"/>
          <w:sz w:val="20"/>
        </w:rPr>
        <w:t xml:space="preserve"> — co Państwo otrzymują po wizycie: widoczne fakty i wybrane zdjęcia.</w:t>
      </w:r>
    </w:p>
    <w:p>
      <w:pPr>
        <w:pStyle w:val="SentinelBullet"/>
      </w:pPr>
      <w:r>
        <w:rPr>
          <w:rFonts w:ascii="Calibri" w:hAnsi="Calibri" w:eastAsia="Calibri"/>
          <w:b/>
          <w:i w:val="0"/>
          <w:color w:val="182330"/>
          <w:sz w:val="20"/>
        </w:rPr>
        <w:t>Decyzja właściciela</w:t>
      </w:r>
      <w:r>
        <w:rPr>
          <w:rFonts w:ascii="Calibri" w:hAnsi="Calibri" w:eastAsia="Calibri"/>
          <w:b w:val="0"/>
          <w:i w:val="0"/>
          <w:color w:val="182330"/>
          <w:sz w:val="20"/>
        </w:rPr>
        <w:t xml:space="preserve"> — moment, w którym Sentinel pyta Państwa o zgodę, zanim coś zleci lub wyda pieniądze.</w:t>
      </w:r>
    </w:p>
    <w:p>
      <w:pPr>
        <w:keepNext w:val="0"/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82330"/>
          <w:sz w:val="21"/>
        </w:rPr>
        <w:t>W całym formularzu używamy pięciu statusów: w zakresie · poza zakresem · nie dotyczy · do decyzji właściciela · do ustalenia po pierwszej wizycie.</w:t>
      </w:r>
    </w:p>
    <w:p>
      <w:pPr>
        <w:pStyle w:val="Heading1"/>
        <w:keepNext/>
        <w:spacing w:before="300" w:after="120" w:line="300" w:lineRule="auto"/>
      </w:pPr>
      <w:r/>
      <w:r>
        <w:rPr>
          <w:rFonts w:ascii="Calibri" w:hAnsi="Calibri" w:eastAsia="Calibri"/>
          <w:b/>
          <w:i w:val="0"/>
          <w:color w:val="2E74B5"/>
          <w:sz w:val="29"/>
        </w:rPr>
        <w:t>1. Właściciel, nieruchomość i sposób używania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8D0DC"/>
          <w:left w:val="single" w:sz="4" w:space="0" w:color="C8D0DC"/>
          <w:bottom w:val="single" w:sz="4" w:space="0" w:color="C8D0DC"/>
          <w:right w:val="single" w:sz="4" w:space="0" w:color="C8D0DC"/>
          <w:insideH w:val="single" w:sz="4" w:space="0" w:color="C8D0DC"/>
          <w:insideV w:val="single" w:sz="4" w:space="0" w:color="C8D0DC"/>
        </w:tblBorders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E8EEF5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/>
                <w:i w:val="0"/>
                <w:color w:val="182330"/>
                <w:sz w:val="19"/>
              </w:rPr>
              <w:t>Pole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E8EEF5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/>
                <w:i w:val="0"/>
                <w:color w:val="182330"/>
                <w:sz w:val="19"/>
              </w:rPr>
              <w:t>Wartość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Imię i nazwisko / nazwa właściciela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______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Preferowany język kontaktu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polski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angielski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inny: ______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Obszar nieruchomości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______ (obszar / miejscowość; bez pełnego adresu w tym formularzu)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Typ nieruchomości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apartament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dom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willa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inny: ______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Sposób używania nieruchomości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Nieobecność prywatna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Aktywne użycie przez gości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Użycie mieszane - do ustalenia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Ważne uwagi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______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80" w:after="80" w:line="300" w:lineRule="auto"/>
      </w:pPr>
      <w:r/>
      <w:r>
        <w:rPr>
          <w:rFonts w:ascii="Calibri" w:hAnsi="Calibri" w:eastAsia="Calibri"/>
          <w:b/>
          <w:i w:val="0"/>
          <w:color w:val="1F4D78"/>
          <w:sz w:val="23"/>
        </w:rPr>
        <w:t>Terminy uruchamiające gotowość</w:t>
      </w:r>
    </w:p>
    <w:p>
      <w:pPr>
        <w:keepNext w:val="0"/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82330"/>
          <w:sz w:val="21"/>
        </w:rPr>
        <w:t>Wypełnia się tylko, jeśli gotowość, przyjazdy właściciela, goście albo sprzątanie zależą od terminów.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8D0DC"/>
          <w:left w:val="single" w:sz="4" w:space="0" w:color="C8D0DC"/>
          <w:bottom w:val="single" w:sz="4" w:space="0" w:color="C8D0DC"/>
          <w:right w:val="single" w:sz="4" w:space="0" w:color="C8D0DC"/>
          <w:insideH w:val="single" w:sz="4" w:space="0" w:color="C8D0DC"/>
          <w:insideV w:val="single" w:sz="4" w:space="0" w:color="C8D0DC"/>
        </w:tblBorders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E8EEF5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/>
                <w:i w:val="0"/>
                <w:color w:val="182330"/>
                <w:sz w:val="19"/>
              </w:rPr>
              <w:t>Pole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E8EEF5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/>
                <w:i w:val="0"/>
                <w:color w:val="182330"/>
                <w:sz w:val="19"/>
              </w:rPr>
              <w:t>Wartość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Skąd Sentinel bierze terminy?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nie dotyczy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właściciel wysyła ręcznie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współdzielony kalendarz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email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inne: ______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Czy Sentinel ma działający dostęp do tych terminów?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tak, sprawdzono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właściciel będzie wysyłał ręcznie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do przetestowania przed użyciem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nie dotyczy</w:t>
            </w:r>
          </w:p>
        </w:tc>
      </w:tr>
    </w:tbl>
    <w:p>
      <w:pPr>
        <w:spacing w:after="40"/>
      </w:pPr>
    </w:p>
    <w:p>
      <w:pPr>
        <w:keepNext w:val="0"/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82330"/>
          <w:sz w:val="21"/>
        </w:rPr>
        <w:t>Terminy służą wyłącznie do planowania gotowości. Sentinel nie obsługuje rezerwacji, cen, ogłoszeń, meldowania ani komunikacji z gośćmi i nie świadczy zarządzania najmem. Użycie mieszane to zakres startowy do potwierdzenia — wypełnia się tylko moduły, które rzeczywiście mają działać.</w:t>
      </w:r>
    </w:p>
    <w:p>
      <w:pPr>
        <w:pStyle w:val="Heading1"/>
        <w:keepNext/>
        <w:spacing w:before="300" w:after="120" w:line="300" w:lineRule="auto"/>
      </w:pPr>
      <w:r/>
      <w:r>
        <w:rPr>
          <w:rFonts w:ascii="Calibri" w:hAnsi="Calibri" w:eastAsia="Calibri"/>
          <w:b/>
          <w:i w:val="0"/>
          <w:color w:val="2E74B5"/>
          <w:sz w:val="29"/>
        </w:rPr>
        <w:t>2. Pakiet, rytm i czas reakcji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8D0DC"/>
          <w:left w:val="single" w:sz="4" w:space="0" w:color="C8D0DC"/>
          <w:bottom w:val="single" w:sz="4" w:space="0" w:color="C8D0DC"/>
          <w:right w:val="single" w:sz="4" w:space="0" w:color="C8D0DC"/>
          <w:insideH w:val="single" w:sz="4" w:space="0" w:color="C8D0DC"/>
          <w:insideV w:val="single" w:sz="4" w:space="0" w:color="C8D0DC"/>
        </w:tblBorders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E8EEF5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/>
                <w:i w:val="0"/>
                <w:color w:val="182330"/>
                <w:sz w:val="19"/>
              </w:rPr>
              <w:t>Pole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E8EEF5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/>
                <w:i w:val="0"/>
                <w:color w:val="182330"/>
                <w:sz w:val="19"/>
              </w:rPr>
              <w:t>Wartość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Pakiet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Podstawowy / Basic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Rozszerzony / Extended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Pełny / Full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do potwierdzenia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Okno reakcji / decyzji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48h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24h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tego samego dnia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inne zgodne z pakietem: ______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Uzgodniony rytm wizyt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______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Dodatkowe wejścia poza planowymi wizytami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______ (kiedy i na jakiej podstawie)</w:t>
            </w:r>
          </w:p>
        </w:tc>
      </w:tr>
    </w:tbl>
    <w:p>
      <w:pPr>
        <w:spacing w:after="40"/>
      </w:pPr>
    </w:p>
    <w:p>
      <w:pPr>
        <w:keepNext w:val="0"/>
        <w:spacing w:before="0" w:after="120" w:line="300" w:lineRule="auto"/>
      </w:pPr>
      <w:r>
        <w:rPr>
          <w:rFonts w:ascii="Calibri" w:hAnsi="Calibri" w:eastAsia="Calibri"/>
          <w:b/>
          <w:i w:val="0"/>
          <w:color w:val="182330"/>
          <w:sz w:val="21"/>
        </w:rPr>
        <w:t>Full: minimum 3 wizyty w miesiącu.</w:t>
      </w:r>
    </w:p>
    <w:p>
      <w:pPr>
        <w:keepNext w:val="0"/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82330"/>
          <w:sz w:val="21"/>
        </w:rPr>
        <w:t>SLA oznacza czas reakcji i decyzji, nie gwarancję rozwiązania sprawy. Pakiet określa rytm, intensywność i pozycję decyzyjną; nie przenosi odpowiedzialności właściciela, nie tworzy gwarancji rezultatu i nie oznacza większej odpowiedzialności za szkodę. Sentinel dokumentuje widoczne fakty i nie stawia diagnoz technicznych.</w:t>
      </w:r>
    </w:p>
    <w:p>
      <w:pPr>
        <w:pStyle w:val="Heading1"/>
        <w:keepNext/>
        <w:spacing w:before="300" w:after="120" w:line="300" w:lineRule="auto"/>
      </w:pPr>
      <w:r/>
      <w:r>
        <w:rPr>
          <w:rFonts w:ascii="Calibri" w:hAnsi="Calibri" w:eastAsia="Calibri"/>
          <w:b/>
          <w:i w:val="0"/>
          <w:color w:val="2E74B5"/>
          <w:sz w:val="29"/>
        </w:rPr>
        <w:t>3. Co Sentinel robi i kiedy</w:t>
      </w:r>
    </w:p>
    <w:p>
      <w:pPr>
        <w:keepNext w:val="0"/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82330"/>
          <w:sz w:val="21"/>
        </w:rPr>
        <w:t>Pracownik Sentinel zaznacza tylko te działania, które rzeczywiście mają być wykonywane, i używa pięciu statusów podanych na początku. Puste pola ______ uzupełnia się w rozmowie.</w:t>
      </w:r>
    </w:p>
    <w:p>
      <w:pPr>
        <w:pStyle w:val="Heading2"/>
        <w:keepNext/>
        <w:spacing w:before="180" w:after="80" w:line="300" w:lineRule="auto"/>
      </w:pPr>
      <w:r/>
      <w:r>
        <w:rPr>
          <w:rFonts w:ascii="Calibri" w:hAnsi="Calibri" w:eastAsia="Calibri"/>
          <w:b/>
          <w:i w:val="0"/>
          <w:color w:val="1F4D78"/>
          <w:sz w:val="23"/>
        </w:rPr>
        <w:t>3A. Regularne działania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8D0DC"/>
          <w:left w:val="single" w:sz="4" w:space="0" w:color="C8D0DC"/>
          <w:bottom w:val="single" w:sz="4" w:space="0" w:color="C8D0DC"/>
          <w:right w:val="single" w:sz="4" w:space="0" w:color="C8D0DC"/>
          <w:insideH w:val="single" w:sz="4" w:space="0" w:color="C8D0DC"/>
          <w:insideV w:val="single" w:sz="4" w:space="0" w:color="C8D0DC"/>
        </w:tblBorders>
      </w:tblPr>
      <w:tblGrid>
        <w:gridCol w:w="2550"/>
        <w:gridCol w:w="1550"/>
        <w:gridCol w:w="2700"/>
        <w:gridCol w:w="2560"/>
      </w:tblGrid>
      <w:tr>
        <w:trPr>
          <w:tblHeader w:val="true"/>
        </w:trPr>
        <w:tc>
          <w:tcPr>
            <w:tcW w:type="dxa" w:w="255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E8EEF5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/>
                <w:i w:val="0"/>
                <w:color w:val="182330"/>
                <w:sz w:val="18"/>
              </w:rPr>
              <w:t>Działanie</w:t>
            </w:r>
          </w:p>
        </w:tc>
        <w:tc>
          <w:tcPr>
            <w:tcW w:type="dxa" w:w="155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E8EEF5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/>
                <w:i w:val="0"/>
                <w:color w:val="182330"/>
                <w:sz w:val="18"/>
              </w:rPr>
              <w:t>Status</w:t>
            </w:r>
          </w:p>
        </w:tc>
        <w:tc>
          <w:tcPr>
            <w:tcW w:type="dxa" w:w="27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E8EEF5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/>
                <w:i w:val="0"/>
                <w:color w:val="182330"/>
                <w:sz w:val="18"/>
              </w:rPr>
              <w:t>Kiedy / jak często</w:t>
            </w:r>
          </w:p>
        </w:tc>
        <w:tc>
          <w:tcPr>
            <w:tcW w:type="dxa" w:w="25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E8EEF5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/>
                <w:i w:val="0"/>
                <w:color w:val="182330"/>
                <w:sz w:val="18"/>
              </w:rPr>
              <w:t>Wynik i granice</w:t>
            </w:r>
          </w:p>
        </w:tc>
      </w:tr>
      <w:tr>
        <w:tc>
          <w:tcPr>
            <w:tcW w:type="dxa" w:w="255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Planowa wizyta nadzorcza</w:t>
            </w:r>
          </w:p>
        </w:tc>
        <w:tc>
          <w:tcPr>
            <w:tcW w:type="dxa" w:w="155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______</w:t>
            </w:r>
          </w:p>
        </w:tc>
        <w:tc>
          <w:tcPr>
            <w:tcW w:type="dxa" w:w="27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wg planu; jak często: ______</w:t>
            </w:r>
          </w:p>
        </w:tc>
        <w:tc>
          <w:tcPr>
            <w:tcW w:type="dxa" w:w="25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raport wizyty</w:t>
            </w:r>
          </w:p>
        </w:tc>
      </w:tr>
      <w:tr>
        <w:tc>
          <w:tcPr>
            <w:tcW w:type="dxa" w:w="255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Przechowanie kluczy</w:t>
            </w:r>
          </w:p>
        </w:tc>
        <w:tc>
          <w:tcPr>
            <w:tcW w:type="dxa" w:w="155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______</w:t>
            </w:r>
          </w:p>
        </w:tc>
        <w:tc>
          <w:tcPr>
            <w:tcW w:type="dxa" w:w="27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po przekazaniu kluczy; ruch wg rejestru dostępu</w:t>
            </w:r>
          </w:p>
        </w:tc>
        <w:tc>
          <w:tcPr>
            <w:tcW w:type="dxa" w:w="25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potwierdzenie / log dostępu; bez pełnego adresu na oznaczeniach</w:t>
            </w:r>
          </w:p>
        </w:tc>
      </w:tr>
      <w:tr>
        <w:tc>
          <w:tcPr>
            <w:tcW w:type="dxa" w:w="255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Komunikaty wspólnoty / budynku</w:t>
            </w:r>
          </w:p>
        </w:tc>
        <w:tc>
          <w:tcPr>
            <w:tcW w:type="dxa" w:w="155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______</w:t>
            </w:r>
          </w:p>
        </w:tc>
        <w:tc>
          <w:tcPr>
            <w:tcW w:type="dxa" w:w="27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podczas wizyt, gdy dostępne</w:t>
            </w:r>
          </w:p>
        </w:tc>
        <w:tc>
          <w:tcPr>
            <w:tcW w:type="dxa" w:w="25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notatka; tylko widoczne komunikaty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80" w:after="80" w:line="300" w:lineRule="auto"/>
      </w:pPr>
      <w:r/>
      <w:r>
        <w:rPr>
          <w:rFonts w:ascii="Calibri" w:hAnsi="Calibri" w:eastAsia="Calibri"/>
          <w:b/>
          <w:i w:val="0"/>
          <w:color w:val="1F4D78"/>
          <w:sz w:val="23"/>
        </w:rPr>
        <w:t>3B. Gotowość uruchamiana terminem</w:t>
      </w:r>
    </w:p>
    <w:p>
      <w:pPr>
        <w:keepNext w:val="0"/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82330"/>
          <w:sz w:val="21"/>
        </w:rPr>
        <w:t>Wypełnia się tylko moduły wybrane dla profilu prywatnego, gościnnego albo mieszanego.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8D0DC"/>
          <w:left w:val="single" w:sz="4" w:space="0" w:color="C8D0DC"/>
          <w:bottom w:val="single" w:sz="4" w:space="0" w:color="C8D0DC"/>
          <w:right w:val="single" w:sz="4" w:space="0" w:color="C8D0DC"/>
          <w:insideH w:val="single" w:sz="4" w:space="0" w:color="C8D0DC"/>
          <w:insideV w:val="single" w:sz="4" w:space="0" w:color="C8D0DC"/>
        </w:tblBorders>
      </w:tblPr>
      <w:tblGrid>
        <w:gridCol w:w="2550"/>
        <w:gridCol w:w="1550"/>
        <w:gridCol w:w="2700"/>
        <w:gridCol w:w="2560"/>
      </w:tblGrid>
      <w:tr>
        <w:trPr>
          <w:tblHeader w:val="true"/>
        </w:trPr>
        <w:tc>
          <w:tcPr>
            <w:tcW w:type="dxa" w:w="255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E8EEF5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/>
                <w:i w:val="0"/>
                <w:color w:val="182330"/>
                <w:sz w:val="18"/>
              </w:rPr>
              <w:t>Działanie</w:t>
            </w:r>
          </w:p>
        </w:tc>
        <w:tc>
          <w:tcPr>
            <w:tcW w:type="dxa" w:w="155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E8EEF5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/>
                <w:i w:val="0"/>
                <w:color w:val="182330"/>
                <w:sz w:val="18"/>
              </w:rPr>
              <w:t>Status</w:t>
            </w:r>
          </w:p>
        </w:tc>
        <w:tc>
          <w:tcPr>
            <w:tcW w:type="dxa" w:w="27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E8EEF5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/>
                <w:i w:val="0"/>
                <w:color w:val="182330"/>
                <w:sz w:val="18"/>
              </w:rPr>
              <w:t>Co uruchamia / termin</w:t>
            </w:r>
          </w:p>
        </w:tc>
        <w:tc>
          <w:tcPr>
            <w:tcW w:type="dxa" w:w="25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E8EEF5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/>
                <w:i w:val="0"/>
                <w:color w:val="182330"/>
                <w:sz w:val="18"/>
              </w:rPr>
              <w:t>Wynik i granice</w:t>
            </w:r>
          </w:p>
        </w:tc>
      </w:tr>
      <w:tr>
        <w:tc>
          <w:tcPr>
            <w:tcW w:type="dxa" w:w="255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Gotowość przed przyjazdem właściciela</w:t>
            </w:r>
          </w:p>
        </w:tc>
        <w:tc>
          <w:tcPr>
            <w:tcW w:type="dxa" w:w="155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______</w:t>
            </w:r>
          </w:p>
        </w:tc>
        <w:tc>
          <w:tcPr>
            <w:tcW w:type="dxa" w:w="27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termin z sekcji 1; gotowe na: ______</w:t>
            </w:r>
          </w:p>
        </w:tc>
        <w:tc>
          <w:tcPr>
            <w:tcW w:type="dxa" w:w="25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potwierdzenie gotowości; zależne od terminu powiadomienia</w:t>
            </w:r>
          </w:p>
        </w:tc>
      </w:tr>
      <w:tr>
        <w:tc>
          <w:tcPr>
            <w:tcW w:type="dxa" w:w="255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Sprzątanie w ramach gotowości</w:t>
            </w:r>
          </w:p>
        </w:tc>
        <w:tc>
          <w:tcPr>
            <w:tcW w:type="dxa" w:w="155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______</w:t>
            </w:r>
          </w:p>
        </w:tc>
        <w:tc>
          <w:tcPr>
            <w:tcW w:type="dxa" w:w="27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termin przyjazdu / gotowości; gotowe na: ______</w:t>
            </w:r>
          </w:p>
        </w:tc>
        <w:tc>
          <w:tcPr>
            <w:tcW w:type="dxa" w:w="25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potwierdzenie + dowód przed/po; funkcja w ramach nadzoru</w:t>
            </w:r>
          </w:p>
        </w:tc>
      </w:tr>
      <w:tr>
        <w:tc>
          <w:tcPr>
            <w:tcW w:type="dxa" w:w="255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Sprzątanie rotacyjne (goście)</w:t>
            </w:r>
          </w:p>
        </w:tc>
        <w:tc>
          <w:tcPr>
            <w:tcW w:type="dxa" w:w="155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______</w:t>
            </w:r>
          </w:p>
        </w:tc>
        <w:tc>
          <w:tcPr>
            <w:tcW w:type="dxa" w:w="27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termin wyjazdu / przyjazdu gości; gotowe na: ______</w:t>
            </w:r>
          </w:p>
        </w:tc>
        <w:tc>
          <w:tcPr>
            <w:tcW w:type="dxa" w:w="25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potwierdzenie + dowód przed/po; bez obsługi rezerwacji i komunikacji z gośćmi</w:t>
            </w:r>
          </w:p>
        </w:tc>
      </w:tr>
      <w:tr>
        <w:tc>
          <w:tcPr>
            <w:tcW w:type="dxa" w:w="255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Kontrola po gościach</w:t>
            </w:r>
          </w:p>
        </w:tc>
        <w:tc>
          <w:tcPr>
            <w:tcW w:type="dxa" w:w="155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______</w:t>
            </w:r>
          </w:p>
        </w:tc>
        <w:tc>
          <w:tcPr>
            <w:tcW w:type="dxa" w:w="27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termin zakończenia pobytu (sekcja 1)</w:t>
            </w:r>
          </w:p>
        </w:tc>
        <w:tc>
          <w:tcPr>
            <w:tcW w:type="dxa" w:w="25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raport / zdjęcia referencyjne; bez obsługi rezerwacji, cen i wiadomości do gości</w:t>
            </w:r>
          </w:p>
        </w:tc>
      </w:tr>
    </w:tbl>
    <w:p>
      <w:pPr>
        <w:spacing w:after="40"/>
      </w:pPr>
    </w:p>
    <w:p>
      <w:pPr>
        <w:keepNext w:val="0"/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82330"/>
          <w:sz w:val="21"/>
        </w:rPr>
        <w:t>Pościel / pranie ustala się w sekcji 6 tylko wtedy, gdy sprzątanie jest w zakresie.</w:t>
      </w:r>
    </w:p>
    <w:p>
      <w:pPr>
        <w:pStyle w:val="Heading2"/>
        <w:keepNext/>
        <w:spacing w:before="180" w:after="80" w:line="300" w:lineRule="auto"/>
      </w:pPr>
      <w:r/>
      <w:r>
        <w:rPr>
          <w:rFonts w:ascii="Calibri" w:hAnsi="Calibri" w:eastAsia="Calibri"/>
          <w:b/>
          <w:i w:val="0"/>
          <w:color w:val="1F4D78"/>
          <w:sz w:val="23"/>
        </w:rPr>
        <w:t>3C. Dostęp dla wykonawcy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8D0DC"/>
          <w:left w:val="single" w:sz="4" w:space="0" w:color="C8D0DC"/>
          <w:bottom w:val="single" w:sz="4" w:space="0" w:color="C8D0DC"/>
          <w:right w:val="single" w:sz="4" w:space="0" w:color="C8D0DC"/>
          <w:insideH w:val="single" w:sz="4" w:space="0" w:color="C8D0DC"/>
          <w:insideV w:val="single" w:sz="4" w:space="0" w:color="C8D0DC"/>
        </w:tblBorders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E8EEF5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/>
                <w:i w:val="0"/>
                <w:color w:val="182330"/>
                <w:sz w:val="19"/>
              </w:rPr>
              <w:t>Pole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E8EEF5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/>
                <w:i w:val="0"/>
                <w:color w:val="182330"/>
                <w:sz w:val="19"/>
              </w:rPr>
              <w:t>Wartość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Czy dostęp dla wykonawcy jest w zakresie?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tak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nie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do decyzji właściciela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Kiedy dostęp jest możliwy?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______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Wymagana decyzja właściciela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tak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nie dotyczy; każdy płatny krok podlega sekcji 7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Co Sentinel dokumentuje?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log dostępu / podsumowanie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Ograniczenia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Sentinel nie gwarantuje dostępności, ceny, jakości ani rezultatu pracy wykonawcy.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80" w:after="80" w:line="300" w:lineRule="auto"/>
      </w:pPr>
      <w:r/>
      <w:r>
        <w:rPr>
          <w:rFonts w:ascii="Calibri" w:hAnsi="Calibri" w:eastAsia="Calibri"/>
          <w:b/>
          <w:i w:val="0"/>
          <w:color w:val="1F4D78"/>
          <w:sz w:val="23"/>
        </w:rPr>
        <w:t>3D. Kontrola wizualna podczas wizyty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8D0DC"/>
          <w:left w:val="single" w:sz="4" w:space="0" w:color="C8D0DC"/>
          <w:bottom w:val="single" w:sz="4" w:space="0" w:color="C8D0DC"/>
          <w:right w:val="single" w:sz="4" w:space="0" w:color="C8D0DC"/>
          <w:insideH w:val="single" w:sz="4" w:space="0" w:color="C8D0DC"/>
          <w:insideV w:val="single" w:sz="4" w:space="0" w:color="C8D0DC"/>
        </w:tblBorders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E8EEF5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/>
                <w:i w:val="0"/>
                <w:color w:val="182330"/>
                <w:sz w:val="19"/>
              </w:rPr>
              <w:t>Pole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E8EEF5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/>
                <w:i w:val="0"/>
                <w:color w:val="182330"/>
                <w:sz w:val="19"/>
              </w:rPr>
              <w:t>Wartość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Czy kontrola wizualna balkonu / elementów zewnętrznych jest w zakresie?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tak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nie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nie dotyczy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do ustalenia po pierwszej wizycie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Kiedy sprawdzane?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podczas uzgodnionej wizyty nadzorczej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Wynik dla właściciela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notatka / zdjęcie referencyjne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Ograniczenia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tylko widoczne elementy; bez prac technicznych i bez diagnozy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00" w:after="120" w:line="300" w:lineRule="auto"/>
      </w:pPr>
      <w:r/>
      <w:r>
        <w:rPr>
          <w:rFonts w:ascii="Calibri" w:hAnsi="Calibri" w:eastAsia="Calibri"/>
          <w:b/>
          <w:i w:val="0"/>
          <w:color w:val="2E74B5"/>
          <w:sz w:val="29"/>
        </w:rPr>
        <w:t>4. Terminy powiadomienia i krótkie terminy</w:t>
      </w:r>
    </w:p>
    <w:p>
      <w:pPr>
        <w:keepNext w:val="0"/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82330"/>
          <w:sz w:val="21"/>
        </w:rPr>
        <w:t>Ile wcześniej trzeba uprzedzić Sentinel, żeby zdążył przygotować gotowość. Szczegóły „co i kiedy" są w sekcji 3.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8D0DC"/>
          <w:left w:val="single" w:sz="4" w:space="0" w:color="C8D0DC"/>
          <w:bottom w:val="single" w:sz="4" w:space="0" w:color="C8D0DC"/>
          <w:right w:val="single" w:sz="4" w:space="0" w:color="C8D0DC"/>
          <w:insideH w:val="single" w:sz="4" w:space="0" w:color="C8D0DC"/>
          <w:insideV w:val="single" w:sz="4" w:space="0" w:color="C8D0DC"/>
        </w:tblBorders>
      </w:tblPr>
      <w:tblGrid>
        <w:gridCol w:w="2600"/>
        <w:gridCol w:w="4400"/>
        <w:gridCol w:w="2360"/>
      </w:tblGrid>
      <w:tr>
        <w:trPr>
          <w:tblHeader w:val="true"/>
        </w:trP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E8EEF5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/>
                <w:i w:val="0"/>
                <w:color w:val="182330"/>
                <w:sz w:val="18"/>
              </w:rPr>
              <w:t>Temat</w:t>
            </w:r>
          </w:p>
        </w:tc>
        <w:tc>
          <w:tcPr>
            <w:tcW w:type="dxa" w:w="44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E8EEF5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/>
                <w:i w:val="0"/>
                <w:color w:val="182330"/>
                <w:sz w:val="18"/>
              </w:rPr>
              <w:t>Ustalona zasada / wyjątek</w:t>
            </w:r>
          </w:p>
        </w:tc>
        <w:tc>
          <w:tcPr>
            <w:tcW w:type="dxa" w:w="23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E8EEF5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/>
                <w:i w:val="0"/>
                <w:color w:val="182330"/>
                <w:sz w:val="18"/>
              </w:rPr>
              <w:t>Status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Przyjazd właściciela</w:t>
            </w:r>
          </w:p>
        </w:tc>
        <w:tc>
          <w:tcPr>
            <w:tcW w:type="dxa" w:w="44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______</w:t>
            </w:r>
          </w:p>
        </w:tc>
        <w:tc>
          <w:tcPr>
            <w:tcW w:type="dxa" w:w="23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☐ uzgodnione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☐ do ustalenia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☐ nie dotyczy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Gotowość lokalu</w:t>
            </w:r>
          </w:p>
        </w:tc>
        <w:tc>
          <w:tcPr>
            <w:tcW w:type="dxa" w:w="44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______</w:t>
            </w:r>
          </w:p>
        </w:tc>
        <w:tc>
          <w:tcPr>
            <w:tcW w:type="dxa" w:w="23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☐ uzgodnione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☐ do ustalenia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☐ nie dotyczy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Sprzątanie (gotowość / rotacja)</w:t>
            </w:r>
          </w:p>
        </w:tc>
        <w:tc>
          <w:tcPr>
            <w:tcW w:type="dxa" w:w="44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______</w:t>
            </w:r>
          </w:p>
        </w:tc>
        <w:tc>
          <w:tcPr>
            <w:tcW w:type="dxa" w:w="23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☐ uzgodnione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☐ do ustalenia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☐ nie dotyczy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Dostęp wykonawcy</w:t>
            </w:r>
          </w:p>
        </w:tc>
        <w:tc>
          <w:tcPr>
            <w:tcW w:type="dxa" w:w="44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______</w:t>
            </w:r>
          </w:p>
        </w:tc>
        <w:tc>
          <w:tcPr>
            <w:tcW w:type="dxa" w:w="23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☐ uzgodnione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☐ do ustalenia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☐ nie dotyczy</w:t>
            </w:r>
          </w:p>
        </w:tc>
      </w:tr>
    </w:tbl>
    <w:p>
      <w:pPr>
        <w:spacing w:after="40"/>
      </w:pPr>
    </w:p>
    <w:p>
      <w:pPr>
        <w:keepNext w:val="0"/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82330"/>
          <w:sz w:val="21"/>
        </w:rPr>
        <w:t>Krótki termin może ograniczyć gotowość. Sentinel potwierdza reakcję i decyzję, nie gwarantuje rezultatu.</w:t>
      </w:r>
    </w:p>
    <w:p>
      <w:pPr>
        <w:pStyle w:val="Heading1"/>
        <w:keepNext/>
        <w:spacing w:before="300" w:after="120" w:line="300" w:lineRule="auto"/>
      </w:pPr>
      <w:r/>
      <w:r>
        <w:rPr>
          <w:rFonts w:ascii="Calibri" w:hAnsi="Calibri" w:eastAsia="Calibri"/>
          <w:b/>
          <w:i w:val="0"/>
          <w:color w:val="2E74B5"/>
          <w:sz w:val="29"/>
        </w:rPr>
        <w:t>5. Dostęp i klucze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8D0DC"/>
          <w:left w:val="single" w:sz="4" w:space="0" w:color="C8D0DC"/>
          <w:bottom w:val="single" w:sz="4" w:space="0" w:color="C8D0DC"/>
          <w:right w:val="single" w:sz="4" w:space="0" w:color="C8D0DC"/>
          <w:insideH w:val="single" w:sz="4" w:space="0" w:color="C8D0DC"/>
          <w:insideV w:val="single" w:sz="4" w:space="0" w:color="C8D0DC"/>
        </w:tblBorders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E8EEF5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/>
                <w:i w:val="0"/>
                <w:color w:val="182330"/>
                <w:sz w:val="19"/>
              </w:rPr>
              <w:t>Pole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E8EEF5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/>
                <w:i w:val="0"/>
                <w:color w:val="182330"/>
                <w:sz w:val="19"/>
              </w:rPr>
              <w:t>Wartość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Czy przechowanie kluczy jest w zakresie?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tak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nie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do decyzji właściciela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Metoda dostępu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klucz fizyczny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smart lock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kod alarmu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wspólnota / portier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inna: ______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Stan dostępu kodowego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nie dotyczy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dostęp potwierdzony w bezpiecznym rejestrze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nieprzekazany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do ustalenia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Kto może korzystać z dostępu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operator Sentinel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osoba sprzątająca Sentinel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osoba wybrana przez właściciela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wykonawca - każdorazowo za zgodą właściciela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inne: ______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Ograniczenia dostępu / strefy wyłączone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______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Kontakt przy problemie z wejściem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______</w:t>
            </w:r>
          </w:p>
        </w:tc>
      </w:tr>
    </w:tbl>
    <w:p>
      <w:pPr>
        <w:spacing w:after="40"/>
      </w:pPr>
    </w:p>
    <w:p>
      <w:pPr>
        <w:keepNext w:val="0"/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82330"/>
          <w:sz w:val="21"/>
        </w:rPr>
        <w:t>Przekazanie i zwrot kluczy potwierdza osobny dokument (AKC-03). Liczba, identyfikatory i stan kluczy nie należą do tego formularza zakresu.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DEE8"/>
          <w:left w:val="single" w:sz="4" w:space="0" w:color="D8DEE8"/>
          <w:bottom w:val="single" w:sz="4" w:space="0" w:color="D8DEE8"/>
          <w:right w:val="single" w:sz="4" w:space="0" w:color="D8DEE8"/>
          <w:insideH w:val="single" w:sz="4" w:space="0" w:color="D8DEE8"/>
          <w:insideV w:val="single" w:sz="4" w:space="0" w:color="D8DEE8"/>
        </w:tblBorders>
      </w:tblPr>
      <w:tblGrid>
        <w:gridCol w:w="9360"/>
      </w:tblGrid>
      <w:tr>
        <w:tc>
          <w:tcPr>
            <w:tcW w:type="dxa" w:w="9360"/>
            <w:tcMar>
              <w:top w:w="140" w:type="dxa"/>
              <w:start w:w="180" w:type="dxa"/>
              <w:bottom w:w="140" w:type="dxa"/>
              <w:end w:w="180" w:type="dxa"/>
            </w:tcMar>
            <w:vAlign w:val="center"/>
            <w:shd w:fill="F4F6F9"/>
          </w:tcPr>
          <w:p>
            <w:pPr>
              <w:keepNext w:val="0"/>
              <w:spacing w:before="0" w:after="0" w:line="288" w:lineRule="auto"/>
            </w:pPr>
            <w:r>
              <w:rPr>
                <w:rFonts w:ascii="Calibri" w:hAnsi="Calibri" w:eastAsia="Calibri"/>
                <w:b/>
                <w:color w:val="1F4D78"/>
                <w:sz w:val="21"/>
              </w:rPr>
              <w:t xml:space="preserve">REGUŁA: </w:t>
            </w:r>
            <w:r>
              <w:rPr>
                <w:rFonts w:ascii="Calibri" w:hAnsi="Calibri" w:eastAsia="Calibri"/>
                <w:b/>
                <w:i w:val="0"/>
                <w:color w:val="182330"/>
                <w:sz w:val="21"/>
              </w:rPr>
              <w:t>Nie wpisuje się tu rzeczywistych kodów, haseł, PIN-ów, etykiet Wi-Fi, kodów sejfu ani pełnych danych dostępowych.</w:t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21"/>
              </w:rPr>
              <w:t xml:space="preserve"> Formularz zapisuje wyłącznie stan i zgodę na użycie dostępu.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00" w:after="120" w:line="300" w:lineRule="auto"/>
      </w:pPr>
      <w:r/>
      <w:r>
        <w:rPr>
          <w:rFonts w:ascii="Calibri" w:hAnsi="Calibri" w:eastAsia="Calibri"/>
          <w:b/>
          <w:i w:val="0"/>
          <w:color w:val="2E74B5"/>
          <w:sz w:val="29"/>
        </w:rPr>
        <w:t>6. Sprzątanie i gotowość - ustalenia wykonawcze</w:t>
      </w:r>
    </w:p>
    <w:p>
      <w:pPr>
        <w:keepNext w:val="0"/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82330"/>
          <w:sz w:val="21"/>
        </w:rPr>
        <w:t xml:space="preserve">Wypełnia się tylko wtedy, gdy sprzątanie jest w zakresie. Ta sekcja ustala </w:t>
      </w:r>
      <w:r>
        <w:rPr>
          <w:rFonts w:ascii="Calibri" w:hAnsi="Calibri" w:eastAsia="Calibri"/>
          <w:b/>
          <w:i w:val="0"/>
          <w:color w:val="182330"/>
          <w:sz w:val="21"/>
        </w:rPr>
        <w:t>model i granice</w:t>
      </w:r>
      <w:r>
        <w:rPr>
          <w:rFonts w:ascii="Calibri" w:hAnsi="Calibri" w:eastAsia="Calibri"/>
          <w:b w:val="0"/>
          <w:i w:val="0"/>
          <w:color w:val="182330"/>
          <w:sz w:val="21"/>
        </w:rPr>
        <w:t xml:space="preserve"> sprzątania. Konkretna checklista wykonania każdej usługi jest osobnym dokumentem roboczym CLN-02.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8D0DC"/>
          <w:left w:val="single" w:sz="4" w:space="0" w:color="C8D0DC"/>
          <w:bottom w:val="single" w:sz="4" w:space="0" w:color="C8D0DC"/>
          <w:right w:val="single" w:sz="4" w:space="0" w:color="C8D0DC"/>
          <w:insideH w:val="single" w:sz="4" w:space="0" w:color="C8D0DC"/>
          <w:insideV w:val="single" w:sz="4" w:space="0" w:color="C8D0DC"/>
        </w:tblBorders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E8EEF5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/>
                <w:i w:val="0"/>
                <w:color w:val="182330"/>
                <w:sz w:val="19"/>
              </w:rPr>
              <w:t>Pole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E8EEF5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/>
                <w:i w:val="0"/>
                <w:color w:val="182330"/>
                <w:sz w:val="19"/>
              </w:rPr>
              <w:t>Wartość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Kto wykonuje sprzątanie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osoba Sentinel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osoba wybrana przez właściciela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nie dotyczy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do decyzji właściciela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Zakres sprzątania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gotowość właściciela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rotacja gości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oba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nie obejmuje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Kto dostarcza środki / produkty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przechowywane w lokalu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właściciel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Sentinel - zakup po zgodzie właściciela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do decyzji właściciela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Gdy zabraknie środków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raport bez zakupu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zakup po zgodzie właściciela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osobny, wcześniej sprawdzony dokument uprawnienia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do decyzji właściciela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Pranie / pościel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Sentinel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właściciel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osoba wybrana przez właściciela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pralnia zewnętrzna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nie obejmuje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Ponowne sprzątanie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właściciel decyduje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Sentinel poprawia, jeśli błąd leży po stronie osoby Sentinel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koszt i zasada do ustalenia po teście operacyjnym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Dowód przed/po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wymagany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nie dotyczy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do decyzji właściciela</w:t>
            </w:r>
          </w:p>
        </w:tc>
      </w:tr>
    </w:tbl>
    <w:p>
      <w:pPr>
        <w:spacing w:after="40"/>
      </w:pPr>
    </w:p>
    <w:p>
      <w:pPr>
        <w:keepNext w:val="0"/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82330"/>
          <w:sz w:val="21"/>
        </w:rPr>
        <w:t>Sprzątanie jest funkcją w ramach uzgodnionego nadzoru, a nie osobną publiczną usługą. Sentinel dokumentuje pracę własnej osoby sprzątającej. Przy osobie wybranej przez właściciela Sentinel dokumentuje wyłącznie widoczną gotowość i nie gwarantuje metody, terminu, produktów, obsady ani rezultatu tej osoby. Dowód przed/po pokazuje widoczną gotowość; nie jest certyfikatem higieny ani gwarancją stanu technicznego.</w:t>
      </w:r>
    </w:p>
    <w:p>
      <w:pPr>
        <w:pStyle w:val="Heading1"/>
        <w:keepNext/>
        <w:spacing w:before="300" w:after="120" w:line="300" w:lineRule="auto"/>
      </w:pPr>
      <w:r/>
      <w:r>
        <w:rPr>
          <w:rFonts w:ascii="Calibri" w:hAnsi="Calibri" w:eastAsia="Calibri"/>
          <w:b/>
          <w:i w:val="0"/>
          <w:color w:val="2E74B5"/>
          <w:sz w:val="29"/>
        </w:rPr>
        <w:t>7. Płatne działania i decyzje właściciela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8D0DC"/>
          <w:left w:val="single" w:sz="4" w:space="0" w:color="C8D0DC"/>
          <w:bottom w:val="single" w:sz="4" w:space="0" w:color="C8D0DC"/>
          <w:right w:val="single" w:sz="4" w:space="0" w:color="C8D0DC"/>
          <w:insideH w:val="single" w:sz="4" w:space="0" w:color="C8D0DC"/>
          <w:insideV w:val="single" w:sz="4" w:space="0" w:color="C8D0DC"/>
        </w:tblBorders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E8EEF5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/>
                <w:i w:val="0"/>
                <w:color w:val="182330"/>
                <w:sz w:val="19"/>
              </w:rPr>
              <w:t>Pole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E8EEF5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/>
                <w:i w:val="0"/>
                <w:color w:val="182330"/>
                <w:sz w:val="19"/>
              </w:rPr>
              <w:t>Wartość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Basic / Extended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W pakietach Basic i Extended Sentinel nie zleca płatnych działań ani nie ponosi wydatków bez wcześniejszej zgody właściciela.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Full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standardowy limit EUR 300 na decyzję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opcjonalny limit EUR 500 uzgodniony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Powyżej wybranego limitu wymagana jest zgoda właściciela.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Oddzielny dokument uprawnienia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brak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istnieje po wymaganym przeglądzie: ______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do ustalenia po przeglądzie prawnym / księgowym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Kanał ważnej decyzji właściciela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______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Potwierdzenie decyzji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email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WhatsApp jako dowód komunikacji + archiwizacja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telefon tylko z pisemnym potwierdzeniem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inne: ______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Dowód wydatku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Rachunek wymagany; wyjątki wyłącznie po przeglądzie księgowym.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Wykonawcy zewnętrzni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Sentinel może koordynować dostęp i dokumentację; nie gwarantuje dostępności, ceny, jakości ani rezultatu pracy wykonawcy.</w:t>
            </w:r>
          </w:p>
        </w:tc>
      </w:tr>
    </w:tbl>
    <w:p>
      <w:pPr>
        <w:spacing w:after="40"/>
      </w:pPr>
    </w:p>
    <w:p>
      <w:pPr>
        <w:keepNext w:val="0"/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82330"/>
          <w:sz w:val="21"/>
        </w:rPr>
        <w:t>Dla Basic i Extended nie ustala się żadnego stałego limitu kwotowego — każdy wydatek wymaga wcześniejszej zgody właściciela. Minimalne działanie wymagane przez służby awaryjne albo administrację wspólnoty może zostać udokumentowane, jeżeli sytuacja tego wymaga; nie jest to wcześniej autoryzowany mandat do wydatków w Basic / Extended.</w:t>
      </w:r>
    </w:p>
    <w:p>
      <w:pPr>
        <w:pStyle w:val="Heading1"/>
        <w:keepNext/>
        <w:spacing w:before="300" w:after="120" w:line="300" w:lineRule="auto"/>
      </w:pPr>
      <w:r/>
      <w:r>
        <w:rPr>
          <w:rFonts w:ascii="Calibri" w:hAnsi="Calibri" w:eastAsia="Calibri"/>
          <w:b/>
          <w:i w:val="0"/>
          <w:color w:val="2E74B5"/>
          <w:sz w:val="29"/>
        </w:rPr>
        <w:t>8. Kontakty, decyzje i dostarczanie raportów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8D0DC"/>
          <w:left w:val="single" w:sz="4" w:space="0" w:color="C8D0DC"/>
          <w:bottom w:val="single" w:sz="4" w:space="0" w:color="C8D0DC"/>
          <w:right w:val="single" w:sz="4" w:space="0" w:color="C8D0DC"/>
          <w:insideH w:val="single" w:sz="4" w:space="0" w:color="C8D0DC"/>
          <w:insideV w:val="single" w:sz="4" w:space="0" w:color="C8D0DC"/>
        </w:tblBorders>
      </w:tblPr>
      <w:tblGrid>
        <w:gridCol w:w="2500"/>
        <w:gridCol w:w="3500"/>
        <w:gridCol w:w="3360"/>
      </w:tblGrid>
      <w:tr>
        <w:trPr>
          <w:tblHeader w:val="true"/>
        </w:trPr>
        <w:tc>
          <w:tcPr>
            <w:tcW w:type="dxa" w:w="25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E8EEF5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/>
                <w:i w:val="0"/>
                <w:color w:val="182330"/>
                <w:sz w:val="18"/>
              </w:rPr>
              <w:t>Kontakt / kanał</w:t>
            </w:r>
          </w:p>
        </w:tc>
        <w:tc>
          <w:tcPr>
            <w:tcW w:type="dxa" w:w="35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E8EEF5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/>
                <w:i w:val="0"/>
                <w:color w:val="182330"/>
                <w:sz w:val="18"/>
              </w:rPr>
              <w:t>Dane</w:t>
            </w:r>
          </w:p>
        </w:tc>
        <w:tc>
          <w:tcPr>
            <w:tcW w:type="dxa" w:w="33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E8EEF5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/>
                <w:i w:val="0"/>
                <w:color w:val="182330"/>
                <w:sz w:val="18"/>
              </w:rPr>
              <w:t>Kiedy użyć</w:t>
            </w:r>
          </w:p>
        </w:tc>
      </w:tr>
      <w:tr>
        <w:tc>
          <w:tcPr>
            <w:tcW w:type="dxa" w:w="25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Główny kontakt decyzyjny właściciela</w:t>
            </w:r>
          </w:p>
        </w:tc>
        <w:tc>
          <w:tcPr>
            <w:tcW w:type="dxa" w:w="35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______</w:t>
            </w:r>
          </w:p>
        </w:tc>
        <w:tc>
          <w:tcPr>
            <w:tcW w:type="dxa" w:w="33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decyzje operacyjne i płatne działania</w:t>
            </w:r>
          </w:p>
        </w:tc>
      </w:tr>
      <w:tr>
        <w:tc>
          <w:tcPr>
            <w:tcW w:type="dxa" w:w="25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Kontakt zapasowy</w:t>
            </w:r>
          </w:p>
        </w:tc>
        <w:tc>
          <w:tcPr>
            <w:tcW w:type="dxa" w:w="35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______</w:t>
            </w:r>
          </w:p>
        </w:tc>
        <w:tc>
          <w:tcPr>
            <w:tcW w:type="dxa" w:w="33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gdy właściciel nie odpowiada</w:t>
            </w:r>
          </w:p>
        </w:tc>
      </w:tr>
      <w:tr>
        <w:tc>
          <w:tcPr>
            <w:tcW w:type="dxa" w:w="25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Kontakt wspólnoty / administracji</w:t>
            </w:r>
          </w:p>
        </w:tc>
        <w:tc>
          <w:tcPr>
            <w:tcW w:type="dxa" w:w="35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______</w:t>
            </w:r>
          </w:p>
        </w:tc>
        <w:tc>
          <w:tcPr>
            <w:tcW w:type="dxa" w:w="33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sprawy budynku / awarie wspólnotowe</w:t>
            </w:r>
          </w:p>
        </w:tc>
      </w:tr>
      <w:tr>
        <w:tc>
          <w:tcPr>
            <w:tcW w:type="dxa" w:w="25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Kontakt ubezpieczeniowy / szkoda</w:t>
            </w:r>
          </w:p>
        </w:tc>
        <w:tc>
          <w:tcPr>
            <w:tcW w:type="dxa" w:w="35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______</w:t>
            </w:r>
          </w:p>
        </w:tc>
        <w:tc>
          <w:tcPr>
            <w:tcW w:type="dxa" w:w="33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ścieżka roszczeń właściciela, jeśli podano</w:t>
            </w:r>
          </w:p>
        </w:tc>
      </w:tr>
      <w:tr>
        <w:tc>
          <w:tcPr>
            <w:tcW w:type="dxa" w:w="25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Email do raportów i decyzji</w:t>
            </w:r>
          </w:p>
        </w:tc>
        <w:tc>
          <w:tcPr>
            <w:tcW w:type="dxa" w:w="35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______</w:t>
            </w:r>
          </w:p>
        </w:tc>
        <w:tc>
          <w:tcPr>
            <w:tcW w:type="dxa" w:w="33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oficjalna dostawa dokumentów</w:t>
            </w:r>
          </w:p>
        </w:tc>
      </w:tr>
      <w:tr>
        <w:tc>
          <w:tcPr>
            <w:tcW w:type="dxa" w:w="25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Kanał roboczy</w:t>
            </w:r>
          </w:p>
        </w:tc>
        <w:tc>
          <w:tcPr>
            <w:tcW w:type="dxa" w:w="35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☐ email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☐ WhatsApp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☐ telefon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☐ inny: ______</w:t>
            </w:r>
          </w:p>
        </w:tc>
        <w:tc>
          <w:tcPr>
            <w:tcW w:type="dxa" w:w="33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komunikacja operacyjna</w:t>
            </w:r>
          </w:p>
        </w:tc>
      </w:tr>
    </w:tbl>
    <w:p>
      <w:pPr>
        <w:spacing w:after="40"/>
      </w:pPr>
    </w:p>
    <w:p>
      <w:pPr>
        <w:keepNext w:val="0"/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82330"/>
          <w:sz w:val="21"/>
        </w:rPr>
        <w:t>Raporty i decyzje trafiają do emaila / bezpiecznego archiwum. WhatsApp może służyć do komunikacji roboczej, ale nie jest oficjalnym archiwum.</w:t>
      </w:r>
    </w:p>
    <w:p>
      <w:pPr>
        <w:pStyle w:val="Heading1"/>
        <w:keepNext/>
        <w:spacing w:before="300" w:after="120" w:line="300" w:lineRule="auto"/>
      </w:pPr>
      <w:r/>
      <w:r>
        <w:rPr>
          <w:rFonts w:ascii="Calibri" w:hAnsi="Calibri" w:eastAsia="Calibri"/>
          <w:b/>
          <w:i w:val="0"/>
          <w:color w:val="2E74B5"/>
          <w:sz w:val="29"/>
        </w:rPr>
        <w:t>9. Zdjęcia, dowody i prywatność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8D0DC"/>
          <w:left w:val="single" w:sz="4" w:space="0" w:color="C8D0DC"/>
          <w:bottom w:val="single" w:sz="4" w:space="0" w:color="C8D0DC"/>
          <w:right w:val="single" w:sz="4" w:space="0" w:color="C8D0DC"/>
          <w:insideH w:val="single" w:sz="4" w:space="0" w:color="C8D0DC"/>
          <w:insideV w:val="single" w:sz="4" w:space="0" w:color="C8D0DC"/>
        </w:tblBorders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E8EEF5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/>
                <w:i w:val="0"/>
                <w:color w:val="182330"/>
                <w:sz w:val="19"/>
              </w:rPr>
              <w:t>Pole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E8EEF5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/>
                <w:i w:val="0"/>
                <w:color w:val="182330"/>
                <w:sz w:val="19"/>
              </w:rPr>
              <w:t>Wartość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Dostawa wybranych zdjęć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email z raportem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link z archiwum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oba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nie dotyczy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Strefy ograniczone / bez zdjęć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______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Jak długo Sentinel przechowuje zdjęcia i dokumenty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do potwierdzenia po wymaganym przeglądzie prawnym / księgowym</w:t>
            </w:r>
          </w:p>
        </w:tc>
      </w:tr>
    </w:tbl>
    <w:p>
      <w:pPr>
        <w:spacing w:after="40"/>
      </w:pPr>
    </w:p>
    <w:p>
      <w:pPr>
        <w:keepNext w:val="0"/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82330"/>
          <w:sz w:val="21"/>
        </w:rPr>
        <w:t>Pełny zestaw dowodów jest przechowywany w bezpiecznym archiwum Sentinel.</w:t>
      </w:r>
    </w:p>
    <w:p>
      <w:pPr>
        <w:keepNext w:val="0"/>
        <w:spacing w:before="0" w:after="120" w:line="300" w:lineRule="auto"/>
      </w:pPr>
      <w:r>
        <w:rPr>
          <w:rFonts w:ascii="Calibri" w:hAnsi="Calibri" w:eastAsia="Calibri"/>
          <w:b/>
          <w:i w:val="0"/>
          <w:color w:val="182330"/>
          <w:sz w:val="21"/>
        </w:rPr>
        <w:t>Nie fotografuje się:</w:t>
      </w:r>
    </w:p>
    <w:p>
      <w:pPr>
        <w:pStyle w:val="SentinelBullet"/>
      </w:pPr>
      <w:r>
        <w:rPr>
          <w:rFonts w:ascii="Calibri" w:hAnsi="Calibri" w:eastAsia="Calibri"/>
          <w:b w:val="0"/>
          <w:i w:val="0"/>
          <w:color w:val="182330"/>
          <w:sz w:val="20"/>
        </w:rPr>
        <w:t>dokumentów tożsamości, paszportów i dokumentów prawnych;</w:t>
      </w:r>
    </w:p>
    <w:p>
      <w:pPr>
        <w:pStyle w:val="SentinelBullet"/>
      </w:pPr>
      <w:r>
        <w:rPr>
          <w:rFonts w:ascii="Calibri" w:hAnsi="Calibri" w:eastAsia="Calibri"/>
          <w:b w:val="0"/>
          <w:i w:val="0"/>
          <w:color w:val="182330"/>
          <w:sz w:val="20"/>
        </w:rPr>
        <w:t>kart płatniczych, dokumentów bankowych i faktur z pełnymi danymi;</w:t>
      </w:r>
    </w:p>
    <w:p>
      <w:pPr>
        <w:pStyle w:val="SentinelBullet"/>
      </w:pPr>
      <w:r>
        <w:rPr>
          <w:rFonts w:ascii="Calibri" w:hAnsi="Calibri" w:eastAsia="Calibri"/>
          <w:b w:val="0"/>
          <w:i w:val="0"/>
          <w:color w:val="182330"/>
          <w:sz w:val="20"/>
        </w:rPr>
        <w:t>kodów alarmu, haseł, routerów / etykiet Wi-Fi i kodów sejfu;</w:t>
      </w:r>
    </w:p>
    <w:p>
      <w:pPr>
        <w:pStyle w:val="SentinelBullet"/>
      </w:pPr>
      <w:r>
        <w:rPr>
          <w:rFonts w:ascii="Calibri" w:hAnsi="Calibri" w:eastAsia="Calibri"/>
          <w:b w:val="0"/>
          <w:i w:val="0"/>
          <w:color w:val="182330"/>
          <w:sz w:val="20"/>
        </w:rPr>
        <w:t>ekranów z wiadomościami, emailami, kontami lub danymi logowania;</w:t>
      </w:r>
    </w:p>
    <w:p>
      <w:pPr>
        <w:pStyle w:val="SentinelBullet"/>
      </w:pPr>
      <w:r>
        <w:rPr>
          <w:rFonts w:ascii="Calibri" w:hAnsi="Calibri" w:eastAsia="Calibri"/>
          <w:b w:val="0"/>
          <w:i w:val="0"/>
          <w:color w:val="182330"/>
          <w:sz w:val="20"/>
        </w:rPr>
        <w:t>dzieci, zdjęć rodzinnych i prywatnych materiałów osobistych;</w:t>
      </w:r>
    </w:p>
    <w:p>
      <w:pPr>
        <w:pStyle w:val="SentinelBullet"/>
      </w:pPr>
      <w:r>
        <w:rPr>
          <w:rFonts w:ascii="Calibri" w:hAnsi="Calibri" w:eastAsia="Calibri"/>
          <w:b w:val="0"/>
          <w:i w:val="0"/>
          <w:color w:val="182330"/>
          <w:sz w:val="20"/>
        </w:rPr>
        <w:t>leków, dokumentów medycznych i przedmiotów intymnych;</w:t>
      </w:r>
    </w:p>
    <w:p>
      <w:pPr>
        <w:pStyle w:val="SentinelBullet"/>
      </w:pPr>
      <w:r>
        <w:rPr>
          <w:rFonts w:ascii="Calibri" w:hAnsi="Calibri" w:eastAsia="Calibri"/>
          <w:b w:val="0"/>
          <w:i w:val="0"/>
          <w:color w:val="182330"/>
          <w:sz w:val="20"/>
        </w:rPr>
        <w:t>wnętrza zamkniętych szaf, sejfów, prywatnych schowków i stref wyłączonych;</w:t>
      </w:r>
    </w:p>
    <w:p>
      <w:pPr>
        <w:pStyle w:val="SentinelBullet"/>
      </w:pPr>
      <w:r>
        <w:rPr>
          <w:rFonts w:ascii="Calibri" w:hAnsi="Calibri" w:eastAsia="Calibri"/>
          <w:b w:val="0"/>
          <w:i w:val="0"/>
          <w:color w:val="182330"/>
          <w:sz w:val="20"/>
        </w:rPr>
        <w:t>kosztowności oraz rzeczy osobistych gości, chyba że są bezpośrednio związane ze zgłaszanym problemem - wtedy materiał należy ograniczyć lub wykadrować.</w:t>
      </w:r>
    </w:p>
    <w:p>
      <w:pPr>
        <w:keepNext w:val="0"/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82330"/>
          <w:sz w:val="21"/>
        </w:rPr>
        <w:t>Jeżeli element wrażliwy ma znaczenie operacyjne, zapisuje się: Element wrażliwy widoczny; nie sfotografowano. Może wymagać decyzji właściciela. Dowody opisują widoczny stan; nie są diagnozą techniczną.</w:t>
      </w:r>
    </w:p>
    <w:p>
      <w:pPr>
        <w:pStyle w:val="Heading1"/>
        <w:keepNext/>
        <w:spacing w:before="300" w:after="120" w:line="300" w:lineRule="auto"/>
      </w:pPr>
      <w:r/>
      <w:r>
        <w:rPr>
          <w:rFonts w:ascii="Calibri" w:hAnsi="Calibri" w:eastAsia="Calibri"/>
          <w:b/>
          <w:i w:val="0"/>
          <w:color w:val="2E74B5"/>
          <w:sz w:val="29"/>
        </w:rPr>
        <w:t>10. Granice usługi i brak obietnic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8D0DC"/>
          <w:left w:val="single" w:sz="4" w:space="0" w:color="C8D0DC"/>
          <w:bottom w:val="single" w:sz="4" w:space="0" w:color="C8D0DC"/>
          <w:right w:val="single" w:sz="4" w:space="0" w:color="C8D0DC"/>
          <w:insideH w:val="single" w:sz="4" w:space="0" w:color="C8D0DC"/>
          <w:insideV w:val="single" w:sz="4" w:space="0" w:color="C8D0DC"/>
        </w:tblBorders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E8EEF5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/>
                <w:i w:val="0"/>
                <w:color w:val="182330"/>
                <w:sz w:val="19"/>
              </w:rPr>
              <w:t>Obszar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E8EEF5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/>
                <w:i w:val="0"/>
                <w:color w:val="182330"/>
                <w:sz w:val="19"/>
              </w:rPr>
              <w:t>Czego Sentinel nie robi / ograniczenia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Uzgodniony nadzór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Sentinel wykonuje wyłącznie uzgodniony nadzór i jest lokalnym punktem kontaktu oraz koordynacji w uzgodnionym zakresie; nie przejmuje nieograniczonego zarządzania nieruchomością.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Zarządzanie najmem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Sentinel nie obsługuje rezerwacji, cen, ogłoszeń, meldowania ani komunikacji z gośćmi.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Concierge / lifestyle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Sentinel nie świadczy usług lifestyle, zakupów osobistych, organizacji wygody ani ogólnej opieki.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Diagnoza techniczna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Sentinel dokumentuje widoczne fakty; diagnoza należy do właściwego specjalisty.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Gwarancja rozwiązania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SLA oznacza reakcję i decyzję, nie gwarantowany rezultat.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Wykonawcy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Sentinel nie gwarantuje dostępności, ceny, jakości ani rezultatu pracy wykonawcy.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Zamknięty zakres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Jeżeli usługa nie jest wyraźnie wpisana jako objęta zakresem, nie jest objęta automatycznie.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Prawo / podatki / ubezpieczenie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Sentinel nie świadczy porad prawnych, podatkowych ani ubezpieczeniowych; właściciel korzysta z właściwych doradców. Końcowe brzmienie wymaga przeglądu prawnego.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00" w:after="120" w:line="300" w:lineRule="auto"/>
      </w:pPr>
      <w:r/>
      <w:r>
        <w:rPr>
          <w:rFonts w:ascii="Calibri" w:hAnsi="Calibri" w:eastAsia="Calibri"/>
          <w:b/>
          <w:i w:val="0"/>
          <w:color w:val="2E74B5"/>
          <w:sz w:val="29"/>
        </w:rPr>
        <w:t>11. Co pozostaje do potwierdzenia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8D0DC"/>
          <w:left w:val="single" w:sz="4" w:space="0" w:color="C8D0DC"/>
          <w:bottom w:val="single" w:sz="4" w:space="0" w:color="C8D0DC"/>
          <w:right w:val="single" w:sz="4" w:space="0" w:color="C8D0DC"/>
          <w:insideH w:val="single" w:sz="4" w:space="0" w:color="C8D0DC"/>
          <w:insideV w:val="single" w:sz="4" w:space="0" w:color="C8D0DC"/>
        </w:tblBorders>
      </w:tblPr>
      <w:tblGrid>
        <w:gridCol w:w="3000"/>
        <w:gridCol w:w="2400"/>
        <w:gridCol w:w="3960"/>
      </w:tblGrid>
      <w:tr>
        <w:trPr>
          <w:tblHeader w:val="true"/>
        </w:trPr>
        <w:tc>
          <w:tcPr>
            <w:tcW w:type="dxa" w:w="30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E8EEF5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/>
                <w:i w:val="0"/>
                <w:color w:val="182330"/>
                <w:sz w:val="18"/>
              </w:rPr>
              <w:t>Punkt</w:t>
            </w:r>
          </w:p>
        </w:tc>
        <w:tc>
          <w:tcPr>
            <w:tcW w:type="dxa" w:w="24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E8EEF5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/>
                <w:i w:val="0"/>
                <w:color w:val="182330"/>
                <w:sz w:val="18"/>
              </w:rPr>
              <w:t>Odpowiedzialny</w:t>
            </w:r>
          </w:p>
        </w:tc>
        <w:tc>
          <w:tcPr>
            <w:tcW w:type="dxa" w:w="39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E8EEF5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/>
                <w:i w:val="0"/>
                <w:color w:val="182330"/>
                <w:sz w:val="18"/>
              </w:rPr>
              <w:t>Termin / status</w:t>
            </w:r>
          </w:p>
        </w:tc>
      </w:tr>
      <w:tr>
        <w:tc>
          <w:tcPr>
            <w:tcW w:type="dxa" w:w="30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Otwarte decyzje właściciela</w:t>
            </w:r>
          </w:p>
        </w:tc>
        <w:tc>
          <w:tcPr>
            <w:tcW w:type="dxa" w:w="24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właściciel</w:t>
            </w:r>
          </w:p>
        </w:tc>
        <w:tc>
          <w:tcPr>
            <w:tcW w:type="dxa" w:w="39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______</w:t>
            </w:r>
          </w:p>
        </w:tc>
      </w:tr>
      <w:tr>
        <w:tc>
          <w:tcPr>
            <w:tcW w:type="dxa" w:w="30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Brakujące dane</w:t>
            </w:r>
          </w:p>
        </w:tc>
        <w:tc>
          <w:tcPr>
            <w:tcW w:type="dxa" w:w="24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______</w:t>
            </w:r>
          </w:p>
        </w:tc>
        <w:tc>
          <w:tcPr>
            <w:tcW w:type="dxa" w:w="39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______</w:t>
            </w:r>
          </w:p>
        </w:tc>
      </w:tr>
      <w:tr>
        <w:tc>
          <w:tcPr>
            <w:tcW w:type="dxa" w:w="30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Pierwsza wizyta wymagana do zamknięcia zakresu</w:t>
            </w:r>
          </w:p>
        </w:tc>
        <w:tc>
          <w:tcPr>
            <w:tcW w:type="dxa" w:w="24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Sentinel</w:t>
            </w:r>
          </w:p>
        </w:tc>
        <w:tc>
          <w:tcPr>
            <w:tcW w:type="dxa" w:w="39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☐ tak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☐ nie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☐ wykonano: ______</w:t>
            </w:r>
          </w:p>
        </w:tc>
      </w:tr>
      <w:tr>
        <w:tc>
          <w:tcPr>
            <w:tcW w:type="dxa" w:w="30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Zmiana zakresu</w:t>
            </w:r>
          </w:p>
        </w:tc>
        <w:tc>
          <w:tcPr>
            <w:tcW w:type="dxa" w:w="24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właściciel + Sentinel</w:t>
            </w:r>
          </w:p>
        </w:tc>
        <w:tc>
          <w:tcPr>
            <w:tcW w:type="dxa" w:w="39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wymaga pisemnego potwierdzenia</w:t>
            </w:r>
          </w:p>
        </w:tc>
      </w:tr>
    </w:tbl>
    <w:p>
      <w:pPr>
        <w:spacing w:after="40"/>
      </w:pPr>
    </w:p>
    <w:p>
      <w:pPr>
        <w:keepNext w:val="0"/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82330"/>
          <w:sz w:val="21"/>
        </w:rPr>
        <w:t>Pierwsza wizyta / profil nieruchomości ustala m.in. zawory, wyłączniki, wejście do budynku, strefy prywatne, widoczne ryzyka i zdjęcia bazowe. Szczegóły trafiają do wewnętrznego profilu nieruchomości, a nie do tego formularza.</w:t>
      </w:r>
    </w:p>
    <w:p>
      <w:pPr>
        <w:pStyle w:val="Heading1"/>
        <w:keepNext/>
        <w:spacing w:before="300" w:after="120" w:line="300" w:lineRule="auto"/>
      </w:pPr>
      <w:r/>
      <w:r>
        <w:rPr>
          <w:rFonts w:ascii="Calibri" w:hAnsi="Calibri" w:eastAsia="Calibri"/>
          <w:b/>
          <w:i w:val="0"/>
          <w:color w:val="2E74B5"/>
          <w:sz w:val="29"/>
        </w:rPr>
        <w:t>12. Podsumowanie ustaleń</w:t>
      </w:r>
    </w:p>
    <w:p>
      <w:pPr>
        <w:keepNext w:val="0"/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82330"/>
          <w:sz w:val="21"/>
        </w:rPr>
        <w:t xml:space="preserve">To podsumowanie oznacza tylko tyle, że Sentinel ma dość informacji, żeby przygotować pracę, i zapisuje, czego jeszcze brakuje. </w:t>
      </w:r>
      <w:r>
        <w:rPr>
          <w:rFonts w:ascii="Calibri" w:hAnsi="Calibri" w:eastAsia="Calibri"/>
          <w:b/>
          <w:i w:val="0"/>
          <w:color w:val="182330"/>
          <w:sz w:val="21"/>
        </w:rPr>
        <w:t>Nie jest podpisem, umową ani zgodą na płatne działania.</w:t>
      </w:r>
      <w:r>
        <w:rPr>
          <w:rFonts w:ascii="Calibri" w:hAnsi="Calibri" w:eastAsia="Calibri"/>
          <w:b w:val="0"/>
          <w:i w:val="0"/>
          <w:color w:val="182330"/>
          <w:sz w:val="21"/>
        </w:rPr>
        <w:t xml:space="preserve"> Przed potwierdzeniem warto przejrzeć sekcje: pakiet i czas reakcji, płatne działania, zdjęcia i prywatność oraz granice usługi.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8D0DC"/>
          <w:left w:val="single" w:sz="4" w:space="0" w:color="C8D0DC"/>
          <w:bottom w:val="single" w:sz="4" w:space="0" w:color="C8D0DC"/>
          <w:right w:val="single" w:sz="4" w:space="0" w:color="C8D0DC"/>
          <w:insideH w:val="single" w:sz="4" w:space="0" w:color="C8D0DC"/>
          <w:insideV w:val="single" w:sz="4" w:space="0" w:color="C8D0DC"/>
        </w:tblBorders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E8EEF5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/>
                <w:i w:val="0"/>
                <w:color w:val="182330"/>
                <w:sz w:val="19"/>
              </w:rPr>
              <w:t>Pole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E8EEF5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/>
                <w:i w:val="0"/>
                <w:color w:val="182330"/>
                <w:sz w:val="19"/>
              </w:rPr>
              <w:t>Wartość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Informacje są kompletne na tym etapie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tak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nie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częściowo: ______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Braki do uzupełnienia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rozumiem, że oznaczone braki muszą zostać uzupełnione przed rozpoczęciem odpowiednich działań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nie potwierdzam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Data potwierdzenia ustaleń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______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Kto potwierdził ustalenia (imię, bez podpisu)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______</w:t>
            </w:r>
          </w:p>
        </w:tc>
      </w:tr>
    </w:tbl>
    <w:p>
      <w:pPr>
        <w:spacing w:after="40"/>
      </w:pPr>
    </w:p>
    <w:p>
      <w:pPr>
        <w:keepNext w:val="0"/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82330"/>
          <w:sz w:val="21"/>
        </w:rPr>
        <w:t>Potwierdzenie nie zastępuje umowy, podpisu ani wymaganych przeglądów prawnych, księgowych i właścicielskich.</w:t>
      </w:r>
    </w:p>
    <w:p>
      <w:pPr>
        <w:pStyle w:val="Heading1"/>
        <w:keepNext/>
        <w:spacing w:before="300" w:after="120" w:line="300" w:lineRule="auto"/>
      </w:pPr>
      <w:r/>
      <w:r>
        <w:rPr>
          <w:rFonts w:ascii="Calibri" w:hAnsi="Calibri" w:eastAsia="Calibri"/>
          <w:b/>
          <w:i w:val="0"/>
          <w:color w:val="2E74B5"/>
          <w:sz w:val="29"/>
        </w:rPr>
        <w:t>Pasek rekordu (wypełnia Sentinel)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8D0DC"/>
          <w:left w:val="single" w:sz="4" w:space="0" w:color="C8D0DC"/>
          <w:bottom w:val="single" w:sz="4" w:space="0" w:color="C8D0DC"/>
          <w:right w:val="single" w:sz="4" w:space="0" w:color="C8D0DC"/>
          <w:insideH w:val="single" w:sz="4" w:space="0" w:color="C8D0DC"/>
          <w:insideV w:val="single" w:sz="4" w:space="0" w:color="C8D0DC"/>
        </w:tblBorders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E8EEF5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/>
                <w:i w:val="0"/>
                <w:color w:val="182330"/>
                <w:sz w:val="19"/>
              </w:rPr>
              <w:t>Pole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E8EEF5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/>
                <w:i w:val="0"/>
                <w:color w:val="182330"/>
                <w:sz w:val="19"/>
              </w:rPr>
              <w:t>Wartość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ID dokumentu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SCO-01 / ______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Referencja nieruchomości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SEN-PROP-______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Data wypełnienia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______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Operator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______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Język rekordu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PL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EN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inny: ______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Status formularza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rozmowa wstępna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częściowo wypełnione - przed pierwszą wizytą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po pierwszej wizycie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wycofane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Punkty nierozstrzygnięte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______</w:t>
            </w:r>
          </w:p>
        </w:tc>
      </w:tr>
    </w:tbl>
    <w:p>
      <w:pPr>
        <w:spacing w:after="40"/>
      </w:pPr>
    </w:p>
    <w:p>
      <w:pPr>
        <w:keepNext w:val="0"/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82330"/>
          <w:sz w:val="21"/>
        </w:rPr>
        <w:t>Ten pasek służy wyłącznie identyfikacji roboczego rekordu i wypełnia go Sentinel. Historia wersji, kody systemowe, odwołania do archiwum i bramki przeglądu są prowadzone poza formularzem właściciela.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Calibri" w:hAnsi="Calibri" w:eastAsia="Calibri"/>
        <w:color w:val="5F6774"/>
        <w:sz w:val="17"/>
      </w:rPr>
      <w:t xml:space="preserve">Strona </w:t>
    </w:r>
    <w: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Calibri" w:hAnsi="Calibri" w:eastAsia="Calibri"/>
        <w:color w:val="5F6774"/>
        <w:sz w:val="17"/>
      </w:rPr>
      <w:t>Sentinel Costa Blanca | SCO-01 Potwierdzenie zakresu | wersja robocza v0.6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18233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entinelBullet">
    <w:name w:val="Sentinel Bullet"/>
    <w:basedOn w:val="Normal"/>
    <w:pPr>
      <w:spacing w:after="80" w:line="300" w:lineRule="auto"/>
      <w:ind w:left="540" w:hanging="271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Property Scope Confirmation - Working Draft PL v0.6</dc:title>
  <dc:subject>Sentinel Costa Blanca working document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>draft-source</cp:category>
</cp:coreProperties>
</file>