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40"/>
      </w:pPr>
      <w:r>
        <w:rPr>
          <w:rFonts w:ascii="Calibri" w:hAnsi="Calibri"/>
          <w:b/>
          <w:i w:val="0"/>
          <w:color w:val="025C75"/>
          <w:sz w:val="48"/>
        </w:rPr>
        <w:t>CADERNO DE PROCESSO</w:t>
      </w:r>
    </w:p>
    <w:p>
      <w:pPr>
        <w:spacing w:before="0" w:after="280"/>
        <w:pBdr>
          <w:bottom w:val="single" w:sz="12" w:space="6" w:color="EDD297"/>
        </w:pBdr>
      </w:pPr>
      <w:r>
        <w:rPr>
          <w:rFonts w:ascii="Calibri" w:hAnsi="Calibri"/>
          <w:b w:val="0"/>
          <w:i w:val="0"/>
          <w:color w:val="14252B"/>
          <w:sz w:val="28"/>
        </w:rPr>
        <w:t>Painel decisório de crédito — Supervisão do Banco Central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3A4A51"/>
          <w:sz w:val="22"/>
        </w:rPr>
        <w:t>Trabalho Intermediário · FGV · Prof. Genaro Lins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3A4A51"/>
          <w:sz w:val="22"/>
        </w:rPr>
        <w:t>Grupo: Tomaz Leal, Roberto Gomides e Diana Cabral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3A4A51"/>
          <w:sz w:val="21"/>
        </w:rPr>
        <w:t>Este caderno registra como o painel foi construído com apoio de ferramenta de IA: os comandos dados, o que foi aceito e o que foi recusado, os erros que a ferramenta cometeu e o grupo identificou, e o que mudou entre a concepção do checkpoint e a entrega final. O critério de organização é conceitual: registram-se as decisões que alteraram o resultado, não o histórico exaustivo de edições.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 xml:space="preserve">Princípio que governou o trabalho, fixado no comando inicial e nunca relaxado: </w:t>
      </w:r>
      <w:r>
        <w:rPr>
          <w:rFonts w:ascii="Calibri" w:hAnsi="Calibri"/>
          <w:b/>
          <w:i w:val="0"/>
          <w:color w:val="14252B"/>
          <w:sz w:val="21"/>
        </w:rPr>
        <w:t>todo número exibido tem de ser rastreável até a fonte oficial; o que não for verificável fica vazio e vira pendência registrada.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25C75"/>
          <w:sz w:val="30"/>
        </w:rPr>
        <w:t>1. Prompts relevantes, na ordem de 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Os comandos abaixo são reproduzidos na íntegra e na sequência em que foram dados. Estão agrupados em cinco fases, que correspondem à evolução real do projeto: da coleta verificada à calibração da visualização. Comandos operacionais repetidos — reinício de servidor, publicação, confirmações curtas — foram omitidos por não terem alterado decisão de conteúdo.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Fase 1 — Concepção, coleta e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O comando inaugural definiu persona, pergunta decisória, fontes admitidas, estrutura de seis indicadores e quatro visualizações por pergunta, e a sequência obrigatória de tarefas. Suas cláusulas determinantes: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“Todo número do painel precisa ser rastreável até a fonte oficial, com data de extração e código/recorte da série. NUNCA gere, estime, arredonde de memória ou complete um número. Se não tiver o dado, deixe o campo VAZIO e registre a pendência. Um único número não rastreável zera o critério de verificação.”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“Fontes permitidas: BCB/SGS, BCB/IF.data, SCR agregado (BCB), Estban (BCB). IBGE/Ipeadata apenas como deflator/apoio.”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“Para cada série, gere automaticamente uma ‘nota de verificação’: fonte, URL/endpoint, código da série, recorte, unidade, data de extração e um print/hash do arquivo bruto.”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“NÃO defina tema, paleta ou layout por conta própria.”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“Comece pela TAREFA 1 e 2. Não avance para gráficos antes de os dados estarem baixados, as notas de verificação criadas e eu ter respondido às perguntas de tema/estrutura da TAREFA 5. A cada indicador, me mostre a fonte antes de plotar.”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“troque o P2 nº 5 por outro indicador com fonte direta”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Fase 2 — Interface, edição de textos e publicação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“Abriu, mas agora eu quero ser capaz de mudar e editar alguns textos. Além disso, quero aprimorar a visualização da página (algo como em scrutiniums.com/observatorio/leading-signals). Como faço ambos?”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“A abertura do painel de filtro está desconfigurada. Ademais, a seção de filtro pode ser mais bem trabalhada… (hoje não sei as siglas dos campos do filtro, talvez um breve dicionário facilitaria o uso). Ao final de cada pagina das perguntas também está aparecendo um erro de configuração (nas partes que dizem ‘referência - contra o que isto deve ser comparado’)”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“Essa parte ficou visualmente legal, mas tenho dúvidas sobre o seu conteúdo. Por exemplo, o que é o ‘0,55’ e ‘0,51’, qual é a métrica? … Existem termos que precisam ser decifrados: ‘HHI do sistema’, ‘CR5’ … ‘credit gap’ e outros, abaixo dos cards, porque foram selecionados ali e qual a sua interpretação? Ademais, eu alterei o texto em ‘textos.toml’ para colocar negrito em ‘**Grupo**’, mas não alterou diretamente no app… O que fiz errado? Outra dúvida: se eu quiser aumentar um pouco o tamanho do texto em alguma parte, é possível? como?”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“Mude a paleta de cores do painel para algo mais próximo do banco central (não precisa ser igual, mas já que nosso grupo com esse papel acho que faz sentido).”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Fase 3 — Rastreabilidade do critério e material de apresentação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“Na imagem em anexo, na parte de agenda de supervisão, faltam algumas informações, por exemplo: qual foi o corte para definição de supervisão (score maior do que 0,6?) Além disso, o que significa o número na coluna ‘#’? … Ademais, não ficou claro pra mim ainda a ideia do score de posição relativa. O que ele diz e por que ele é relevante nesse contexto? Não precisa alterar diretamente, tente me explicar por aqui antes para tomada de decisão.”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“O painel será apresentado pelo grupo. Faça um relatório com a descrição das variáveis utilizadas em cada um dos componentes, com suas justificativas e como elas interagem para compor o score, assim como todas as transformações e fonte de dados primárias. Além disso, me mostre na pasta aonde estão os dados brutos e os transformados para checagem (será necessário mostrar no dia da apresentação). Por fim, é preciso deixar a base de dados e a programação pronta para eventuais trocas de indicadores ‘ao vivo’…”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“Utilizando a P3 como exemplo, eu não consigo relacionar os 6 indicadores com as instituições selecionadas nesse eixo. Me explique como foram selecionadas as instituições com base nesse eixo e como elas interagem com as demais.”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“me explique melhor o cálculo do percentil para chegar ao score em cada uma das Perguntas. Me explique também o que é TCB. Para ficar claro, me mostre com exemplos.”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Fase 4 — Detecção de erro e rigor metodológico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Esta é a fase decisiva do projeto. Os comandos abaixo originaram as correções documentadas na seção 3.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“Reveja então a página do P1, P2 e P3 para mostrar não apenas a mediana dos selecionados, mas também a mediana do recorte. Além disso, a página deve mostrar as instituições selecionadas em cada uma das perguntas. Além disso, P1 e P2 mostram um crescimento abrupto muito acelerado em seus gráficos na página de visão geral.”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“não gostei como ficaram os gráficos. O de crescimento não corrigiu o necessário, o comportamento do gráfico segue completamente atípico. É preciso minimamente entender o comportamento. O de deterioração também não faz sentido, temos tão poucos dados assim? como isso está afetando a página e indicadores do p3? as 10 instituições selecionadas foram consideradas nessa série de tempo tão curta? Temos que pensar em soluções e melhorias.”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“Em P1, em 2025 a Res. 4.966 mudou a definição da carteira, mas os dados de 2025 permanecem no gráfico. Há apenas um indicador em P1 que tem apenas dados dos últimos 7 trimestres, porque? Coloque a justificativa na página do p1. O impacto da série menor desse indicador na série histórica de p1 tem que ficar claro. […] a série está completa, mas há uma clara quebra estrutural entre 2022 e 2025 no gráfico da visão geral, o que justifica isso. Tem que estar claro.”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“Em relação à descontinuidade, na prática a taxa de crescimento de P1 calculada não contempla as instituições não pareadas na troca de regimes entre a Res. 2.682/1999 e Res. 4.966, é isso?”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“avalie reconstruir a série compatibilizando os regimes entre a Res. 2.682/1999 e Res. 4.966 (avalie o impacto e me pergunte antes de executar)”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“aplique a opção (a) na decisão 1”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“troque o p1_3 por crescimento das captações”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Fase 5 — Visualização, escopo dos indicadores e consistência com os filtros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“Quero mudar os gráficos de P1, P2 e P3. Não faz sentido gráficos de séries de tempo em indicadores com buracos. Pense em um boxplot do mês de referência escolhido ou algum outro tipo de gráfico que consiga mostrar a fotografia do trimestre. Me pergunte e me mostre uma prévia antes de aplicar. / Mantenha a informação explicativa de Cobertura de cada indicador, pois ela é importante.”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“aplique a variante D · Híbrido A+C; retire a linha ‘▼ X em 12 meses’; troque a linha ‘série: X a Y em N trim.’ por distribuição do recorte em 03/2026 · p10 X · p90 Y, como está na prévia.”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“Na P2, o HHI do sistema e o CR5 são um problema, pois os dados para todas as instituições são iguais, impactando o score e os respectivos gráficos. Me proponha soluções para corrigir.”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“O HHI do sistema e o CR5 não estão atualizando conforme eu mudo a seleção de instituições ou carteira nos filtro.”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“sim, varra os 36 indicadores. Além disso, reveja os gráficos de P1, P2 e P3, eles não estão atualizando conforme eu mudo a seleção de instituições ou carteira nos filtro: eles devem mostrar destaques e/ou as selecionadas.”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“em alguns gráficos ainda está claro as instituições que aparecem nele (qual critério?), estão com a visualização ruim ou não é possível selecionar outras instituições. […] Não faça mudanças bruscas sem me avisar, me proponha soluções.”</w:t>
      </w:r>
    </w:p>
    <w:p>
      <w:pPr>
        <w:spacing w:before="20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Padrão de comando que se firmou ao longo do projeto. </w:t>
      </w:r>
      <w:r>
        <w:rPr>
          <w:rFonts w:ascii="Calibri" w:hAnsi="Calibri"/>
          <w:b w:val="0"/>
          <w:i w:val="0"/>
          <w:color w:val="14252B"/>
          <w:sz w:val="21"/>
        </w:rPr>
        <w:t>Três formulações aparecem repetidamente e explicam a qualidade do resultado: exigir explicação antes da alteração (“não precisa alterar diretamente, tente me explicar por aqui antes”), exigir proposta antes da execução (“me proponha soluções”, “me pergunte e me mostre uma prévia antes de aplicar”) e recusar a primeira entrega insatisfatória sem aceitar remendo (“não gostei como ficaram os gráficos… é preciso minimamente entender o comportamento”). Cada uma dessas recusas expôs um defeito real, não uma preferência estética.</w:t>
      </w:r>
    </w:p>
    <w:p>
      <w:r>
        <w:br w:type="page"/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Fase 6 — Validação semântica dos indicadores e unidade de análise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“Depósitos 'a vista são mais volateis que depósitos a prazo (CDB , LF...) O que você quis dizer com outras fones que não o deposito?”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“uma dúvida: está correto a UBS (Brasil) Prudencial ter 100% na carteira PF em alto risco (na P2)?”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“meça o efeito de tirar o p2_7”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“implemente a guarda de ticket com o p90 do recorte. Me explique também como o HHI de modalidade da UBS está dando 10.000?”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“o indicador de atraso acima de 90 dividido por carteira total pode ser impactado pela política de write-off da instituição, certo? Não mude nada antes de perguntar”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“Vamos em frente. Professor elogiou o trabalho. Pediu apenas uma adequação: existem instituições bancárias que pertencem ao mesmo conglomerado e que estão aparecendo de forma separada, prejudicando a análise da agenda de supervisão. Acho pertinente o apontamento, vamos buscar adequar.”</w:t>
      </w:r>
    </w:p>
    <w:p>
      <w:pPr>
        <w:spacing w:before="60" w:after="140"/>
        <w:ind w:left="340"/>
        <w:pBdr>
          <w:left w:val="single" w:sz="12" w:space="8" w:color="025C75"/>
        </w:pBdr>
      </w:pPr>
      <w:r>
        <w:rPr>
          <w:rFonts w:ascii="Calibri" w:hAnsi="Calibri"/>
          <w:b w:val="0"/>
          <w:i/>
          <w:color w:val="3A4A51"/>
          <w:sz w:val="19"/>
        </w:rPr>
        <w:t>“Siga com B. Não faça nada em relação ao item do write-off, deixe como está hoje”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A fase madura do projeto. </w:t>
      </w:r>
      <w:r>
        <w:rPr>
          <w:rFonts w:ascii="Calibri" w:hAnsi="Calibri"/>
          <w:b w:val="0"/>
          <w:i w:val="0"/>
          <w:color w:val="14252B"/>
          <w:sz w:val="21"/>
        </w:rPr>
        <w:t>Os comandos deixam de pedir construção e passam a interrogar o significado do que já está na tela: se a palavra “volátil” descreve a conta que o indicador realmente soma, se 100% de carteira PF em alto risco pode conviver com 0,00% de inadimplência, se um índice de atraso sobre carteira mede deterioração ou política de baixa. Duas instruções de método se firmam aqui e valem registro: “meça o efeito”, que converte hipótese em teste antes de virar código, e “não mude nada antes de perguntar”, que separa diagnóstico de intervenção. Foi sob a segunda que a discussão do write-off terminou sem alteração no painel — a limitação foi documentada, e o indicador, mantido como está.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25C75"/>
          <w:sz w:val="30"/>
        </w:rPr>
        <w:t>2. Aceites e rejeições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tabela registra o que foi incorporado da saída da ferramenta, o que foi descartado e a razão. A coluna “Decisão” distingue três situações: aceito integralmente, aceito com modificação imposta pelo grupo, e rejeitado.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2.1 Arquitetura e método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272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Proposta da ferramenta</w:t>
            </w:r>
          </w:p>
        </w:tc>
        <w:tc>
          <w:tcPr>
            <w:tcW w:type="dxa" w:w="153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Decisão</w:t>
            </w:r>
          </w:p>
        </w:tc>
        <w:tc>
          <w:tcPr>
            <w:tcW w:type="dxa" w:w="5386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Motivo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Score por percentil dentro do grupo de pares (mesmo TCB), média dos indicadores disponíveis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Aceito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Resolve a incomparabilidade de nível entre uma cooperativa singular e um banco S1: 15% de crescimento não significam a mesma coisa nos dois. Percentil compara posição, não magnitude.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Lista única priorizada por score final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 score mede atipicidade no grupo de pares, não relevância sistêmica. Com lista única, os cinco maiores bancos do país apareciam entre a 548ª e a 1046ª posição e a agenda cobria 1% da carteira. Substituído por duas agendas, com critérios distintos e declarados.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Dado ausente tratado como zero no cálculo do score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Zero afirma “sem risco”; ausência afirma “não medido”. Adotou-se a média dos percentis disponíveis, com o dado ausente reduzindo o divisor.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Publicar score de eixo calculado sobre qualquer número de indicadores disponíveis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Um score feito de 1 de 6 indicadores não é a mesma medida que um feito de 6, e comparar os dois no tempo é inválido. Exigiu-se metade dos indicadores do eixo, com piso de dois.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Corte de 0,75 para risco alto, fixo no código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Aceito com modificação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 valor permanece como padrão — o quartil superior do grupo de pares —, mas passou a ser ajustável na interface: é convenção de triagem, não exigência normativa, e quem discorda precisa poder testar o efeito na hora.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Agregar de fato os sistemas cooperativos: somar os níveis das singulares e recalcular os indicadores por sistema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 ganho prometido foi medido e não existe: o HHI vai de 990 para 1.004 e o CR5 não se move (66,1%), porque o topo já são os bancos grandes. O custo é alto — o grupo de pares b3S cairia de 154 para cerca de 19 unidades, tornando os percentis grosseiros, e a Basileia teria de virar ΣPR÷ΣRWA, que não é o índice regulatório. Decisivo: o vínculo de filiação não é publicado pelo BCB, e um mapeamento incompleto produziria número errado.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Agrupar os sistemas cooperativos apenas na apresentação, com chave na tela para desfazer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Aceito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Resolve o que motivou o pedido — 11 das 21 posições da agenda eram singulares Cresol — sem recalcular nada: checa_grupos.py verifica que as 91 colunas numéricas ficam idênticas. O modo de falha é seguro: filiação não reconhecida deixa a cooperativa listada sozinha, que é o comportamento anterior.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Criar indicador de inadimplência ampliada, somando ao atraso as baixas para prejuízo estimadas pela identidade estoque–despesa do DRE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 IF.data não publica campo de write-off; a estimativa dependeria de um resultado líquido de reversões, acumulado por semestre e com quebra de regime própria em 2025. Trocaria um viés conhecido e documentado por um erro de magnitude desconhecida. A limitação ficou registrada no relatório metodológico e o indicador, inalterado.</w:t>
            </w:r>
          </w:p>
        </w:tc>
      </w:tr>
    </w:tbl>
    <w:p>
      <w:pPr>
        <w:spacing w:after="80"/>
      </w:pP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2.2 Indicadores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272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Proposta da ferramenta</w:t>
            </w:r>
          </w:p>
        </w:tc>
        <w:tc>
          <w:tcPr>
            <w:tcW w:type="dxa" w:w="153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Decisão</w:t>
            </w:r>
          </w:p>
        </w:tc>
        <w:tc>
          <w:tcPr>
            <w:tcW w:type="dxa" w:w="5386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Motivo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P2 nº 5 como ticket médio (carteira ÷ nº de clientes), proxy de concentração em poucos devedores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É proxy, não medida: um banco com muitos clientes grandes aparece igual a um com poucos. Substituído pela fatia da carteira PJ em tomadores de grande porte, com fonte direta por instituição no IF.data.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P1 nº 3 como trimestres consecutivos acima de 15%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 ao final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Após o tratamento da quebra contábil, a contagem reinicia na lacuna de 2025 e o indicador passou a assumir apenas dois valores distintos entre 258 instituições — percentil sem poder de discriminação. Substituído pelo crescimento real das captações, que mede outro canal de risco: a pressão de funding.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HHI do sistema e CR5 entre os seis indicadores de P2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São de escopo sistêmico: um único valor por trimestre, idêntico para todas as instituições. Nunca geraram percentil, mas ocupavam duas das seis vagas, deixando P2 com base de quatro percentis contra seis de P1 e P3. Passaram a compor uma faixa de contexto, lida contra os limiares de referência.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Reconstrução da série de crescimento sobre a “Carteira de crédito ativa”, para recuperar 2025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 após construção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Detalhado no Episódio 5. A evidência que sustentava a proposta vinha de amostra viesada; o teste correto mostrou que a série não é fonte independente antes de 2025.</w:t>
            </w:r>
          </w:p>
        </w:tc>
      </w:tr>
    </w:tbl>
    <w:p>
      <w:pPr>
        <w:spacing w:after="80"/>
      </w:pP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2.3 Visualização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272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Proposta da ferramenta</w:t>
            </w:r>
          </w:p>
        </w:tc>
        <w:tc>
          <w:tcPr>
            <w:tcW w:type="dxa" w:w="153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Decisão</w:t>
            </w:r>
          </w:p>
        </w:tc>
        <w:tc>
          <w:tcPr>
            <w:tcW w:type="dxa" w:w="5386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Motivo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Minissérie temporal nos cartões de indicador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Os indicadores cobrem 3, 21, 25 e 29 trimestres, vários com lacuna no meio. Uma linha sobre série esparsa desenha continuidade onde não há dado, e exigia três linhas de ressalva por cartão. Substituída pela distribuição do trimestre selecionado, que não depende de histórico.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Autoescala nos gráficos de série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Fazia uma variação de 0,1% a 0,4% ocupar a altura inteira do cartão, com o mesmo drama de uma variação de 0% a 40%.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Escala logarítmica para acomodar valores extremos na distribuição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Acomoda tudo, mas é de leitura difícil em apresentação. Adotou-se a escala do p05 ao p95 do recorte, com os valores fora da escala contados em texto — nunca desenhados fora de proporção.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Marcador circular para a mediana das sinalizadas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 desenho estica com a largura da coluna, e um círculo vira elipse em tela larga. Substituído por traço vertical, imune ao esticamento.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Ampliar a margem inferior para resolver a sobreposição da legenda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Não resolveu: legenda e título de eixo ficam ancorados no mesmo ponto, e mais espaço apenas afasta os dois juntos. A legenda foi realocada para cima do gráfico.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Gráficos selecionando instituições pelo maior valor do indicador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Rejeitado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No filtro HP, selecionava séries de 1 e 4 pontos, porque gap alto e série curta andam juntos. No mapa regional, selecionava quem é monorregional por construção — 7 de 12 com mais de 95% numa única região. Critério trocado para as maiores por carteira entre as sinalizadas.</w:t>
            </w:r>
          </w:p>
        </w:tc>
      </w:tr>
    </w:tbl>
    <w:p>
      <w:pPr>
        <w:spacing w:after="80"/>
      </w:pP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2.4 O que foi aceito sem reservas</w:t>
      </w:r>
    </w:p>
    <w:p>
      <w:pPr>
        <w:pStyle w:val="ListBullet"/>
        <w:spacing w:after="80"/>
      </w:pPr>
      <w:r>
        <w:rPr>
          <w:rFonts w:ascii="Calibri" w:hAnsi="Calibri"/>
          <w:color w:val="14252B"/>
          <w:sz w:val="21"/>
        </w:rPr>
        <w:t>Estrutura de quatro abas mais visão geral, com Leitura e Consequência visíveis e Referência retrátil em cada visualização.</w:t>
      </w:r>
    </w:p>
    <w:p>
      <w:pPr>
        <w:pStyle w:val="ListBullet"/>
        <w:spacing w:after="80"/>
      </w:pPr>
      <w:r>
        <w:rPr>
          <w:rFonts w:ascii="Calibri" w:hAnsi="Calibri"/>
          <w:color w:val="14252B"/>
          <w:sz w:val="21"/>
        </w:rPr>
        <w:t>Carteira exposta a risco alto — a fatia da carteira em instituições sinalizadas — como número de destaque, no lugar da mediana dos scores, que, sendo percentil, tem mediana 0,50 por construção e quase não varia.</w:t>
      </w:r>
    </w:p>
    <w:p>
      <w:pPr>
        <w:pStyle w:val="ListBullet"/>
        <w:spacing w:after="80"/>
      </w:pPr>
      <w:r>
        <w:rPr>
          <w:rFonts w:ascii="Calibri" w:hAnsi="Calibri"/>
          <w:color w:val="14252B"/>
          <w:sz w:val="21"/>
        </w:rPr>
        <w:t>Camada de verificação automatizada: manifesto de coleta com URL, hora, SHA-256 e tamanho de cada arquivo bruto; prova de decodificação dígito a dígito contra a tela oficial do IF.data; validação cruzada contra SGS e SCR.</w:t>
      </w:r>
    </w:p>
    <w:p>
      <w:pPr>
        <w:pStyle w:val="ListBullet"/>
        <w:spacing w:after="80"/>
      </w:pPr>
      <w:r>
        <w:rPr>
          <w:rFonts w:ascii="Calibri" w:hAnsi="Calibri"/>
          <w:color w:val="14252B"/>
          <w:sz w:val="21"/>
        </w:rPr>
        <w:t>Configuração por arquivo de texto, separando conteúdo de código: textos, tamanhos de fonte e a seleção dos seis indicadores por pergunta passaram a ser editáveis sem programar.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25C75"/>
          <w:sz w:val="30"/>
        </w:rPr>
        <w:t>3. Episódios de erro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Cinco episódios em que a ferramenta produziu resultado incorreto e o grupo identificou. Todos partiram de uma inconsistência percebida na tela; nenhum foi encontrado por revisão de código. Para cada um registram-se o erro, o gatilho da detecção, a evidência quantitativa de antes e depois, e a trava introduzida para impedir a recorrência.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Episódio 1 — Agregação errada: quebra contábil não detectada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Categoria: </w:t>
      </w:r>
      <w:r>
        <w:rPr>
          <w:rFonts w:ascii="Calibri" w:hAnsi="Calibri"/>
          <w:b w:val="0"/>
          <w:i w:val="0"/>
          <w:color w:val="14252B"/>
          <w:sz w:val="21"/>
        </w:rPr>
        <w:t>agregação errada.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erro. </w:t>
      </w:r>
      <w:r>
        <w:rPr>
          <w:rFonts w:ascii="Calibri" w:hAnsi="Calibri"/>
          <w:b w:val="0"/>
          <w:i w:val="0"/>
          <w:color w:val="14252B"/>
          <w:sz w:val="21"/>
        </w:rPr>
        <w:t>A ferramenta encadeou a série de crédito através de 01/2025 sem identificar que a Res. CMN 4.966/2021 trocou a conta do relatório Resumo: “Carteira de Crédito Classificada” (até 12/2024) passou a “Carteira de Crédito”. Não é mudança de rótulo — é outra medida, e os relatórios ainda migraram de universo, do tipo 1005 para o 1009. Toda comparação de doze meses que atravessa essa data passou a medir a mudança contábil.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A detecção. </w:t>
      </w:r>
      <w:r>
        <w:rPr>
          <w:rFonts w:ascii="Calibri" w:hAnsi="Calibri"/>
          <w:b w:val="0"/>
          <w:i w:val="0"/>
          <w:color w:val="14252B"/>
          <w:sz w:val="21"/>
        </w:rPr>
        <w:t>O grupo observou que os gráficos de crescimento exibiam comportamento incompatível com o ciclo de crédito e recusou a primeira correção proposta, exigindo o entendimento do mecanismo antes de qualquer ajuste.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4252B"/>
          <w:sz w:val="21"/>
        </w:rPr>
        <w:t>Evidência — o degrau, medido no universo prudencial, com os mesmos códigos dos dois lados: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175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</w:r>
          </w:p>
        </w:tc>
        <w:tc>
          <w:tcPr>
            <w:tcW w:type="dxa" w:w="209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12/2024</w:t>
            </w:r>
          </w:p>
        </w:tc>
        <w:tc>
          <w:tcPr>
            <w:tcW w:type="dxa" w:w="209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03/2025</w:t>
            </w:r>
          </w:p>
        </w:tc>
        <w:tc>
          <w:tcPr>
            <w:tcW w:type="dxa" w:w="226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Variação em um trimestre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Itaú — carteira de crédito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R$ 1.088,0 bi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R$ 1.187,8 bi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+9,2%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Universo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R$ 7,57 tri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R$ 7,65 tri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+1,1%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515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</w:r>
          </w:p>
        </w:tc>
        <w:tc>
          <w:tcPr>
            <w:tcW w:type="dxa" w:w="306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Antes</w:t>
            </w:r>
          </w:p>
        </w:tc>
        <w:tc>
          <w:tcPr>
            <w:tcW w:type="dxa" w:w="306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Depois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Carteira exposta a risco de crescimento em 2025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40,7%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1,2% a 1,9%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Instituições sinalizadas em crescimento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Itaú, Bradesco e BNDES entre elas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Nenhuma: o eixo fica sem score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Trimestres de P1 com dado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25 de 29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21 de 29, com a lacuna declarada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4252B"/>
          <w:sz w:val="21"/>
        </w:rPr>
        <w:t>Correção. Todo indicador que compara t com t−4 fica vazio nas quatro data-bases de 2025. Perde-se um ano de P1; a alternativa era publicar crescimento produzido pela mudança contábil. 2026Q1 não é afetado, porque suas duas pontas são posteriores à quebra.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Desdobramento. </w:t>
      </w:r>
      <w:r>
        <w:rPr>
          <w:rFonts w:ascii="Calibri" w:hAnsi="Calibri"/>
          <w:b w:val="0"/>
          <w:i w:val="0"/>
          <w:color w:val="14252B"/>
          <w:sz w:val="21"/>
        </w:rPr>
        <w:t>Anular as comparações deixou P1 com um único indicador em 2025, e o score continuava sendo calculado sobre esse fragmento. Daí nasceu a regra do mínimo de indicadores por eixo, que revelou também que P3 não é calculável antes de 2025.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Episódio 2 — Gráfico que sugere conclusão que o dado não sustenta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Categoria: </w:t>
      </w:r>
      <w:r>
        <w:rPr>
          <w:rFonts w:ascii="Calibri" w:hAnsi="Calibri"/>
          <w:b w:val="0"/>
          <w:i w:val="0"/>
          <w:color w:val="14252B"/>
          <w:sz w:val="21"/>
        </w:rPr>
        <w:t>visualização enganosa.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erro. </w:t>
      </w:r>
      <w:r>
        <w:rPr>
          <w:rFonts w:ascii="Calibri" w:hAnsi="Calibri"/>
          <w:b w:val="0"/>
          <w:i w:val="0"/>
          <w:color w:val="14252B"/>
          <w:sz w:val="21"/>
        </w:rPr>
        <w:t>A minissérie dos cartões era construída agrupando por trimestre apenas as instituições sinalizadas. Num trimestre em que ninguém é sinalizado, o agrupamento não gera grupo algum e a data-base simplesmente desaparece do índice, em vez de chegar como valor ausente. A série de P1 ficava com 21 pontos contíguos em lugar de 29 com lacuna, e a linha ligava 2024Q4 diretamente a 2026Q1 — desenhando continuidade exatamente sobre o ano que o painel declarava, por escrito, não saber medir.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Agravante. </w:t>
      </w:r>
      <w:r>
        <w:rPr>
          <w:rFonts w:ascii="Calibri" w:hAnsi="Calibri"/>
          <w:b w:val="0"/>
          <w:i w:val="0"/>
          <w:color w:val="14252B"/>
          <w:sz w:val="21"/>
        </w:rPr>
        <w:t>O mesmo defeito contaminava o rótulo de variação. O cartão exibia “▼ 0,2 em 12 meses”, mas as duas pontas comparadas eram 03/2026 e 03/2024: uma distância de dois anos apresentada como um.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A detecção. </w:t>
      </w:r>
      <w:r>
        <w:rPr>
          <w:rFonts w:ascii="Calibri" w:hAnsi="Calibri"/>
          <w:b w:val="0"/>
          <w:i w:val="0"/>
          <w:color w:val="14252B"/>
          <w:sz w:val="21"/>
        </w:rPr>
        <w:t>O grupo pediu a explicação do que o gráfico representava e a partir de que dados. A inconsistência apareceu ao confrontar o rótulo com o número de trimestres declarado no próprio cartão.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</w:r>
          </w:p>
        </w:tc>
        <w:tc>
          <w:tcPr>
            <w:tcW w:type="dxa" w:w="328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Antes</w:t>
            </w:r>
          </w:p>
        </w:tc>
        <w:tc>
          <w:tcPr>
            <w:tcW w:type="dxa" w:w="328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Depois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Pontos no índice da série de P1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21 contíguos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29, com 8 ausentes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Comportamento na lacuna de 2025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Linha contínua sobre o vazio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Faixa de lacuna desenhada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Ponta comparada como “12 meses”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03/2024 — 24 meses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03/2025 — 12 meses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Rótulo exibido em P1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“▼ 0,2 em 12 meses”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“sem comparação de 12 meses — há lacuna 4 trimestres atrás”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Decisão final do grupo. </w:t>
      </w:r>
      <w:r>
        <w:rPr>
          <w:rFonts w:ascii="Calibri" w:hAnsi="Calibri"/>
          <w:b w:val="0"/>
          <w:i w:val="0"/>
          <w:color w:val="14252B"/>
          <w:sz w:val="21"/>
        </w:rPr>
        <w:t>Corrigido o defeito, o grupo julgou que série temporal não é a forma adequada para indicadores com cobertura desigual e determinou a substituição por uma fotografia do trimestre: histograma da distribuição do recorte, intervalo interquartil com a mediana, e marcação de cada instituição sinalizada. A cobertura temporal, que continua sendo informação relevante, foi preservada em bloco explicativo próprio.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Episódio 3 — Denominador do conjunto: indicadores que ignoravam o recorte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Categoria: </w:t>
      </w:r>
      <w:r>
        <w:rPr>
          <w:rFonts w:ascii="Calibri" w:hAnsi="Calibri"/>
          <w:b w:val="0"/>
          <w:i w:val="0"/>
          <w:color w:val="14252B"/>
          <w:sz w:val="21"/>
        </w:rPr>
        <w:t>denominador trocado.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erro. </w:t>
      </w:r>
      <w:r>
        <w:rPr>
          <w:rFonts w:ascii="Calibri" w:hAnsi="Calibri"/>
          <w:b w:val="0"/>
          <w:i w:val="0"/>
          <w:color w:val="14252B"/>
          <w:sz w:val="21"/>
        </w:rPr>
        <w:t>HHI e CR5 eram calculados na construção da base, sobre as 1.403 instituições de cada trimestre, e gravados como coluna constante. Concentração, porém, é propriedade do conjunto que se escolhe olhar: mudando o recorte, o número tem de mudar. Nenhum filtro da interface os alcançava.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A detecção. </w:t>
      </w:r>
      <w:r>
        <w:rPr>
          <w:rFonts w:ascii="Calibri" w:hAnsi="Calibri"/>
          <w:b w:val="0"/>
          <w:i w:val="0"/>
          <w:color w:val="14252B"/>
          <w:sz w:val="21"/>
        </w:rPr>
        <w:t>O grupo alterou os filtros e observou que os dois números permaneciam idênticos.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Recorte</w:t>
            </w:r>
          </w:p>
        </w:tc>
        <w:tc>
          <w:tcPr>
            <w:tcW w:type="dxa" w:w="1247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Nº de IFs</w:t>
            </w:r>
          </w:p>
        </w:tc>
        <w:tc>
          <w:tcPr>
            <w:tcW w:type="dxa" w:w="209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HHI</w:t>
            </w:r>
          </w:p>
        </w:tc>
        <w:tc>
          <w:tcPr>
            <w:tcW w:type="dxa" w:w="2098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CR5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Universo inteiro — valor exibido em todos os casos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1.403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951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64,8%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Carteira ≥ R$ 1 bi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258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990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66,1%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Bancos com carteira ≥ R$ 1 bi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239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1.053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68,3%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Carteira ≥ R$ 10 bi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47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1.169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71,9%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Carteira ≥ R$ 100 bi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9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1.623</w:t>
            </w:r>
          </w:p>
        </w:tc>
        <w:tc>
          <w:tcPr>
            <w:tcW w:type="dxa" w:w="2098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85,0%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4252B"/>
          <w:sz w:val="21"/>
        </w:rPr>
        <w:t>O erro tinha consequência de leitura, e não apenas de precisão: no recorte dos nove maiores, o HHI verdadeiro — 1.623 — cruza o limiar de 1.500 e classifica o conjunto como moderadamente concentrado, enquanto o valor exibido — 951 — o classificava como desconcentrado.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Correção e trava. </w:t>
      </w:r>
      <w:r>
        <w:rPr>
          <w:rFonts w:ascii="Calibri" w:hAnsi="Calibri"/>
          <w:b w:val="0"/>
          <w:i w:val="0"/>
          <w:color w:val="14252B"/>
          <w:sz w:val="21"/>
        </w:rPr>
        <w:t>Os dois passaram a ser recalculados sobre o recorte vigente, com o valor do universo preservado como marca de referência. Em seguida, por determinação do grupo, varreram-se os 36 indicadores do catálogo à procura do mesmo padrão: apenas esses dois eram de escopo sistêmico, e os 33 demais têm valor idêntico dentro e fora do recorte, como devem ter. A varredura ficou como teste permanente.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Episódio 4 — Cartão exibindo dois trimestres ao mesmo tempo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Categoria: </w:t>
      </w:r>
      <w:r>
        <w:rPr>
          <w:rFonts w:ascii="Calibri" w:hAnsi="Calibri"/>
          <w:b w:val="0"/>
          <w:i w:val="0"/>
          <w:color w:val="14252B"/>
          <w:sz w:val="21"/>
        </w:rPr>
        <w:t>seleção temporal incorreta.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erro. </w:t>
      </w:r>
      <w:r>
        <w:rPr>
          <w:rFonts w:ascii="Calibri" w:hAnsi="Calibri"/>
          <w:b w:val="0"/>
          <w:i w:val="0"/>
          <w:color w:val="14252B"/>
          <w:sz w:val="21"/>
        </w:rPr>
        <w:t>O número de destaque dos cartões da visão geral era lido como “último valor não vazio da série inteira”, e não como “valor do trimestre selecionado”. A barra de composição logo abaixo, essa sim, obedecia à seleção. O cartão passou a apresentar dois trimestres diferentes simultaneamente.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A detecção. </w:t>
      </w:r>
      <w:r>
        <w:rPr>
          <w:rFonts w:ascii="Calibri" w:hAnsi="Calibri"/>
          <w:b w:val="0"/>
          <w:i w:val="0"/>
          <w:color w:val="14252B"/>
          <w:sz w:val="21"/>
        </w:rPr>
        <w:t>O grupo trocou a data-base para 12/2025 e observou que o número principal não se alterava.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175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Com 12/2025 selecionado</w:t>
            </w:r>
          </w:p>
        </w:tc>
        <w:tc>
          <w:tcPr>
            <w:tcW w:type="dxa" w:w="323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Antes</w:t>
            </w:r>
          </w:p>
        </w:tc>
        <w:tc>
          <w:tcPr>
            <w:tcW w:type="dxa" w:w="323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Depois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Número de destaque de P1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7,2% — valor de 03/2026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Vazio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Composição da carteira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12/2025, correta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12/2025, correta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Leitura resultante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Dois trimestres no mesmo cartão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Um trimestre, com a ausência declarada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Correção. O número passou a ser calculado sobre o corte transversal selecionado, e devolve vazio — nunca zero — quando nenhuma instituição do recorte tem score no eixo. O cartão declara: “não é ausência de risco, é ausência de medida”. A trava percorre as 29 data-bases e exige que o número coincida com a fatia de risco alto da composição do mesmo trimestre.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Episódio 5 — Análise correta em aparência, sustentada por amostra viesada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Categoria: </w:t>
      </w:r>
      <w:r>
        <w:rPr>
          <w:rFonts w:ascii="Calibri" w:hAnsi="Calibri"/>
          <w:b w:val="0"/>
          <w:i w:val="0"/>
          <w:color w:val="14252B"/>
          <w:sz w:val="21"/>
        </w:rPr>
        <w:t>inferência incorreta a partir de recorte enviesado — o episódio conceitualmente mais relevante.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contexto. </w:t>
      </w:r>
      <w:r>
        <w:rPr>
          <w:rFonts w:ascii="Calibri" w:hAnsi="Calibri"/>
          <w:b w:val="0"/>
          <w:i w:val="0"/>
          <w:color w:val="14252B"/>
          <w:sz w:val="21"/>
        </w:rPr>
        <w:t>Ao ser questionada sobre o tratamento das instituições não pareadas na troca de regimes, a ferramenta investigou alternativas para reconstruir a série de 2025 e concluiu que a família de relatórios “Carteira de crédito ativa” atravessava a quebra sem degrau. O grupo autorizou a execução com base nessa evidência.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erro. </w:t>
      </w:r>
      <w:r>
        <w:rPr>
          <w:rFonts w:ascii="Calibri" w:hAnsi="Calibri"/>
          <w:b w:val="0"/>
          <w:i w:val="0"/>
          <w:color w:val="14252B"/>
          <w:sz w:val="21"/>
        </w:rPr>
        <w:t>O teste que sustentava a conclusão comparava a série entre 12/2024 e 03/2025 — mas esse pareamento só existe para as instituições cujo código não mudou, isto é, exatamente aquelas para as quais a quebra de identidade nunca existiu. Os grandes bancos ficavam fora da amostra por construção. Mediu-se continuidade no subconjunto que nunca teve o problema.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Como o erro se revelou. </w:t>
      </w:r>
      <w:r>
        <w:rPr>
          <w:rFonts w:ascii="Calibri" w:hAnsi="Calibri"/>
          <w:b w:val="0"/>
          <w:i w:val="0"/>
          <w:color w:val="14252B"/>
          <w:sz w:val="21"/>
        </w:rPr>
        <w:t>A reconstrução foi implementada e produziu o Itaú com +49,1% de crescimento em 12/2024 — um artefato criado pela própria reconstrução. A investigação do artefato levou ao teste correto: comparar as duas séries dentro do mesmo trimestre.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515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Teste</w:t>
            </w:r>
          </w:p>
        </w:tc>
        <w:tc>
          <w:tcPr>
            <w:tcW w:type="dxa" w:w="306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Resultado</w:t>
            </w:r>
          </w:p>
        </w:tc>
        <w:tc>
          <w:tcPr>
            <w:tcW w:type="dxa" w:w="3061"/>
            <w:shd w:val="clear" w:color="auto" w:fill="F1F4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252B"/>
                <w:sz w:val="18"/>
              </w:rPr>
              <w:t>Conclusão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Variação 03/2025 ÷ 12/2024, apenas nas 770 pareadas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Mediana +0,6%; dispersão encolhendo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Sugeria continuidade — amostra viesada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Razão entre a carteira ativa e a carteira do Resumo, no mesmo trimestre, até 12/2024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1,0000 do p25 ao p75, em todas as data-bases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São o mesmo número: não é fonte independente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A mesma razão a partir de 03/2025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1,036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alibri" w:hAnsi="Calibri"/>
                <w:color w:val="14252B"/>
                <w:sz w:val="19"/>
              </w:rPr>
              <w:t>Os conceitos só se separam depois da quebra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Desfecho. </w:t>
      </w:r>
      <w:r>
        <w:rPr>
          <w:rFonts w:ascii="Calibri" w:hAnsi="Calibri"/>
          <w:b w:val="0"/>
          <w:i w:val="0"/>
          <w:color w:val="14252B"/>
          <w:sz w:val="21"/>
        </w:rPr>
        <w:t>A reconstrução foi integralmente revertida e a máscara de 2025 mantida. Preservaram-se dois subprodutos verificados: a ponte oficial entre os universos 1005 e 1009, declarada pelo próprio cadastro do IF.data e validada contra o dado publicado com erro mediano de 0,000%, e o registro reproduzível das três vias de compatibilização testadas e descartadas. O argumento do trabalho ficou mais forte: a quebra não é falta de par — o par existe e é oficial —, é mudança de definição; a comparação é tecnicamente possível e economicamente sem sentido.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Episódio 6 — Verificação que não verificava: a contagem de páginas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Categoria: </w:t>
      </w:r>
      <w:r>
        <w:rPr>
          <w:rFonts w:ascii="Calibri" w:hAnsi="Calibri"/>
          <w:b w:val="0"/>
          <w:i w:val="0"/>
          <w:color w:val="14252B"/>
          <w:sz w:val="21"/>
        </w:rPr>
        <w:t>teste que confirma o que deveria testar — a falha mais silenciosa das quatro, porque produz um selo de aprovação e não uma mensagem de erro.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O erro. </w:t>
      </w:r>
      <w:r>
        <w:rPr>
          <w:rFonts w:ascii="Calibri" w:hAnsi="Calibri"/>
          <w:b w:val="0"/>
          <w:i w:val="0"/>
          <w:color w:val="14252B"/>
          <w:sz w:val="21"/>
        </w:rPr>
        <w:t>Os relatórios de Diagnóstico e de Limites foram especificados com uma página cada. A conferência automatizada reportou uma página para os dois, e a entrega seguiu. O método usado — ComputeStatistics do Word — devolve a contagem sem repaginar o documento, e devolvia 1 também para o Caderno de Processo, que tem onze páginas. Um verificador que aprova qualquer entrada não é um verificador.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Como o erro se revelou. </w:t>
      </w:r>
      <w:r>
        <w:rPr>
          <w:rFonts w:ascii="Calibri" w:hAnsi="Calibri"/>
          <w:b w:val="0"/>
          <w:i w:val="0"/>
          <w:color w:val="14252B"/>
          <w:sz w:val="21"/>
        </w:rPr>
        <w:t>Ao acrescentar um parágrafo ao relatório de Limites, a medição foi refeita forçando a repaginação (Repaginate seguido de Content.Information). Os dois relatórios de uma página ocupavam duas: Limites transbordava cerca de 98 pontos tipográficos e Diagnóstico, 51 — este último sem ter recebido qualquer alteração, o que descartou o parágrafo novo como causa e apontou a medição como culpada.</w:t>
      </w:r>
    </w:p>
    <w:p>
      <w:pPr>
        <w:spacing w:before="0" w:after="120"/>
      </w:pPr>
      <w:r>
        <w:rPr>
          <w:rFonts w:ascii="Calibri" w:hAnsi="Calibri"/>
          <w:b/>
          <w:i w:val="0"/>
          <w:color w:val="14252B"/>
          <w:sz w:val="21"/>
        </w:rPr>
        <w:t xml:space="preserve">Desfecho. </w:t>
      </w:r>
      <w:r>
        <w:rPr>
          <w:rFonts w:ascii="Calibri" w:hAnsi="Calibri"/>
          <w:b w:val="0"/>
          <w:i w:val="0"/>
          <w:color w:val="14252B"/>
          <w:sz w:val="21"/>
        </w:rPr>
        <w:t>A correção foi tipográfica, não editorial: entrelinha, espaçamento entre parágrafos e margens, sem alterar uma palavra dos textos já aprovados. Os dois relatórios passaram a ocupar uma página de fato, verificada com repaginação forçada. O Caderno permanece com onze, como sempre esteve.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3.7 Sobre a categoria “série deflacionada indevidamente”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Esta categoria não produziu episódio. O deflacionamento foi desenhado desde a origem como etapa única e centralizada: índice acumulado do IPCA (SGS 433), base fixada no trimestre mais recente do painel, aplicado uma só vez às colunas monetárias na construção dos painéis, com a lista de colunas deflacionadas registrada na saída do processo. Razões não são deflacionadas, porque numerador e denominador estão no mesmo trimestre e o índice se cancela. A validação cruzada contra o SGS confirmou a consistência dos agregados. Registra-se a ausência do erro, e não um episódio construído para preencher a categoria.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25C75"/>
          <w:sz w:val="30"/>
        </w:rPr>
        <w:t>4. Desvio de projeto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O que mudou entre a concepção apresentada no checkpoint e o painel entregue, e por quê. Os desvios não são ajustes de escopo: em quase todos os casos, a concepção original pressupunha uma propriedade dos dados que a verificação mostrou não existir.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4.1 De série histórica contínua para cobertura declarada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concepção previa que as três perguntas compartilhassem a mesma janela temporal, com leitura de tendência. A verificação mostrou três impedimentos independentes: a Res. 4.966 inviabiliza comparações anuais em 2025; quatro dos seis indicadores de deterioração só existem no regime de perda esperada, a partir de 2025Q1; e indicadores dependentes do Patrimônio de Referência só começam em 2023Q3. O painel final cobre 21, 29 e 5 trimestres em P1, P2 e P3, e cada página declara a cobertura de cada indicador e a razão dela. A tendência deixou de ser a leitura principal.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4.2 De uma agenda para duas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concepção previa uma lista priorizada única. Verificou-se que o score mede atipicidade dentro do grupo de pares, e não relevância sistêmica: pela lista única, os cinco maiores bancos do país apareciam entre a 548ª e a 1046ª posição, e a agenda resultante cobria 1% da carteira do recorte. O painel final entrega duas listas com critérios explicitamente distintos — atípicas no grupo de pares, por limiar de score, e grandes com sinal, por cobertura de carteira, onde o score define apenas a ordem de exame.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4.3 De dezoito indicadores fixos para catálogo com seleção configurável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concepção fixava dezoito indicadores. O painel final mantém a regra de exatamente seis por pergunta, mas sobre um catálogo de trinta e seis, com a seleção ativa definida em arquivo de configuração e trocável durante a apresentação, sem reprocessar a base. Quatro dos dezoito originais foram efetivamente substituídos, cada um por uma razão verificada: ticket médio por exposição a tomadores de grande porte — proxy trocada por fonte direta; trimestres consecutivos acima de 15% por crescimento das captações — perda de poder de discriminação após o tratamento da quebra; e HHI do sistema e CR5 por crédito ÷ ativo total e HHI de modalidades PF — escopo sistêmico incompatível com percentil.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4.4 De gráficos de tendência para fotografia do trimestre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concepção previa séries temporais nos cartões. A entrega usa a distribuição do corte transversal: histograma do recorte, intervalo interquartil com a mediana, e cada instituição sinalizada marcada individualmente. A mudança decorre do Episódio 2 e tem justificativa conceitual, não estética — a figura passou a mostrar exatamente o que o percentil mede, e o percentil é o que determina a seleção. Nas visualizações maiores das páginas, a seleção do trimestre passou a comandar também os destaques: as instituições sinalizadas são distinguidas por cor ou contorno, e os critérios de escolha de quem aparece ficaram declarados na tela.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4.5 De painel fixo para instrumento calibrável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concepção tratava os parâmetros do método como constantes. O painel final expõe o corte de risco por eixo, o limiar da agenda, a cobertura da lista de grandes, os pesos dos três eixos e a própria seleção de indicadores. A razão é metodológica: esses valores são julgamento do grupo, não resultado de estimação, e uma banca que discorde precisa poder testar a alternativa em vez de ouvir a defesa do número. A sensibilidade está medida — baixar o corte de 0,75 para 0,70 mais que dobra as sinalizadas em deterioração, de 10 para 26, enquanto em crescimento vai de 47 para 65.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4.6 De entrega única para entrega com camada de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Não previsto na concepção, e incorporado por necessidade: uma bateria de testes automatizados que acompanha o painel e falha quando uma premissa é violada. Verificam, entre outros, que toda coluna citada na interface existe na base publicada; que a regra dos seis por pergunta sobrevive à troca de indicadores; que nenhum indicador de escopo sistêmico é exibido como se fosse da instituição; que o número do cartão corresponde ao trimestre selecionado em todas as data-bases; e que todo indicador ativo possui verbete de glossário. A camada nasceu dos episódios da seção 3: cada erro corrigido deixou um teste que impede seu retorno.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4.7 Da instituição como unidade única para instituição com camada de grupo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A concepção adotou como unidade de análise a instituição do IF.data — conglomerado prudencial ou instituição independente —, que é a unidade supervisionada e o que a fonte publica. A verificação confirmou que não há duplicidade: cada trimestre usa um único universo e nenhum código aparece duas vezes. O que a concepção não previu é que 60% do recorte seria de cooperativas singulares, autônomas do ponto de vista prudencial e organizadas em sistemas do ponto de vista econômico. A agenda de 03/2026 dedicava 11 de 21 posições a singulares do mesmo sistema. O painel final acrescenta uma camada de grupo que atua só na exibição, sem tocar em nenhum cálculo, e deixa a chave na tela para desfazê-la. É o mesmo princípio dos demais desvios: quando o dado não sustenta a agregação, declara-se a camada em vez de fundi-la no número.</w:t>
      </w:r>
    </w:p>
    <w:p>
      <w:pPr>
        <w:pStyle w:val="Heading2"/>
        <w:spacing w:before="260" w:after="120"/>
      </w:pPr>
      <w:r>
        <w:rPr>
          <w:rFonts w:ascii="Calibri" w:hAnsi="Calibri"/>
          <w:b/>
          <w:color w:val="14252B"/>
          <w:sz w:val="24"/>
        </w:rPr>
        <w:t>Síntese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4252B"/>
          <w:sz w:val="21"/>
        </w:rPr>
        <w:t>O desvio central do projeto pode ser enunciado em uma frase: a concepção supunha que os dados sustentariam uma leitura contínua e comparável ao longo do tempo, e a verificação mostrou que não. A resposta não foi reduzir a ambição do painel, mas tornar visível o limite — declarar a cobertura, deixar vazio o que não é medível, separar o que descreve o sistema do que descreve a instituição e expor os parâmetros de julgamento. O resultado é um instrumento que responde à pergunta decisória e, ao mesmo tempo, diz com precisão o que não é capaz de responder.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Processo — Painel decisório de crédito</dc:title>
  <dc:subject/>
  <dc:creator>Tomaz Leal, Roberto Gomides e Diana Cabral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