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Calibri" w:hAnsi="Calibri"/>
          <w:b/>
          <w:color w:val="025C75"/>
          <w:sz w:val="34"/>
        </w:rPr>
        <w:t>O QUE ESTE PAINEL NÃO PERMITE CONCLUIR</w:t>
      </w:r>
    </w:p>
    <w:p>
      <w:pPr>
        <w:spacing w:before="0" w:after="40"/>
        <w:pBdr>
          <w:bottom w:val="single" w:sz="12" w:space="4" w:color="EDD297"/>
        </w:pBdr>
      </w:pPr>
      <w:r>
        <w:rPr>
          <w:rFonts w:ascii="Calibri" w:hAnsi="Calibri"/>
          <w:b w:val="0"/>
          <w:color w:val="14252B"/>
          <w:sz w:val="22"/>
        </w:rPr>
        <w:t>Seção final · delimitação do alcance analítico</w:t>
      </w:r>
    </w:p>
    <w:p>
      <w:pPr>
        <w:spacing w:before="0" w:after="40" w:line="216" w:lineRule="auto"/>
      </w:pPr>
      <w:r>
        <w:rPr>
          <w:rFonts w:ascii="Calibri" w:hAnsi="Calibri"/>
          <w:b w:val="0"/>
          <w:color w:val="3A4A51"/>
          <w:sz w:val="16"/>
        </w:rPr>
        <w:t>Painel decisório de crédito — Supervisão do Banco Central · Trabalho Intermediário · FGV · Prof. Genaro Lins · Grupo: Tomaz Leal, Roberto Gomides e Diana Cabral. Referências quantitativas: data-base 03/2026, recorte de 258 instituições com carteira ≥ R$ 1 bi.</w:t>
      </w:r>
    </w:p>
    <w:p>
      <w:pPr>
        <w:spacing w:before="0" w:after="40" w:line="216" w:lineRule="auto"/>
        <w:pBdr>
          <w:left w:val="single" w:sz="18" w:space="6" w:color="025C75"/>
        </w:pBdr>
        <w:shd w:val="clear" w:color="auto" w:fill="F1F4F5"/>
        <w:ind w:left="113" w:right="57"/>
      </w:pPr>
      <w:r>
        <w:rPr>
          <w:rFonts w:ascii="Calibri" w:hAnsi="Calibri"/>
          <w:b/>
          <w:color w:val="14252B"/>
          <w:sz w:val="19"/>
        </w:rPr>
        <w:t xml:space="preserve">Esta seção não é uma ressalva de praxe. </w:t>
      </w:r>
      <w:r>
        <w:rPr>
          <w:rFonts w:ascii="Calibri" w:hAnsi="Calibri"/>
          <w:b w:val="0"/>
          <w:color w:val="14252B"/>
          <w:sz w:val="19"/>
        </w:rPr>
        <w:t>Cada limite abaixo foi encontrado durante a construção, verificado com o próprio dado e é, hoje, aplicado como regra de código: onde o painel não pode concluir, ele deixa o campo vazio em vez de exibir um número plausível. A lista a seguir descreve o que essa regra recusa a afirmar.</w:t>
      </w:r>
    </w:p>
    <w:p>
      <w:pPr>
        <w:spacing w:before="80" w:after="40" w:line="216" w:lineRule="auto"/>
      </w:pPr>
      <w:r>
        <w:rPr>
          <w:rFonts w:ascii="Calibri" w:hAnsi="Calibri"/>
          <w:b/>
          <w:color w:val="025C75"/>
          <w:sz w:val="21"/>
        </w:rPr>
        <w:t>1. O que a fonte não enxerga</w:t>
      </w:r>
    </w:p>
    <w:p>
      <w:pPr>
        <w:spacing w:before="0" w:after="40" w:line="216" w:lineRule="auto"/>
      </w:pPr>
      <w:r>
        <w:rPr>
          <w:rFonts w:ascii="Calibri" w:hAnsi="Calibri"/>
          <w:b w:val="0"/>
          <w:color w:val="14252B"/>
          <w:sz w:val="19"/>
        </w:rPr>
        <w:t>O IF.data é trimestral e agregado por instituição. Disso decorrem quatro impossibilidades que nenhum tratamento estatístico contorna. O painel não identifica o tomador nem a safra: a “inadimplência ajustada ao crescimento” aproxima o efeito denominador, mas não substitui análise de vintage, que exigiria o SCR operação a operação — dado protegido por sigilo bancário. Não mede concentração em poucos devedores: a fatia da carteira PJ em tomadores de grande porte captura exposição ao segmento onde vive o risco de nome único, mas um banco com muitos clientes grandes aparece igual a um com poucos; verificação de limites de grandes exposições está fora do alcance. Esse indicador é ainda exclusivo de PJ — 17 das 258 instituições do recorte ficam sem ele. Não enxerga o que não está no balanço: cessões de crédito, coobrigação, exposições fora do balanço, risco de mercado e liquidez. E não permite leitura regional de longo prazo, porque o ESTBAN publica apenas os últimos seis meses e cobre somente bancos comerciais e múltiplos com carteira comercial.</w:t>
      </w:r>
    </w:p>
    <w:p>
      <w:pPr>
        <w:spacing w:before="80" w:after="40" w:line="216" w:lineRule="auto"/>
      </w:pPr>
      <w:r>
        <w:rPr>
          <w:rFonts w:ascii="Calibri" w:hAnsi="Calibri"/>
          <w:b/>
          <w:color w:val="025C75"/>
          <w:sz w:val="21"/>
        </w:rPr>
        <w:t>2. O que não é comparável no tempo</w:t>
      </w:r>
    </w:p>
    <w:p>
      <w:pPr>
        <w:spacing w:before="0" w:after="40" w:line="216" w:lineRule="auto"/>
      </w:pPr>
      <w:r>
        <w:rPr>
          <w:rFonts w:ascii="Calibri" w:hAnsi="Calibri"/>
          <w:b/>
          <w:color w:val="14252B"/>
          <w:sz w:val="19"/>
        </w:rPr>
        <w:t xml:space="preserve">A Res. CMN 4.966/2021 é a fronteira temporal do painel. </w:t>
      </w:r>
      <w:r>
        <w:rPr>
          <w:rFonts w:ascii="Calibri" w:hAnsi="Calibri"/>
          <w:b w:val="0"/>
          <w:color w:val="14252B"/>
          <w:sz w:val="19"/>
        </w:rPr>
        <w:t>Em 01/2025 ela substituiu a classificação AA–H por perda esperada, mudou a conta da carteira no relatório Resumo e migrou os relatórios de universo. O degrau é mensurável: com universo constante, a carteira do Itaú salta 9,2% em um único trimestre, contra 1,1% do universo. Por isso todo indicador que compara com quatro trimestres antes fica vazio em 2025, e o painel não traça linha contínua entre os dois regimes de qualidade de crédito — a soma dos níveis E–H fica cerca de 2,5 p.p. acima da inadimplência de noventa dias.</w:t>
      </w:r>
    </w:p>
    <w:p>
      <w:pPr>
        <w:spacing w:before="0" w:after="40" w:line="216" w:lineRule="auto"/>
      </w:pPr>
      <w:r>
        <w:rPr>
          <w:rFonts w:ascii="Calibri" w:hAnsi="Calibri"/>
          <w:b w:val="0"/>
          <w:color w:val="14252B"/>
          <w:sz w:val="19"/>
        </w:rPr>
        <w:t>A consequência menos óbvia é a cobertura desigual, que não aparece como campo vazio, e sim como um número que existe mas foi calculado sobre base diferente da do trimestre ao lado: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3DBDF"/>
          <w:bottom w:val="single" w:sz="6" w:space="0" w:color="D3DBDF"/>
          <w:left w:val="none" w:sz="0" w:space="0" w:color="auto"/>
          <w:right w:val="none" w:sz="0" w:space="0" w:color="auto"/>
          <w:insideH w:val="single" w:sz="4" w:space="0" w:color="E4EAEC"/>
          <w:insideV w:val="none" w:sz="0" w:space="0" w:color="auto"/>
        </w:tblBorders>
      </w:tblPr>
      <w:tblGrid>
        <w:gridCol w:w="2523"/>
        <w:gridCol w:w="2523"/>
        <w:gridCol w:w="2523"/>
        <w:gridCol w:w="2523"/>
      </w:tblGrid>
      <w:tr>
        <w:tc>
          <w:tcPr>
            <w:tcW w:type="dxa" w:w="1814"/>
            <w:shd w:val="clear" w:color="auto" w:fill="F1F4F5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14252B"/>
                <w:sz w:val="16"/>
              </w:rPr>
              <w:t>Eixo</w:t>
            </w:r>
          </w:p>
        </w:tc>
        <w:tc>
          <w:tcPr>
            <w:tcW w:type="dxa" w:w="1928"/>
            <w:shd w:val="clear" w:color="auto" w:fill="F1F4F5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14252B"/>
                <w:sz w:val="16"/>
              </w:rPr>
              <w:t>Trimestres com score</w:t>
            </w:r>
          </w:p>
        </w:tc>
        <w:tc>
          <w:tcPr>
            <w:tcW w:type="dxa" w:w="2608"/>
            <w:shd w:val="clear" w:color="auto" w:fill="F1F4F5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14252B"/>
                <w:sz w:val="16"/>
              </w:rPr>
              <w:t>Janela</w:t>
            </w:r>
          </w:p>
        </w:tc>
        <w:tc>
          <w:tcPr>
            <w:tcW w:type="dxa" w:w="3742"/>
            <w:shd w:val="clear" w:color="auto" w:fill="F1F4F5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14252B"/>
                <w:sz w:val="16"/>
              </w:rPr>
              <w:t>Indicadores no score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14252B"/>
                <w:sz w:val="17"/>
              </w:rPr>
              <w:t>P1 · Crescimento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rFonts w:ascii="Calibri" w:hAnsi="Calibri"/>
                <w:b w:val="0"/>
                <w:color w:val="14252B"/>
                <w:sz w:val="17"/>
              </w:rPr>
              <w:t>21 de 29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rFonts w:ascii="Calibri" w:hAnsi="Calibri"/>
                <w:b w:val="0"/>
                <w:color w:val="14252B"/>
                <w:sz w:val="17"/>
              </w:rPr>
              <w:t>03/2020 a 03/2026, sem 2025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rFonts w:ascii="Calibri" w:hAnsi="Calibri"/>
                <w:b w:val="0"/>
                <w:color w:val="14252B"/>
                <w:sz w:val="17"/>
              </w:rPr>
              <w:t>5 ou 6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14252B"/>
                <w:sz w:val="17"/>
              </w:rPr>
              <w:t>P2 · Concentração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rFonts w:ascii="Calibri" w:hAnsi="Calibri"/>
                <w:b w:val="0"/>
                <w:color w:val="14252B"/>
                <w:sz w:val="17"/>
              </w:rPr>
              <w:t>29 de 29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rFonts w:ascii="Calibri" w:hAnsi="Calibri"/>
                <w:b w:val="0"/>
                <w:color w:val="14252B"/>
                <w:sz w:val="17"/>
              </w:rPr>
              <w:t>03/2019 a 03/2026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rFonts w:ascii="Calibri" w:hAnsi="Calibri"/>
                <w:b w:val="0"/>
                <w:color w:val="14252B"/>
                <w:sz w:val="17"/>
              </w:rPr>
              <w:t>6 sempre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>
              <w:rPr>
                <w:rFonts w:ascii="Calibri" w:hAnsi="Calibri"/>
                <w:b/>
                <w:color w:val="14252B"/>
                <w:sz w:val="17"/>
              </w:rPr>
              <w:t>P3 · Deterioração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rFonts w:ascii="Calibri" w:hAnsi="Calibri"/>
                <w:b w:val="0"/>
                <w:color w:val="14252B"/>
                <w:sz w:val="17"/>
              </w:rPr>
              <w:t>5 de 29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rFonts w:ascii="Calibri" w:hAnsi="Calibri"/>
                <w:b w:val="0"/>
                <w:color w:val="14252B"/>
                <w:sz w:val="17"/>
              </w:rPr>
              <w:t>03/2025 a 03/2026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rFonts w:ascii="Calibri" w:hAnsi="Calibri"/>
                <w:b w:val="0"/>
                <w:color w:val="14252B"/>
                <w:sz w:val="17"/>
              </w:rPr>
              <w:t>5 ou 6</w:t>
            </w:r>
          </w:p>
        </w:tc>
      </w:tr>
    </w:tbl>
    <w:p>
      <w:pPr>
        <w:spacing w:before="40" w:after="40" w:line="216" w:lineRule="auto"/>
      </w:pPr>
      <w:r>
        <w:rPr>
          <w:rFonts w:ascii="Calibri" w:hAnsi="Calibri"/>
          <w:b/>
          <w:color w:val="14252B"/>
          <w:sz w:val="19"/>
        </w:rPr>
        <w:t xml:space="preserve">Daí duas proibições. </w:t>
      </w:r>
      <w:r>
        <w:rPr>
          <w:rFonts w:ascii="Calibri" w:hAnsi="Calibri"/>
          <w:b w:val="0"/>
          <w:color w:val="14252B"/>
          <w:sz w:val="19"/>
        </w:rPr>
        <w:t>Nenhuma comparação de trajetória entre eixos é legítima — P3 tem cinco pontos e P2 tem vinte e nove. E, dentro de P1, o nível do score de 2022 não é comparável ao de 2026: a entrada de um sexto indicador em 2024Q3 desloca todas as instituições ao mesmo tempo. É degrau de composição, não de risco.</w:t>
      </w:r>
    </w:p>
    <w:p>
      <w:pPr>
        <w:spacing w:before="80" w:after="40" w:line="216" w:lineRule="auto"/>
      </w:pPr>
      <w:r>
        <w:rPr>
          <w:rFonts w:ascii="Calibri" w:hAnsi="Calibri"/>
          <w:b/>
          <w:color w:val="025C75"/>
          <w:sz w:val="21"/>
        </w:rPr>
        <w:t>3. O que o score não mede</w:t>
      </w:r>
    </w:p>
    <w:p>
      <w:pPr>
        <w:spacing w:before="0" w:after="40" w:line="216" w:lineRule="auto"/>
      </w:pPr>
      <w:r>
        <w:rPr>
          <w:rFonts w:ascii="Calibri" w:hAnsi="Calibri"/>
          <w:b/>
          <w:color w:val="14252B"/>
          <w:sz w:val="19"/>
        </w:rPr>
        <w:t xml:space="preserve">Atipicidade não é relevância sistêmica. </w:t>
      </w:r>
      <w:r>
        <w:rPr>
          <w:rFonts w:ascii="Calibri" w:hAnsi="Calibri"/>
          <w:b w:val="0"/>
          <w:color w:val="14252B"/>
          <w:sz w:val="19"/>
        </w:rPr>
        <w:t xml:space="preserve">O score mede afastamento do padrão do próprio tipo de instituição. Numa lista única por score, os cinco maiores bancos do país ocupam da </w:t>
      </w:r>
      <w:r>
        <w:rPr>
          <w:rFonts w:ascii="Calibri" w:hAnsi="Calibri"/>
          <w:b/>
          <w:color w:val="B3261E"/>
          <w:sz w:val="19"/>
        </w:rPr>
        <w:t>80ª à 238ª posição</w:t>
      </w:r>
      <w:r>
        <w:rPr>
          <w:rFonts w:ascii="Calibri" w:hAnsi="Calibri"/>
          <w:b w:val="0"/>
          <w:color w:val="14252B"/>
          <w:sz w:val="19"/>
        </w:rPr>
        <w:t xml:space="preserve"> entre as 258 do recorte — a Caixa em 80º, o Itaú em 230º —, e a agenda resultante cobriria 1,1% da carteira. É a razão de existirem duas listas, e não uma.</w:t>
      </w:r>
    </w:p>
    <w:p>
      <w:pPr>
        <w:spacing w:before="0" w:after="40" w:line="216" w:lineRule="auto"/>
      </w:pPr>
      <w:r>
        <w:rPr>
          <w:rFonts w:ascii="Calibri" w:hAnsi="Calibri"/>
          <w:b/>
          <w:color w:val="14252B"/>
          <w:sz w:val="19"/>
        </w:rPr>
        <w:t xml:space="preserve">Atipicidade não é solvência, nem irregularidade. </w:t>
      </w:r>
      <w:r>
        <w:rPr>
          <w:rFonts w:ascii="Calibri" w:hAnsi="Calibri"/>
          <w:b w:val="0"/>
          <w:color w:val="14252B"/>
          <w:sz w:val="19"/>
        </w:rPr>
        <w:t>Crescer rápido não é infração; provisão baixa pode refletir carteira legitimamente melhor. O painel produz candidatos a exame segundo critérios públicos e explícitos — uma agenda de verificação, nunca um veredito.</w:t>
      </w:r>
    </w:p>
    <w:p>
      <w:pPr>
        <w:spacing w:before="0" w:after="40" w:line="216" w:lineRule="auto"/>
      </w:pPr>
      <w:r>
        <w:rPr>
          <w:rFonts w:ascii="Calibri" w:hAnsi="Calibri"/>
          <w:b/>
          <w:color w:val="14252B"/>
          <w:sz w:val="19"/>
        </w:rPr>
        <w:t xml:space="preserve">Percentis de grupos diferentes não se comparam. </w:t>
      </w:r>
      <w:r>
        <w:rPr>
          <w:rFonts w:ascii="Calibri" w:hAnsi="Calibri"/>
          <w:b w:val="0"/>
          <w:color w:val="14252B"/>
          <w:sz w:val="19"/>
        </w:rPr>
        <w:t>Um score 0,75 no grupo de 154 cooperativas e um 0,75 no grupo de 66 bancos são o quartil superior de populações distintas. No grupo b4, com apenas três instituições no recorte, o percentil quase não carrega informação.</w:t>
      </w:r>
    </w:p>
    <w:p>
      <w:pPr>
        <w:spacing w:before="0" w:after="40" w:line="216" w:lineRule="auto"/>
      </w:pPr>
      <w:r>
        <w:rPr>
          <w:rFonts w:ascii="Calibri" w:hAnsi="Calibri"/>
          <w:b/>
          <w:sz w:val="19"/>
        </w:rPr>
        <w:t xml:space="preserve">E a linha de sistema não é um sistema consolidado. </w:t>
      </w:r>
      <w:r>
        <w:rPr>
          <w:rFonts w:ascii="Calibri" w:hAnsi="Calibri"/>
          <w:b w:val="0"/>
          <w:sz w:val="19"/>
        </w:rPr>
        <w:t>Onde a agenda reúne cooperativas do mesmo sistema numa linha, ela conta instituições sinalizadas; não soma balanços. A filiação é dedução nossa a partir da marca no nome publicado — o IF.data não divulga o vínculo —, e alcança 63% das cooperativas: nas demais, a presença do sistema fica subestimada.</w:t>
      </w:r>
    </w:p>
    <w:p>
      <w:pPr>
        <w:spacing w:before="0" w:after="40" w:line="216" w:lineRule="auto"/>
      </w:pPr>
      <w:r>
        <w:rPr>
          <w:rFonts w:ascii="Calibri" w:hAnsi="Calibri"/>
          <w:b/>
          <w:color w:val="14252B"/>
          <w:sz w:val="19"/>
        </w:rPr>
        <w:t xml:space="preserve">E os parâmetros são julgamento, não estimação. </w:t>
      </w:r>
      <w:r>
        <w:rPr>
          <w:rFonts w:ascii="Calibri" w:hAnsi="Calibri"/>
          <w:b w:val="0"/>
          <w:color w:val="14252B"/>
          <w:sz w:val="19"/>
        </w:rPr>
        <w:t>O corte de 0,75, o limiar de agenda de 0,65 e os pesos dos três eixos foram escolhidos pelo grupo. Estão expostos na interface precisamente porque não são resultado de inferência: quem discorda pode testar a alternativa em vez de aceitar a defesa do número.</w:t>
      </w:r>
    </w:p>
    <w:p>
      <w:pPr>
        <w:spacing w:before="80" w:after="40" w:line="216" w:lineRule="auto"/>
      </w:pPr>
      <w:r>
        <w:rPr>
          <w:rFonts w:ascii="Calibri" w:hAnsi="Calibri"/>
          <w:b/>
          <w:color w:val="025C75"/>
          <w:sz w:val="21"/>
        </w:rPr>
        <w:t>4. O que os números não são</w:t>
      </w:r>
    </w:p>
    <w:p>
      <w:pPr>
        <w:spacing w:before="0" w:after="40" w:line="216" w:lineRule="auto"/>
      </w:pPr>
      <w:r>
        <w:rPr>
          <w:rFonts w:ascii="Calibri" w:hAnsi="Calibri"/>
          <w:b/>
          <w:color w:val="14252B"/>
          <w:sz w:val="19"/>
        </w:rPr>
        <w:t xml:space="preserve">Não são intercambiáveis com as estatísticas monetárias. </w:t>
      </w:r>
      <w:r>
        <w:rPr>
          <w:rFonts w:ascii="Calibri" w:hAnsi="Calibri"/>
          <w:b w:val="0"/>
          <w:color w:val="14252B"/>
          <w:sz w:val="19"/>
        </w:rPr>
        <w:t>A carteira do IF.data é de 7% a 12% maior que a série SGS 20539, por diferença de recorte. A validação cruzada mantida no repositório mede as divergências em vez de escondê-las: 0,34 p.p. de diferença média na inadimplência contra o SGS e 1,18 p.p. nos ativos problemáticos contra o SCR. São conceitos próximos, não idênticos.</w:t>
      </w:r>
    </w:p>
    <w:p>
      <w:pPr>
        <w:spacing w:before="0" w:after="40" w:line="216" w:lineRule="auto"/>
      </w:pPr>
      <w:r>
        <w:rPr>
          <w:rFonts w:ascii="Calibri" w:hAnsi="Calibri"/>
          <w:b/>
          <w:color w:val="14252B"/>
          <w:sz w:val="19"/>
        </w:rPr>
        <w:t xml:space="preserve">E não são definitivos. </w:t>
      </w:r>
      <w:r>
        <w:rPr>
          <w:rFonts w:ascii="Calibri" w:hAnsi="Calibri"/>
          <w:b w:val="0"/>
          <w:color w:val="14252B"/>
          <w:sz w:val="19"/>
        </w:rPr>
        <w:t>O próprio IF.data adverte que, na data-base de dezembro, os quatro trimestres anteriores são republicados com informação mais recente. Os valores podem mudar após a data de extração registrada nas notas de verificação — que é exatamente por que essa data é registrada.</w:t>
      </w:r>
    </w:p>
    <w:p>
      <w:pPr>
        <w:spacing w:before="80" w:after="40" w:line="216" w:lineRule="auto"/>
      </w:pPr>
      <w:r>
        <w:rPr>
          <w:rFonts w:ascii="Calibri" w:hAnsi="Calibri"/>
          <w:b/>
          <w:color w:val="025C75"/>
          <w:sz w:val="21"/>
        </w:rPr>
        <w:t>5. Como o painel trata o que não sabe</w:t>
      </w:r>
    </w:p>
    <w:p>
      <w:pPr>
        <w:spacing w:before="0" w:after="40" w:line="216" w:lineRule="auto"/>
      </w:pPr>
      <w:r>
        <w:rPr>
          <w:rFonts w:ascii="Calibri" w:hAnsi="Calibri"/>
          <w:b w:val="0"/>
          <w:color w:val="14252B"/>
          <w:sz w:val="19"/>
        </w:rPr>
        <w:t xml:space="preserve">A resposta do trabalho a todos os limites acima é uma só regra, aplicada sem exceção: </w:t>
      </w:r>
      <w:r>
        <w:rPr>
          <w:rFonts w:ascii="Calibri" w:hAnsi="Calibri"/>
          <w:b/>
          <w:color w:val="14252B"/>
          <w:sz w:val="19"/>
        </w:rPr>
        <w:t>o que não é verificável fica vazio e a ausência é declarada na tela</w:t>
      </w:r>
      <w:r>
        <w:rPr>
          <w:rFonts w:ascii="Calibri" w:hAnsi="Calibri"/>
          <w:b w:val="0"/>
          <w:color w:val="14252B"/>
          <w:sz w:val="19"/>
        </w:rPr>
        <w:t>. Um eixo sem indicadores suficientes não recebe score; um trimestre contaminado pela quebra contábil não recebe número; um indicador de escopo sistêmico não é exibido como se descrevesse a instituição. Cada cartão informa quantos trimestres cobre e por quê, e o painel distingue explicitamente “sem risco” de “não avaliável” — porque zero afirma uma coisa e ausência afirma outra. Um painel de supervisão que preenche lacunas com estimativas plausíveis produz confiança onde deveria produzir pendência; a delimitação acima é, nesse sentido, parte do resultado, e não uma nota de rodapé sobre ele.</w:t>
      </w:r>
    </w:p>
    <w:p>
      <w:pPr>
        <w:spacing w:before="60" w:after="40" w:line="216" w:lineRule="auto"/>
        <w:pBdr>
          <w:bottom w:val="single" w:sz="6" w:space="4" w:color="D3DBDF"/>
        </w:pBdr>
      </w:pPr>
      <w:r>
        <w:rPr>
          <w:rFonts w:ascii="Calibri" w:hAnsi="Calibri"/>
          <w:b w:val="0"/>
          <w:color w:val="3A4A51"/>
          <w:sz w:val="16"/>
        </w:rPr>
        <w:t>Cada limitação desta seção é reproduzível pelos scripts de verificação do repositório, com os dados brutos preservados e o manifesto de coleta correspondente.</w:t>
      </w:r>
    </w:p>
    <w:sectPr w:rsidR="00FC693F" w:rsidRPr="0006063C" w:rsidSect="00034616">
      <w:pgSz w:w="11906" w:h="16838"/>
      <w:pgMar w:top="600" w:right="907" w:bottom="60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Calibri" w:hAnsi="Calibri"/>
      <w:color w:val="14252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 que este painel não permite concluir</dc:title>
  <dc:subject/>
  <dc:creator>Tomaz Leal, Roberto Gomides e Diana Cabral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