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025C75"/>
          <w:sz w:val="34"/>
        </w:rPr>
        <w:t>RELATÓRIO DE DIAGNÓSTICO</w:t>
      </w:r>
    </w:p>
    <w:p>
      <w:pPr>
        <w:spacing w:before="0" w:after="60"/>
        <w:pBdr>
          <w:bottom w:val="single" w:sz="12" w:space="4" w:color="EDD297"/>
        </w:pBdr>
      </w:pPr>
      <w:r>
        <w:rPr>
          <w:rFonts w:ascii="Calibri" w:hAnsi="Calibri"/>
          <w:b w:val="0"/>
          <w:i w:val="0"/>
          <w:color w:val="14252B"/>
          <w:sz w:val="22"/>
        </w:rPr>
        <w:t>Quais instituições devem entrar na agenda de supervisão do próximo ciclo?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3A4A51"/>
          <w:sz w:val="17"/>
        </w:rPr>
        <w:t xml:space="preserve">Data-base 03/2026 · recorte de 258 instituições com carteira ≥ R$ 1 bi · R$ 7,76 tri de carteira somada · </w:t>
      </w:r>
      <w:r>
        <w:rPr>
          <w:rFonts w:ascii="Calibri" w:hAnsi="Calibri"/>
          <w:b w:val="0"/>
          <w:i w:val="0"/>
          <w:color w:val="3A4A51"/>
          <w:sz w:val="17"/>
        </w:rPr>
        <w:t>Fonte: BCB/IF.data, valores reais de 03/2026 deflacionados pelo IPCA (SGS 433). Trabalho Intermediário · FGV · Prof. Genaro Lins · Grupo: Tomaz Leal, Roberto Gomides e Diana Cabral.</w:t>
      </w:r>
    </w:p>
    <w:p>
      <w:pPr>
        <w:spacing w:before="160" w:after="60"/>
      </w:pPr>
      <w:r>
        <w:rPr>
          <w:rFonts w:ascii="Calibri" w:hAnsi="Calibri"/>
          <w:b/>
          <w:color w:val="025C75"/>
          <w:sz w:val="21"/>
        </w:rPr>
        <w:t>1. O quadro: sistema desconcentrado, carteiras concentradas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4252B"/>
          <w:sz w:val="19"/>
        </w:rPr>
        <w:t>O mercado é desconcentrado no agregado — HHI de 990, abaixo do limiar de 1.500, com CR5 de 66,1%. A concentração que importa não está entre instituições, e sim dentro delas. As seis sinalizadas em concentração têm 100% da carteira de pessoa física em modalidades de alto risco, contra 27,7% do recorte, e 65,0% da carteira PJ em tomadores de grande porte, contra 10,5%. São carteiras monoproduto: o índice de concentração por modalidade atinge 10.000, o máximo teórico. O risco sistêmico do recorte não vem do tamanho relativo de ninguém; vem da ausência de diversificação em instituições individuais.</w:t>
      </w:r>
    </w:p>
    <w:p>
      <w:pPr>
        <w:spacing w:before="160" w:after="60"/>
      </w:pPr>
      <w:r>
        <w:rPr>
          <w:rFonts w:ascii="Calibri" w:hAnsi="Calibri"/>
          <w:b/>
          <w:color w:val="025C75"/>
          <w:sz w:val="21"/>
        </w:rPr>
        <w:t>2. Onde está o risco, por eixo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3DBDF"/>
          <w:bottom w:val="single" w:sz="6" w:space="0" w:color="D3DBDF"/>
          <w:left w:val="none" w:sz="0" w:space="0" w:color="auto"/>
          <w:right w:val="none" w:sz="0" w:space="0" w:color="auto"/>
          <w:insideH w:val="single" w:sz="4" w:space="0" w:color="E4EAEC"/>
          <w:insideV w:val="none" w:sz="0" w:space="0" w:color="auto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1587"/>
            <w:shd w:val="clear" w:color="auto" w:fill="F1F4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6"/>
              </w:rPr>
              <w:t>Eixo</w:t>
            </w:r>
          </w:p>
        </w:tc>
        <w:tc>
          <w:tcPr>
            <w:tcW w:type="dxa" w:w="1134"/>
            <w:shd w:val="clear" w:color="auto" w:fill="F1F4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6"/>
              </w:rPr>
              <w:t>Sinalizadas</w:t>
            </w:r>
          </w:p>
        </w:tc>
        <w:tc>
          <w:tcPr>
            <w:tcW w:type="dxa" w:w="1474"/>
            <w:shd w:val="clear" w:color="auto" w:fill="F1F4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6"/>
              </w:rPr>
              <w:t>Carteira exposta</w:t>
            </w:r>
          </w:p>
        </w:tc>
        <w:tc>
          <w:tcPr>
            <w:tcW w:type="dxa" w:w="5896"/>
            <w:shd w:val="clear" w:color="auto" w:fill="F1F4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6"/>
              </w:rPr>
              <w:t>O que as distingue (mediana das sinalizadas × mediana do recorte)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Crescimento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47 de 258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7,0%</w:t>
            </w:r>
          </w:p>
        </w:tc>
        <w:tc>
          <w:tcPr>
            <w:tcW w:type="dxa" w:w="5896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14252B"/>
                <w:sz w:val="17"/>
              </w:rPr>
              <w:t>Cresce 27,9% a.a. real contra 7,0%; captações crescem 28,7% contra 13,0%; carteira avança 1,14× mais que o capital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Concentração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6 de 258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0,5%</w:t>
            </w:r>
          </w:p>
        </w:tc>
        <w:tc>
          <w:tcPr>
            <w:tcW w:type="dxa" w:w="5896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14252B"/>
                <w:sz w:val="17"/>
              </w:rPr>
              <w:t>100% da carteira PF em modalidades de alto risco contra 27,7%; crédito é 77,6% do ativo contra 57,9%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Deterioração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10 de 258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0,2%</w:t>
            </w:r>
          </w:p>
        </w:tc>
        <w:tc>
          <w:tcPr>
            <w:tcW w:type="dxa" w:w="5896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14252B"/>
                <w:sz w:val="17"/>
              </w:rPr>
              <w:t>Inadimplência de 8,61% contra 4,03%, com cobertura de provisões de 72,8% contra 154,8%; ativos problemáticos em 13,1% contra 7,0%</w:t>
            </w:r>
          </w:p>
        </w:tc>
      </w:tr>
    </w:tbl>
    <w:p>
      <w:pPr>
        <w:spacing w:before="60" w:after="80"/>
      </w:pPr>
      <w:r>
        <w:rPr>
          <w:rFonts w:ascii="Calibri" w:hAnsi="Calibri"/>
          <w:b/>
          <w:i w:val="0"/>
          <w:color w:val="14252B"/>
          <w:sz w:val="19"/>
        </w:rPr>
        <w:t xml:space="preserve">O dado que muda a leitura está na composição, não no número de destaque. </w:t>
      </w:r>
      <w:r>
        <w:rPr>
          <w:rFonts w:ascii="Calibri" w:hAnsi="Calibri"/>
          <w:b w:val="0"/>
          <w:i w:val="0"/>
          <w:color w:val="14252B"/>
          <w:sz w:val="19"/>
        </w:rPr>
        <w:t xml:space="preserve">Em deterioração, apenas 0,2% da carteira está em risco alto, mas </w:t>
      </w:r>
      <w:r>
        <w:rPr>
          <w:rFonts w:ascii="Calibri" w:hAnsi="Calibri"/>
          <w:b/>
          <w:i w:val="0"/>
          <w:color w:val="14252B"/>
          <w:sz w:val="19"/>
        </w:rPr>
        <w:t>59,0% está na faixa de atenção</w:t>
      </w:r>
      <w:r>
        <w:rPr>
          <w:rFonts w:ascii="Calibri" w:hAnsi="Calibri"/>
          <w:b w:val="0"/>
          <w:i w:val="0"/>
          <w:color w:val="14252B"/>
          <w:sz w:val="19"/>
        </w:rPr>
        <w:t xml:space="preserve"> — e em crescimento, 46,1%. O risco do trimestre é difuso, não concentrado numa ponta: não há instituição de porte em estresse agudo, há um contingente amplo acima da mediana dos pares em mais de um eixo simultaneamente.</w:t>
      </w:r>
    </w:p>
    <w:p>
      <w:pPr>
        <w:spacing w:before="160" w:after="60"/>
      </w:pPr>
      <w:r>
        <w:rPr>
          <w:rFonts w:ascii="Calibri" w:hAnsi="Calibri"/>
          <w:b/>
          <w:color w:val="025C75"/>
          <w:sz w:val="21"/>
        </w:rPr>
        <w:t>3. O achado central: crescimento que ainda não apareceu como perda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4252B"/>
          <w:sz w:val="19"/>
        </w:rPr>
        <w:t xml:space="preserve">Setenta instituições — 7,8% da carteira do recorte — crescem acima da mediana e, ao mesmo tempo, exibem inadimplência abaixo dela. Metade delas (35) provisiona abaixo da mediana do próprio quadrante. É a assinatura do </w:t>
      </w:r>
      <w:r>
        <w:rPr>
          <w:rFonts w:ascii="Calibri" w:hAnsi="Calibri"/>
          <w:b/>
          <w:i w:val="0"/>
          <w:color w:val="14252B"/>
          <w:sz w:val="19"/>
        </w:rPr>
        <w:t>efeito denominador</w:t>
      </w:r>
      <w:r>
        <w:rPr>
          <w:rFonts w:ascii="Calibri" w:hAnsi="Calibri"/>
          <w:b w:val="0"/>
          <w:i w:val="0"/>
          <w:color w:val="14252B"/>
          <w:sz w:val="19"/>
        </w:rPr>
        <w:t xml:space="preserve">: carteira nova infla o denominador da razão de inadimplência, e a safra recente ainda não maturou o suficiente para aparecer como atraso. A confirmação vem do indicador desenhado para corrigi-lo: entre as sinalizadas em deterioração, a inadimplência medida contra a carteira que de fato a originou — a de quatro trimestres antes — é de </w:t>
      </w:r>
      <w:r>
        <w:rPr>
          <w:rFonts w:ascii="Calibri" w:hAnsi="Calibri"/>
          <w:b/>
          <w:i w:val="0"/>
          <w:color w:val="B3261E"/>
          <w:sz w:val="19"/>
        </w:rPr>
        <w:t>10,18%, contra 8,61%</w:t>
      </w:r>
      <w:r>
        <w:rPr>
          <w:rFonts w:ascii="Calibri" w:hAnsi="Calibri"/>
          <w:b w:val="0"/>
          <w:i w:val="0"/>
          <w:color w:val="14252B"/>
          <w:sz w:val="19"/>
        </w:rPr>
        <w:t xml:space="preserve"> da medida corrente. São 1,6 ponto percentual de deterioração que a razão convencional não mostra, e que a supervisão veria com um ano de atraso.</w:t>
      </w:r>
    </w:p>
    <w:p>
      <w:pPr>
        <w:spacing w:before="160" w:after="60"/>
      </w:pPr>
      <w:r>
        <w:rPr>
          <w:rFonts w:ascii="Calibri" w:hAnsi="Calibri"/>
          <w:b/>
          <w:color w:val="025C75"/>
          <w:sz w:val="21"/>
        </w:rPr>
        <w:t>4. Recomendação de agenda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14252B"/>
          <w:sz w:val="19"/>
        </w:rPr>
        <w:t>Duas listas, porque são duas perguntas distintas — e elas não se sobrepõem.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3DBDF"/>
          <w:bottom w:val="single" w:sz="6" w:space="0" w:color="D3DBDF"/>
          <w:left w:val="none" w:sz="0" w:space="0" w:color="auto"/>
          <w:right w:val="none" w:sz="0" w:space="0" w:color="auto"/>
          <w:insideH w:val="single" w:sz="4" w:space="0" w:color="E4EAEC"/>
          <w:insideV w:val="none" w:sz="0" w:space="0" w:color="auto"/>
        </w:tblBorders>
      </w:tblPr>
      <w:tblGrid>
        <w:gridCol w:w="3364"/>
        <w:gridCol w:w="3364"/>
        <w:gridCol w:w="3364"/>
      </w:tblGrid>
      <w:tr>
        <w:tc>
          <w:tcPr>
            <w:tcW w:type="dxa" w:w="2268"/>
            <w:shd w:val="clear" w:color="auto" w:fill="F1F4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6"/>
              </w:rPr>
              <w:t>Lista</w:t>
            </w:r>
          </w:p>
        </w:tc>
        <w:tc>
          <w:tcPr>
            <w:tcW w:type="dxa" w:w="1474"/>
            <w:shd w:val="clear" w:color="auto" w:fill="F1F4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6"/>
              </w:rPr>
              <w:t>Alcance</w:t>
            </w:r>
          </w:p>
        </w:tc>
        <w:tc>
          <w:tcPr>
            <w:tcW w:type="dxa" w:w="6350"/>
            <w:shd w:val="clear" w:color="auto" w:fill="F1F4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6"/>
              </w:rPr>
              <w:t>Diagnóstico e encaminhamento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Atípicas no grupo de pares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21 IFs · R$ 82,0 bi · 1,1% da carteira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14252B"/>
                <w:sz w:val="17"/>
              </w:rPr>
              <w:t>Dominada por cooperativas de crédito de R$ 1 a 3 bilhões, com scores entre 0,709 e 0,754. Atipicidade alta dentro do próprio tipo, consequência sistêmica baixa. Encaminhamento: exame por amostragem, com prioridade para as que combinam crescimento e provisionamento abaixo do quadrante.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Grandes com sinal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14 IFs · R$ 6,37 tri · 82% da carteira</w:t>
            </w:r>
          </w:p>
        </w:tc>
        <w:tc>
          <w:tcPr>
            <w:tcW w:type="dxa" w:w="635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14252B"/>
                <w:sz w:val="17"/>
              </w:rPr>
              <w:t>Nenhuma atinge risco alto no score final — o maior é 0,586. Duas concentram a prioridade por cruzarem escala com crescimento atípico: Nu Pagamentos (R$ 147,6 bi, crescimento alto) e Banco C6 (R$ 94,6 bi, crescimento alto). A Caixa Econômica Federal aparece em terceiro, com sinal médio nos três eixos.</w:t>
            </w:r>
          </w:p>
        </w:tc>
      </w:tr>
    </w:tbl>
    <w:p>
      <w:pPr>
        <w:spacing w:before="60" w:after="80"/>
      </w:pPr>
      <w:r>
        <w:rPr>
          <w:rFonts w:ascii="Calibri" w:hAnsi="Calibri"/>
          <w:b/>
          <w:i w:val="0"/>
          <w:color w:val="14252B"/>
          <w:sz w:val="19"/>
        </w:rPr>
        <w:t xml:space="preserve">Conclusão operacional. </w:t>
      </w:r>
      <w:r>
        <w:rPr>
          <w:rFonts w:ascii="Calibri" w:hAnsi="Calibri"/>
          <w:b w:val="0"/>
          <w:i w:val="0"/>
          <w:color w:val="14252B"/>
          <w:sz w:val="19"/>
        </w:rPr>
        <w:t>O ciclo não indica estresse agudo em nenhuma instituição de porte relevante. Indica um padrão difuso de expansão acelerada com provisionamento que não acompanha — precisamente o que a supervisão precisa examinar antes de virar inadimplência observada. A agenda recomendada é de verificação preventiva, não de intervenção.</w:t>
      </w:r>
    </w:p>
    <w:p>
      <w:pPr>
        <w:spacing w:before="160" w:after="60"/>
      </w:pPr>
      <w:r>
        <w:rPr>
          <w:rFonts w:ascii="Calibri" w:hAnsi="Calibri"/>
          <w:b/>
          <w:color w:val="025C75"/>
          <w:sz w:val="21"/>
        </w:rPr>
        <w:t>5. Limites deste diagnóstico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4252B"/>
          <w:sz w:val="19"/>
        </w:rPr>
        <w:t>O diagnóstico vale para 03/2026 e não se estende a 2025 no eixo de crescimento: a Res. CMN 4.966/2021 alterou a definição da carteira e toda comparação de doze meses que atravessa 01/2025 foi anulada, por medir a mudança contábil e não o ciclo de crédito. O eixo de deterioração tem apenas cinco trimestres de histórico, porque quatro dos seis indicadores só passam a existir no regime de perda esperada. O score mede atipicidade dentro do grupo de pares: um valor alto significa afastamento do padrão do próprio tipo de instituição, e não irregularidade, insolvência ou relevância sistêmica — daí a necessidade das duas listas. O painel tampouco enxerga safra, devedor individual ou exposição fora do balanço.</w:t>
      </w:r>
    </w:p>
    <w:p>
      <w:pPr>
        <w:spacing w:before="60" w:after="80"/>
        <w:pBdr>
          <w:bottom w:val="single" w:sz="6" w:space="4" w:color="D3DBDF"/>
        </w:pBdr>
      </w:pPr>
      <w:r>
        <w:rPr>
          <w:rFonts w:ascii="Calibri" w:hAnsi="Calibri"/>
          <w:b w:val="0"/>
          <w:i w:val="0"/>
          <w:color w:val="3A4A51"/>
          <w:sz w:val="16"/>
        </w:rPr>
        <w:t>Todos os números deste relatório são reproduzíveis no painel, no recorte declarado no cabeçalho, e rastreáveis até a fonte oficial pelas notas de verificação do repositório.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Calibri" w:hAnsi="Calibri"/>
      <w:color w:val="1425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Diagnóstico — Painel decisório de crédito</dc:title>
  <dc:subject/>
  <dc:creator>Tomaz Leal, Roberto Gomides e Diana Cabral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