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before="0" w:after="40"/>
      </w:pPr>
      <w:r>
        <w:rPr>
          <w:rFonts w:ascii="Calibri" w:hAnsi="Calibri"/>
          <w:b/>
          <w:i w:val="0"/>
          <w:color w:val="025C75"/>
          <w:sz w:val="48"/>
        </w:rPr>
        <w:t>CADERNO DE PROCESSO</w:t>
      </w:r>
    </w:p>
    <w:p>
      <w:pPr>
        <w:spacing w:before="0" w:after="280"/>
        <w:pBdr>
          <w:bottom w:val="single" w:sz="12" w:space="6" w:color="EDD297"/>
        </w:pBdr>
      </w:pPr>
      <w:r>
        <w:rPr>
          <w:rFonts w:ascii="Calibri" w:hAnsi="Calibri"/>
          <w:b w:val="0"/>
          <w:i w:val="0"/>
          <w:color w:val="14252B"/>
          <w:sz w:val="28"/>
        </w:rPr>
        <w:t>Painel decisório de crédito — Supervisão do Banco Central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3A4A51"/>
          <w:sz w:val="22"/>
        </w:rPr>
        <w:t>Trabalho Intermediário · FGV · Prof. Genaro Lins</w:t>
      </w:r>
    </w:p>
    <w:p>
      <w:pPr>
        <w:spacing w:before="0" w:after="320"/>
      </w:pPr>
      <w:r>
        <w:rPr>
          <w:rFonts w:ascii="Calibri" w:hAnsi="Calibri"/>
          <w:b w:val="0"/>
          <w:i w:val="0"/>
          <w:color w:val="3A4A51"/>
          <w:sz w:val="22"/>
        </w:rPr>
        <w:t>Grupo: Tomaz Leal, Roberto Gomides e Diana Cabral</w:t>
      </w:r>
    </w:p>
    <w:p>
      <w:pPr>
        <w:spacing w:before="0" w:after="240"/>
      </w:pPr>
      <w:r>
        <w:rPr>
          <w:rFonts w:ascii="Calibri" w:hAnsi="Calibri"/>
          <w:b w:val="0"/>
          <w:i w:val="0"/>
          <w:color w:val="3A4A51"/>
          <w:sz w:val="21"/>
        </w:rPr>
        <w:t>Este caderno registra como o painel foi construído com apoio de ferramenta de IA: os comandos dados, o que foi aceito e o que foi recusado, os erros que a ferramenta cometeu e o grupo identificou, e o que mudou entre a concepção do checkpoint e a entrega final. O critério de organização é conceitual: registram-se as decisões que alteraram o resultado, não o histórico exaustivo de edições.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 xml:space="preserve">Princípio que governou o trabalho, fixado no comando inicial e nunca relaxado: </w:t>
      </w:r>
      <w:r>
        <w:rPr>
          <w:rFonts w:ascii="Calibri" w:hAnsi="Calibri"/>
          <w:b/>
          <w:i w:val="0"/>
          <w:color w:val="14252B"/>
          <w:sz w:val="21"/>
        </w:rPr>
        <w:t>todo número exibido tem de ser rastreável até a fonte oficial; o que não for verificável fica vazio e vira pendência registrada.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1. Prompts relevantes, na ordem de uso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Os comandos abaixo são reproduzidos na íntegra e na sequência em que foram dados. Estão agrupados em cinco fases, que correspondem à evolução real do projeto: da coleta verificada à calibração da visualização. Comandos operacionais repetidos — reinício de servidor, publicação, confirmações curtas — foram omitidos por não terem alterado decisão de conteúdo.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1 — Concepção, coleta e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 comando inaugural definiu persona, pergunta decisória, fontes admitidas, estrutura de seis indicadores e quatro visualizações por pergunta, e a sequência obrigatória de tarefas. Suas cláusulas determinantes: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“Todo número do painel precisa ser rastreável até a fonte oficial, com data de extração e código/recorte da série. NUNCA gere, estime, arredonde de memória ou complete um número. Se não tiver o dado, deixe o campo VAZIO e registre a pendência. Um único número não rastreável zera o critério de verificação.”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“Fontes permitidas: BCB/SGS, BCB/IF.data, SCR agregado (BCB), Estban (BCB). IBGE/Ipeadata apenas como deflator/apoio.”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“Para cada série, gere automaticamente uma ‘nota de verificação’: fonte, URL/endpoint, código da série, recorte, unidade, data de extração e um print/hash do arquivo bruto.”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“NÃO defina tema, paleta ou layout por conta própria.”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“Comece pela TAREFA 1 e 2. Não avance para gráficos antes de os dados estarem baixados, as notas de verificação criadas e eu ter respondido às perguntas de tema/estrutura da TAREFA 5. A cada indicador, me mostre a fonte antes de plotar.”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“troque o P2 nº 5 por outro indicador com fonte direta”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2 — Interface, edição de textos e publicação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“Abriu, mas agora eu quero ser capaz de mudar e editar alguns textos. Além disso, quero aprimorar a visualização da página (algo como em scrutiniums.com/observatorio/leading-signals). Como faço ambos?”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 abertura do painel de filtro está desconfigurada. Ademais, a seção de filtro pode ser mais bem trabalhada… (hoje não sei as siglas dos campos do filtro, talvez um breve dicionário facilitaria o uso). Ao final de cada pagina das perguntas também está aparecendo um erro de configuração (nas partes que dizem ‘referência - contra o que isto deve ser comparado’)”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“Essa parte ficou visualmente legal, mas tenho dúvidas sobre o seu conteúdo. Por exemplo, o que é o ‘0,55’ e ‘0,51’, qual é a métrica? … Existem termos que precisam ser decifrados: ‘HHI do sistema’, ‘CR5’ … ‘credit gap’ e outros, abaixo dos cards, porque foram selecionados ali e qual a sua interpretação? Ademais, eu alterei o texto em ‘textos.toml’ para colocar negrito em ‘**Grupo**’, mas não alterou diretamente no app… O que fiz errado? Outra dúvida: se eu quiser aumentar um pouco o tamanho do texto em alguma parte, é possível? como?”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“Mude a paleta de cores do painel para algo mais próximo do banco central (não precisa ser igual, mas já que nosso grupo com esse papel acho que faz sentido).”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3 — Rastreabilidade do critério e material de apresentação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“Na imagem em anexo, na parte de agenda de supervisão, faltam algumas informações, por exemplo: qual foi o corte para definição de supervisão (score maior do que 0,6?) Além disso, o que significa o número na coluna ‘#’? … Ademais, não ficou claro pra mim ainda a ideia do score de posição relativa. O que ele diz e por que ele é relevante nesse contexto? Não precisa alterar diretamente, tente me explicar por aqui antes para tomada de decisão.”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“O painel será apresentado pelo grupo. Faça um relatório com a descrição das variáveis utilizadas em cada um dos componentes, com suas justificativas e como elas interagem para compor o score, assim como todas as transformações e fonte de dados primárias. Além disso, me mostre na pasta aonde estão os dados brutos e os transformados para checagem (será necessário mostrar no dia da apresentação). Por fim, é preciso deixar a base de dados e a programação pronta para eventuais trocas de indicadores ‘ao vivo’…”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“Utilizando a P3 como exemplo, eu não consigo relacionar os 6 indicadores com as instituições selecionadas nesse eixo. Me explique como foram selecionadas as instituições com base nesse eixo e como elas interagem com as demais.”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“me explique melhor o cálculo do percentil para chegar ao score em cada uma das Perguntas. Me explique também o que é TCB. Para ficar claro, me mostre com exemplos.”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4 — Detecção de erro e rigor metodológico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Esta é a fase decisiva do projeto. Os comandos abaixo originaram as correções documentadas na seção 3.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“Reveja então a página do P1, P2 e P3 para mostrar não apenas a mediana dos selecionados, mas também a mediana do recorte. Além disso, a página deve mostrar as instituições selecionadas em cada uma das perguntas. Além disso, P1 e P2 mostram um crescimento abrupto muito acelerado em seus gráficos na página de visão geral.”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“não gostei como ficaram os gráficos. O de crescimento não corrigiu o necessário, o comportamento do gráfico segue completamente atípico. É preciso minimamente entender o comportamento. O de deterioração também não faz sentido, temos tão poucos dados assim? como isso está afetando a página e indicadores do p3? as 10 instituições selecionadas foram consideradas nessa série de tempo tão curta? Temos que pensar em soluções e melhorias.”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“Em P1, em 2025 a Res. 4.966 mudou a definição da carteira, mas os dados de 2025 permanecem no gráfico. Há apenas um indicador em P1 que tem apenas dados dos últimos 7 trimestres, porque? Coloque a justificativa na página do p1. O impacto da série menor desse indicador na série histórica de p1 tem que ficar claro. […] a série está completa, mas há uma clara quebra estrutural entre 2022 e 2025 no gráfico da visão geral, o que justifica isso. Tem que estar claro.”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“Em relação à descontinuidade, na prática a taxa de crescimento de P1 calculada não contempla as instituições não pareadas na troca de regimes entre a Res. 2.682/1999 e Res. 4.966, é isso?”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“avalie reconstruir a série compatibilizando os regimes entre a Res. 2.682/1999 e Res. 4.966 (avalie o impacto e me pergunte antes de executar)”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“aplique a opção (a) na decisão 1”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“troque o p1_3 por crescimento das captações”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Fase 5 — Visualização, escopo dos indicadores e consistência com os filtros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“Quero mudar os gráficos de P1, P2 e P3. Não faz sentido gráficos de séries de tempo em indicadores com buracos. Pense em um boxplot do mês de referência escolhido ou algum outro tipo de gráfico que consiga mostrar a fotografia do trimestre. Me pergunte e me mostre uma prévia antes de aplicar. / Mantenha a informação explicativa de Cobertura de cada indicador, pois ela é importante.”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“aplique a variante D · Híbrido A+C; retire a linha ‘▼ X em 12 meses’; troque a linha ‘série: X a Y em N trim.’ por distribuição do recorte em 03/2026 · p10 X · p90 Y, como está na prévia.”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“Na P2, o HHI do sistema e o CR5 são um problema, pois os dados para todas as instituições são iguais, impactando o score e os respectivos gráficos. Me proponha soluções para corrigir.”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“O HHI do sistema e o CR5 não estão atualizando conforme eu mudo a seleção de instituições ou carteira nos filtro.”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“sim, varra os 36 indicadores. Além disso, reveja os gráficos de P1, P2 e P3, eles não estão atualizando conforme eu mudo a seleção de instituições ou carteira nos filtro: eles devem mostrar destaques e/ou as selecionadas.”</w:t>
      </w:r>
    </w:p>
    <w:p>
      <w:pPr>
        <w:spacing w:before="60" w:after="140"/>
        <w:ind w:left="340"/>
        <w:pBdr>
          <w:left w:val="single" w:sz="12" w:space="8" w:color="025C75"/>
        </w:pBdr>
      </w:pPr>
      <w:r>
        <w:rPr>
          <w:rFonts w:ascii="Calibri" w:hAnsi="Calibri"/>
          <w:b w:val="0"/>
          <w:i/>
          <w:color w:val="3A4A51"/>
          <w:sz w:val="19"/>
        </w:rPr>
        <w:t>“em alguns gráficos ainda está claro as instituições que aparecem nele (qual critério?), estão com a visualização ruim ou não é possível selecionar outras instituições. […] Não faça mudanças bruscas sem me avisar, me proponha soluções.”</w:t>
      </w:r>
    </w:p>
    <w:p>
      <w:pPr>
        <w:spacing w:before="20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Padrão de comando que se firmou ao longo do projeto. </w:t>
      </w:r>
      <w:r>
        <w:rPr>
          <w:rFonts w:ascii="Calibri" w:hAnsi="Calibri"/>
          <w:b w:val="0"/>
          <w:i w:val="0"/>
          <w:color w:val="14252B"/>
          <w:sz w:val="21"/>
        </w:rPr>
        <w:t>Três formulações aparecem repetidamente e explicam a qualidade do resultado: exigir explicação antes da alteração (“não precisa alterar diretamente, tente me explicar por aqui antes”), exigir proposta antes da execução (“me proponha soluções”, “me pergunte e me mostre uma prévia antes de aplicar”) e recusar a primeira entrega insatisfatória sem aceitar remendo (“não gostei como ficaram os gráficos… é preciso minimamente entender o comportamento”). Cada uma dessas recusas expôs um defeito real, não uma preferência estética.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2. Aceites e rejeições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tabela registra o que foi incorporado da saída da ferramenta, o que foi descartado e a razão. A coluna “Decisão” distingue três situações: aceito integralmente, aceito com modificação imposta pelo grupo, e rejeitado.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2.1 Arquitetura e método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272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Proposta da ferramenta</w:t>
            </w:r>
          </w:p>
        </w:tc>
        <w:tc>
          <w:tcPr>
            <w:tcW w:type="dxa" w:w="15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Decisão</w:t>
            </w:r>
          </w:p>
        </w:tc>
        <w:tc>
          <w:tcPr>
            <w:tcW w:type="dxa" w:w="5386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Motivo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Score por percentil dentro do grupo de pares (mesmo TCB), média dos indicadores disponíveis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Aceito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Resolve a incomparabilidade de nível entre uma cooperativa singular e um banco S1: 15% de crescimento não significam a mesma coisa nos dois. Percentil compara posição, não magnitude.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Lista única priorizada por score final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score mede atipicidade no grupo de pares, não relevância sistêmica. Com lista única, os cinco maiores bancos do país apareciam entre a 548ª e a 1046ª posição e a agenda cobria 1% da carteira. Substituído por duas agendas, com critérios distintos e declarados.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Dado ausente tratado como zero no cálculo do score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Zero afirma “sem risco”; ausência afirma “não medido”. Adotou-se a média dos percentis disponíveis, com o dado ausente reduzindo o divisor.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Publicar score de eixo calculado sobre qualquer número de indicadores disponíveis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Um score feito de 1 de 6 indicadores não é a mesma medida que um feito de 6, e comparar os dois no tempo é inválido. Exigiu-se metade dos indicadores do eixo, com piso de dois.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Corte de 0,75 para risco alto, fixo no código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Aceito com modificação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valor permanece como padrão — o quartil superior do grupo de pares —, mas passou a ser ajustável na interface: é convenção de triagem, não exigência normativa, e quem discorda precisa poder testar o efeito na hora.</w:t>
            </w:r>
          </w:p>
        </w:tc>
      </w:tr>
    </w:tbl>
    <w:p>
      <w:pPr>
        <w:spacing w:after="80"/>
      </w:pP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2.2 Indicadores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272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Proposta da ferramenta</w:t>
            </w:r>
          </w:p>
        </w:tc>
        <w:tc>
          <w:tcPr>
            <w:tcW w:type="dxa" w:w="15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Decisão</w:t>
            </w:r>
          </w:p>
        </w:tc>
        <w:tc>
          <w:tcPr>
            <w:tcW w:type="dxa" w:w="5386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Motivo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P2 nº 5 como ticket médio (carteira ÷ nº de clientes), proxy de concentração em poucos devedores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É proxy, não medida: um banco com muitos clientes grandes aparece igual a um com poucos. Substituído pela fatia da carteira PJ em tomadores de grande porte, com fonte direta por instituição no IF.data.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P1 nº 3 como trimestres consecutivos acima de 15%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 ao final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Após o tratamento da quebra contábil, a contagem reinicia na lacuna de 2025 e o indicador passou a assumir apenas dois valores distintos entre 258 instituições — percentil sem poder de discriminação. Substituído pelo crescimento real das captações, que mede outro canal de risco: a pressão de funding.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HHI do sistema e CR5 entre os seis indicadores de P2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São de escopo sistêmico: um único valor por trimestre, idêntico para todas as instituições. Nunca geraram percentil, mas ocupavam duas das seis vagas, deixando P2 com base de quatro percentis contra seis de P1 e P3. Passaram a compor uma faixa de contexto, lida contra os limiares de referência.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Reconstrução da série de crescimento sobre a “Carteira de crédito ativa”, para recuperar 2025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 após construção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Detalhado no Episódio 5. A evidência que sustentava a proposta vinha de amostra viesada; o teste correto mostrou que a série não é fonte independente antes de 2025.</w:t>
            </w:r>
          </w:p>
        </w:tc>
      </w:tr>
    </w:tbl>
    <w:p>
      <w:pPr>
        <w:spacing w:after="80"/>
      </w:pP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2.3 Visualização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272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Proposta da ferramenta</w:t>
            </w:r>
          </w:p>
        </w:tc>
        <w:tc>
          <w:tcPr>
            <w:tcW w:type="dxa" w:w="15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Decisão</w:t>
            </w:r>
          </w:p>
        </w:tc>
        <w:tc>
          <w:tcPr>
            <w:tcW w:type="dxa" w:w="5386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Motivo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Minissérie temporal nos cartões de indicador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Os indicadores cobrem 3, 21, 25 e 29 trimestres, vários com lacuna no meio. Uma linha sobre série esparsa desenha continuidade onde não há dado, e exigia três linhas de ressalva por cartão. Substituída pela distribuição do trimestre selecionado, que não depende de histórico.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Autoescala nos gráficos de série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Fazia uma variação de 0,1% a 0,4% ocupar a altura inteira do cartão, com o mesmo drama de uma variação de 0% a 40%.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Escala logarítmica para acomodar valores extremos na distribuição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Acomoda tudo, mas é de leitura difícil em apresentação. Adotou-se a escala do p05 ao p95 do recorte, com os valores fora da escala contados em texto — nunca desenhados fora de proporção.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Marcador circular para a mediana das sinalizadas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 desenho estica com a largura da coluna, e um círculo vira elipse em tela larga. Substituído por traço vertical, imune ao esticamento.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Ampliar a margem inferior para resolver a sobreposição da legenda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Não resolveu: legenda e título de eixo ficam ancorados no mesmo ponto, e mais espaço apenas afasta os dois juntos. A legenda foi realocada para cima do gráfico.</w:t>
            </w:r>
          </w:p>
        </w:tc>
      </w:tr>
      <w:tr>
        <w:tc>
          <w:tcPr>
            <w:tcW w:type="dxa" w:w="272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Gráficos selecionando instituições pelo maior valor do indicador</w:t>
            </w:r>
          </w:p>
        </w:tc>
        <w:tc>
          <w:tcPr>
            <w:tcW w:type="dxa" w:w="15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Rejeitado</w:t>
            </w:r>
          </w:p>
        </w:tc>
        <w:tc>
          <w:tcPr>
            <w:tcW w:type="dxa" w:w="5386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No filtro HP, selecionava séries de 1 e 4 pontos, porque gap alto e série curta andam juntos. No mapa regional, selecionava quem é monorregional por construção — 7 de 12 com mais de 95% numa única região. Critério trocado para as maiores por carteira entre as sinalizadas.</w:t>
            </w:r>
          </w:p>
        </w:tc>
      </w:tr>
    </w:tbl>
    <w:p>
      <w:pPr>
        <w:spacing w:after="80"/>
      </w:pP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2.4 O que foi aceito sem reservas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Estrutura de quatro abas mais visão geral, com Leitura e Consequência visíveis e Referência retrátil em cada visualização.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Carteira exposta a risco alto — a fatia da carteira em instituições sinalizadas — como número de destaque, no lugar da mediana dos scores, que, sendo percentil, tem mediana 0,50 por construção e quase não varia.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Camada de verificação automatizada: manifesto de coleta com URL, hora, SHA-256 e tamanho de cada arquivo bruto; prova de decodificação dígito a dígito contra a tela oficial do IF.data; validação cruzada contra SGS e SCR.</w:t>
      </w:r>
    </w:p>
    <w:p>
      <w:pPr>
        <w:pStyle w:val="ListBullet"/>
        <w:spacing w:after="80"/>
      </w:pPr>
      <w:r>
        <w:rPr>
          <w:rFonts w:ascii="Calibri" w:hAnsi="Calibri"/>
          <w:color w:val="14252B"/>
          <w:sz w:val="21"/>
        </w:rPr>
        <w:t>Configuração por arquivo de texto, separando conteúdo de código: textos, tamanhos de fonte e a seleção dos seis indicadores por pergunta passaram a ser editáveis sem programar.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3. Episódios de erro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Cinco episódios em que a ferramenta produziu resultado incorreto e o grupo identificou. Todos partiram de uma inconsistência percebida na tela; nenhum foi encontrado por revisão de código. Para cada um registram-se o erro, o gatilho da detecção, a evidência quantitativa de antes e depois, e a trava introduzida para impedir a recorrência.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1 — Agregação errada: quebra contábil não detectada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agregação errada.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A ferramenta encadeou a série de crédito através de 01/2025 sem identificar que a Res. CMN 4.966/2021 trocou a conta do relatório Resumo: “Carteira de Crédito Classificada” (até 12/2024) passou a “Carteira de Crédito”. Não é mudança de rótulo — é outra medida, e os relatórios ainda migraram de universo, do tipo 1005 para o 1009. Toda comparação de doze meses que atravessa essa data passou a medir a mudança contábil.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observou que os gráficos de crescimento exibiam comportamento incompatível com o ciclo de crédito e recusou a primeira correção proposta, exigindo o entendimento do mecanismo antes de qualquer ajuste.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21"/>
        </w:rPr>
        <w:t>Evidência — o degrau, medido no universo prudencial, com os mesmos códigos dos dois lados: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317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12/2024</w:t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03/2025</w:t>
            </w:r>
          </w:p>
        </w:tc>
        <w:tc>
          <w:tcPr>
            <w:tcW w:type="dxa" w:w="226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Variação em um trimestre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Itaú — carteira de crédito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R$ 1.088,0 bi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R$ 1.187,8 bi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+9,2%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Universo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R$ 7,57 tri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R$ 7,65 tri</w:t>
            </w:r>
          </w:p>
        </w:tc>
        <w:tc>
          <w:tcPr>
            <w:tcW w:type="dxa" w:w="226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+1,1%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51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Antes</w:t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Depois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exposta a risco de crescimento em 2025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40,7%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1,2% a 1,9%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Instituições sinalizadas em crescimento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Itaú, Bradesco e BNDES entre elas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Nenhuma: o eixo fica sem score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Trimestres de P1 com dado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25 de 29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21 de 29, com a lacuna declarada</w:t>
            </w:r>
          </w:p>
        </w:tc>
      </w:tr>
    </w:tbl>
    <w:p>
      <w:pPr>
        <w:spacing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21"/>
        </w:rPr>
        <w:t>Correção. Todo indicador que compara t com t−4 fica vazio nas quatro data-bases de 2025. Perde-se um ano de P1; a alternativa era publicar crescimento produzido pela mudança contábil. 2026Q1 não é afetado, porque suas duas pontas são posteriores à quebra.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Desdobramento. </w:t>
      </w:r>
      <w:r>
        <w:rPr>
          <w:rFonts w:ascii="Calibri" w:hAnsi="Calibri"/>
          <w:b w:val="0"/>
          <w:i w:val="0"/>
          <w:color w:val="14252B"/>
          <w:sz w:val="21"/>
        </w:rPr>
        <w:t>Anular as comparações deixou P1 com um único indicador em 2025, e o score continuava sendo calculado sobre esse fragmento. Daí nasceu a regra do mínimo de indicadores por eixo, que revelou também que P3 não é calculável antes de 2025.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2 — Gráfico que sugere conclusão que o dado não sustenta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visualização enganosa.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A minissérie dos cartões era construída agrupando por trimestre apenas as instituições sinalizadas. Num trimestre em que ninguém é sinalizado, o agrupamento não gera grupo algum e a data-base simplesmente desaparece do índice, em vez de chegar como valor ausente. A série de P1 ficava com 21 pontos contíguos em lugar de 29 com lacuna, e a linha ligava 2024Q4 diretamente a 2026Q1 — desenhando continuidade exatamente sobre o ano que o painel declarava, por escrito, não saber medir.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Agravante. </w:t>
      </w:r>
      <w:r>
        <w:rPr>
          <w:rFonts w:ascii="Calibri" w:hAnsi="Calibri"/>
          <w:b w:val="0"/>
          <w:i w:val="0"/>
          <w:color w:val="14252B"/>
          <w:sz w:val="21"/>
        </w:rPr>
        <w:t>O mesmo defeito contaminava o rótulo de variação. O cartão exibia “▼ 0,2 em 12 meses”, mas as duas pontas comparadas eram 03/2026 e 03/2024: uma distância de dois anos apresentada como um.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pediu a explicação do que o gráfico representava e a partir de que dados. A inconsistência apareceu ao confrontar o rótulo com o número de trimestres declarado no próprio cartão.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</w:r>
          </w:p>
        </w:tc>
        <w:tc>
          <w:tcPr>
            <w:tcW w:type="dxa" w:w="328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Antes</w:t>
            </w:r>
          </w:p>
        </w:tc>
        <w:tc>
          <w:tcPr>
            <w:tcW w:type="dxa" w:w="328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Depois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Pontos no índice da série de P1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21 contíguos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29, com 8 ausentes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Comportamento na lacuna de 2025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Linha contínua sobre o vazio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Faixa de lacuna desenhada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Ponta comparada como “12 meses”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03/2024 — 24 meses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03/2025 — 12 meses</w:t>
            </w:r>
          </w:p>
        </w:tc>
      </w:tr>
      <w:tr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Rótulo exibido em P1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“▼ 0,2 em 12 meses”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“sem comparação de 12 meses — há lacuna 4 trimestres atrás”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Decisão final do grupo. </w:t>
      </w:r>
      <w:r>
        <w:rPr>
          <w:rFonts w:ascii="Calibri" w:hAnsi="Calibri"/>
          <w:b w:val="0"/>
          <w:i w:val="0"/>
          <w:color w:val="14252B"/>
          <w:sz w:val="21"/>
        </w:rPr>
        <w:t>Corrigido o defeito, o grupo julgou que série temporal não é a forma adequada para indicadores com cobertura desigual e determinou a substituição por uma fotografia do trimestre: histograma da distribuição do recorte, intervalo interquartil com a mediana, e marcação de cada instituição sinalizada. A cobertura temporal, que continua sendo informação relevante, foi preservada em bloco explicativo próprio.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3 — Denominador do conjunto: indicadores que ignoravam o recorte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denominador trocado.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HHI e CR5 eram calculados na construção da base, sobre as 1.403 instituições de cada trimestre, e gravados como coluna constante. Concentração, porém, é propriedade do conjunto que se escolhe olhar: mudando o recorte, o número tem de mudar. Nenhum filtro da interface os alcançava.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alterou os filtros e observou que os dois números permaneciam idênticos.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419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Recorte</w:t>
            </w:r>
          </w:p>
        </w:tc>
        <w:tc>
          <w:tcPr>
            <w:tcW w:type="dxa" w:w="1247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Nº de IFs</w:t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HHI</w:t>
            </w:r>
          </w:p>
        </w:tc>
        <w:tc>
          <w:tcPr>
            <w:tcW w:type="dxa" w:w="2098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CR5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Universo inteiro — valor exibido em todos os casos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1.403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951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64,8%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≥ R$ 1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258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990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66,1%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Bancos com carteira ≥ R$ 1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239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1.053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68,3%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≥ R$ 10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47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1.169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71,9%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Carteira ≥ R$ 100 bi</w:t>
            </w:r>
          </w:p>
        </w:tc>
        <w:tc>
          <w:tcPr>
            <w:tcW w:type="dxa" w:w="1247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9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1.623</w:t>
            </w:r>
          </w:p>
        </w:tc>
        <w:tc>
          <w:tcPr>
            <w:tcW w:type="dxa" w:w="2098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85,0%</w:t>
            </w:r>
          </w:p>
        </w:tc>
      </w:tr>
    </w:tbl>
    <w:p>
      <w:pPr>
        <w:spacing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14252B"/>
          <w:sz w:val="21"/>
        </w:rPr>
        <w:t>O erro tinha consequência de leitura, e não apenas de precisão: no recorte dos nove maiores, o HHI verdadeiro — 1.623 — cruza o limiar de 1.500 e classifica o conjunto como moderadamente concentrado, enquanto o valor exibido — 951 — o classificava como desconcentrado.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Correção e trava. </w:t>
      </w:r>
      <w:r>
        <w:rPr>
          <w:rFonts w:ascii="Calibri" w:hAnsi="Calibri"/>
          <w:b w:val="0"/>
          <w:i w:val="0"/>
          <w:color w:val="14252B"/>
          <w:sz w:val="21"/>
        </w:rPr>
        <w:t>Os dois passaram a ser recalculados sobre o recorte vigente, com o valor do universo preservado como marca de referência. Em seguida, por determinação do grupo, varreram-se os 36 indicadores do catálogo à procura do mesmo padrão: apenas esses dois eram de escopo sistêmico, e os 33 demais têm valor idêntico dentro e fora do recorte, como devem ter. A varredura ficou como teste permanente.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4 — Cartão exibindo dois trimestres ao mesmo tempo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seleção temporal incorreta.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O número de destaque dos cartões da visão geral era lido como “último valor não vazio da série inteira”, e não como “valor do trimestre selecionado”. A barra de composição logo abaixo, essa sim, obedecia à seleção. O cartão passou a apresentar dois trimestres diferentes simultaneamente.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A detecção. </w:t>
      </w:r>
      <w:r>
        <w:rPr>
          <w:rFonts w:ascii="Calibri" w:hAnsi="Calibri"/>
          <w:b w:val="0"/>
          <w:i w:val="0"/>
          <w:color w:val="14252B"/>
          <w:sz w:val="21"/>
        </w:rPr>
        <w:t>O grupo trocou a data-base para 12/2025 e observou que o número principal não se alterava.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17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Com 12/2025 selecionado</w:t>
            </w:r>
          </w:p>
        </w:tc>
        <w:tc>
          <w:tcPr>
            <w:tcW w:type="dxa" w:w="32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Antes</w:t>
            </w:r>
          </w:p>
        </w:tc>
        <w:tc>
          <w:tcPr>
            <w:tcW w:type="dxa" w:w="323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Depois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Número de destaque de P1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7,2% — valor de 03/2026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Vazio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Composição da carteira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12/2025, correta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12/2025, correta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Leitura resultante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Dois trimestres no mesmo cartão</w:t>
            </w:r>
          </w:p>
        </w:tc>
        <w:tc>
          <w:tcPr>
            <w:tcW w:type="dxa" w:w="323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Um trimestre, com a ausência declarada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Correção. O número passou a ser calculado sobre o corte transversal selecionado, e devolve vazio — nunca zero — quando nenhuma instituição do recorte tem score no eixo. O cartão declara: “não é ausência de risco, é ausência de medida”. A trava percorre as 29 data-bases e exige que o número coincida com a fatia de risco alto da composição do mesmo trimestre.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Episódio 5 — Análise correta em aparência, sustentada por amostra viesada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Categoria: </w:t>
      </w:r>
      <w:r>
        <w:rPr>
          <w:rFonts w:ascii="Calibri" w:hAnsi="Calibri"/>
          <w:b w:val="0"/>
          <w:i w:val="0"/>
          <w:color w:val="14252B"/>
          <w:sz w:val="21"/>
        </w:rPr>
        <w:t>inferência incorreta a partir de recorte enviesado — o episódio conceitualmente mais relevante.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contexto. </w:t>
      </w:r>
      <w:r>
        <w:rPr>
          <w:rFonts w:ascii="Calibri" w:hAnsi="Calibri"/>
          <w:b w:val="0"/>
          <w:i w:val="0"/>
          <w:color w:val="14252B"/>
          <w:sz w:val="21"/>
        </w:rPr>
        <w:t>Ao ser questionada sobre o tratamento das instituições não pareadas na troca de regimes, a ferramenta investigou alternativas para reconstruir a série de 2025 e concluiu que a família de relatórios “Carteira de crédito ativa” atravessava a quebra sem degrau. O grupo autorizou a execução com base nessa evidência.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O erro. </w:t>
      </w:r>
      <w:r>
        <w:rPr>
          <w:rFonts w:ascii="Calibri" w:hAnsi="Calibri"/>
          <w:b w:val="0"/>
          <w:i w:val="0"/>
          <w:color w:val="14252B"/>
          <w:sz w:val="21"/>
        </w:rPr>
        <w:t>O teste que sustentava a conclusão comparava a série entre 12/2024 e 03/2025 — mas esse pareamento só existe para as instituições cujo código não mudou, isto é, exatamente aquelas para as quais a quebra de identidade nunca existiu. Os grandes bancos ficavam fora da amostra por construção. Mediu-se continuidade no subconjunto que nunca teve o problema.</w:t>
      </w: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Como o erro se revelou. </w:t>
      </w:r>
      <w:r>
        <w:rPr>
          <w:rFonts w:ascii="Calibri" w:hAnsi="Calibri"/>
          <w:b w:val="0"/>
          <w:i w:val="0"/>
          <w:color w:val="14252B"/>
          <w:sz w:val="21"/>
        </w:rPr>
        <w:t>A reconstrução foi implementada e produziu o Itaú com +49,1% de crescimento em 12/2024 — um artefato criado pela própria reconstrução. A investigação do artefato levou ao teste correto: comparar as duas séries dentro do mesmo trimestre.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6" w:space="0" w:color="D3DBDF"/>
          <w:bottom w:val="single" w:sz="6" w:space="0" w:color="D3DBDF"/>
          <w:left w:val="none" w:sz="0" w:space="0" w:color="auto"/>
          <w:right w:val="none" w:sz="0" w:space="0" w:color="auto"/>
          <w:insideH w:val="single" w:sz="4" w:space="0" w:color="E4EAEC"/>
          <w:insideV w:val="none" w:sz="0" w:space="0" w:color="auto"/>
        </w:tblBorders>
      </w:tblPr>
      <w:tblGrid>
        <w:gridCol w:w="3213"/>
        <w:gridCol w:w="3213"/>
        <w:gridCol w:w="3213"/>
      </w:tblGrid>
      <w:tr>
        <w:tc>
          <w:tcPr>
            <w:tcW w:type="dxa" w:w="3515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Teste</w:t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Resultado</w:t>
            </w:r>
          </w:p>
        </w:tc>
        <w:tc>
          <w:tcPr>
            <w:tcW w:type="dxa" w:w="3061"/>
            <w:shd w:val="clear" w:color="auto" w:fill="F1F4F5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4252B"/>
                <w:sz w:val="18"/>
              </w:rPr>
              <w:t>Conclusão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Variação 03/2025 ÷ 12/2024, apenas nas 770 pareadas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Mediana +0,6%; dispersão encolhendo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Sugeria continuidade — amostra viesada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Razão entre a carteira ativa e a carteira do Resumo, no mesmo trimestre, até 12/2024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1,0000 do p25 ao p75, em todas as data-bases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São o mesmo número: não é fonte independente</w:t>
            </w:r>
          </w:p>
        </w:tc>
      </w:tr>
      <w:tr>
        <w:tc>
          <w:tcPr>
            <w:tcW w:type="dxa" w:w="3515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A mesma razão a partir de 03/2025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1,036</w:t>
            </w:r>
          </w:p>
        </w:tc>
        <w:tc>
          <w:tcPr>
            <w:tcW w:type="dxa" w:w="3061"/>
          </w:tcPr>
          <w:p>
            <w:pPr>
              <w:spacing w:after="40"/>
            </w:pPr>
            <w:r>
              <w:rPr>
                <w:rFonts w:ascii="Calibri" w:hAnsi="Calibri"/>
                <w:color w:val="14252B"/>
                <w:sz w:val="19"/>
              </w:rPr>
              <w:t>Os conceitos só se separam depois da quebra</w:t>
            </w:r>
          </w:p>
        </w:tc>
      </w:tr>
    </w:tbl>
    <w:p>
      <w:pPr>
        <w:spacing w:after="80"/>
      </w:pPr>
    </w:p>
    <w:p>
      <w:pPr>
        <w:spacing w:before="0" w:after="120"/>
      </w:pPr>
      <w:r>
        <w:rPr>
          <w:rFonts w:ascii="Calibri" w:hAnsi="Calibri"/>
          <w:b/>
          <w:i w:val="0"/>
          <w:color w:val="14252B"/>
          <w:sz w:val="21"/>
        </w:rPr>
        <w:t xml:space="preserve">Desfecho. </w:t>
      </w:r>
      <w:r>
        <w:rPr>
          <w:rFonts w:ascii="Calibri" w:hAnsi="Calibri"/>
          <w:b w:val="0"/>
          <w:i w:val="0"/>
          <w:color w:val="14252B"/>
          <w:sz w:val="21"/>
        </w:rPr>
        <w:t>A reconstrução foi integralmente revertida e a máscara de 2025 mantida. Preservaram-se dois subprodutos verificados: a ponte oficial entre os universos 1005 e 1009, declarada pelo próprio cadastro do IF.data e validada contra o dado publicado com erro mediano de 0,000%, e o registro reproduzível das três vias de compatibilização testadas e descartadas. O argumento do trabalho ficou mais forte: a quebra não é falta de par — o par existe e é oficial —, é mudança de definição; a comparação é tecnicamente possível e economicamente sem sentido.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3.6 Sobre a categoria “série deflacionada indevidamente”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Esta categoria não produziu episódio. O deflacionamento foi desenhado desde a origem como etapa única e centralizada: índice acumulado do IPCA (SGS 433), base fixada no trimestre mais recente do painel, aplicado uma só vez às colunas monetárias na construção dos painéis, com a lista de colunas deflacionadas registrada na saída do processo. Razões não são deflacionadas, porque numerador e denominador estão no mesmo trimestre e o índice se cancela. A validação cruzada contra o SGS confirmou a consistência dos agregados. Registra-se a ausência do erro, e não um episódio construído para preencher a categoria.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Calibri" w:hAnsi="Calibri"/>
          <w:b/>
          <w:color w:val="025C75"/>
          <w:sz w:val="30"/>
        </w:rPr>
        <w:t>4. Desvio de projeto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 que mudou entre a concepção apresentada no checkpoint e o painel entregue, e por quê. Os desvios não são ajustes de escopo: em quase todos os casos, a concepção original pressupunha uma propriedade dos dados que a verificação mostrou não existir.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4.1 De série histórica contínua para cobertura declarada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previa que as três perguntas compartilhassem a mesma janela temporal, com leitura de tendência. A verificação mostrou três impedimentos independentes: a Res. 4.966 inviabiliza comparações anuais em 2025; quatro dos seis indicadores de deterioração só existem no regime de perda esperada, a partir de 2025Q1; e indicadores dependentes do Patrimônio de Referência só começam em 2023Q3. O painel final cobre 21, 29 e 5 trimestres em P1, P2 e P3, e cada página declara a cobertura de cada indicador e a razão dela. A tendência deixou de ser a leitura principal.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4.2 De uma agenda para duas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previa uma lista priorizada única. Verificou-se que o score mede atipicidade dentro do grupo de pares, e não relevância sistêmica: pela lista única, os cinco maiores bancos do país apareciam entre a 548ª e a 1046ª posição, e a agenda resultante cobria 1% da carteira do recorte. O painel final entrega duas listas com critérios explicitamente distintos — atípicas no grupo de pares, por limiar de score, e grandes com sinal, por cobertura de carteira, onde o score define apenas a ordem de exame.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4.3 De dezoito indicadores fixos para catálogo com seleção configurável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fixava dezoito indicadores. O painel final mantém a regra de exatamente seis por pergunta, mas sobre um catálogo de trinta e seis, com a seleção ativa definida em arquivo de configuração e trocável durante a apresentação, sem reprocessar a base. Quatro dos dezoito originais foram efetivamente substituídos, cada um por uma razão verificada: ticket médio por exposição a tomadores de grande porte — proxy trocada por fonte direta; trimestres consecutivos acima de 15% por crescimento das captações — perda de poder de discriminação após o tratamento da quebra; e HHI do sistema e CR5 por crédito ÷ ativo total e HHI de modalidades PF — escopo sistêmico incompatível com percentil.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4.4 De gráficos de tendência para fotografia do trimestre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previa séries temporais nos cartões. A entrega usa a distribuição do corte transversal: histograma do recorte, intervalo interquartil com a mediana, e cada instituição sinalizada marcada individualmente. A mudança decorre do Episódio 2 e tem justificativa conceitual, não estética — a figura passou a mostrar exatamente o que o percentil mede, e o percentil é o que determina a seleção. Nas visualizações maiores das páginas, a seleção do trimestre passou a comandar também os destaques: as instituições sinalizadas são distinguidas por cor ou contorno, e os critérios de escolha de quem aparece ficaram declarados na tela.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4.5 De painel fixo para instrumento calibrável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A concepção tratava os parâmetros do método como constantes. O painel final expõe o corte de risco por eixo, o limiar da agenda, a cobertura da lista de grandes, os pesos dos três eixos e a própria seleção de indicadores. A razão é metodológica: esses valores são julgamento do grupo, não resultado de estimação, e uma banca que discorde precisa poder testar a alternativa em vez de ouvir a defesa do número. A sensibilidade está medida — baixar o corte de 0,75 para 0,70 mais que dobra as sinalizadas em deterioração, de 10 para 26, enquanto em crescimento vai de 47 para 65.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4.6 De entrega única para entrega com camada de verificação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Não previsto na concepção, e incorporado por necessidade: uma bateria de testes automatizados que acompanha o painel e falha quando uma premissa é violada. Verificam, entre outros, que toda coluna citada na interface existe na base publicada; que a regra dos seis por pergunta sobrevive à troca de indicadores; que nenhum indicador de escopo sistêmico é exibido como se fosse da instituição; que o número do cartão corresponde ao trimestre selecionado em todas as data-bases; e que todo indicador ativo possui verbete de glossário. A camada nasceu dos episódios da seção 3: cada erro corrigido deixou um teste que impede seu retorno.</w:t>
      </w:r>
    </w:p>
    <w:p>
      <w:pPr>
        <w:pStyle w:val="Heading2"/>
        <w:spacing w:before="260" w:after="120"/>
      </w:pPr>
      <w:r>
        <w:rPr>
          <w:rFonts w:ascii="Calibri" w:hAnsi="Calibri"/>
          <w:b/>
          <w:color w:val="14252B"/>
          <w:sz w:val="24"/>
        </w:rPr>
        <w:t>Síntese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4252B"/>
          <w:sz w:val="21"/>
        </w:rPr>
        <w:t>O desvio central do projeto pode ser enunciado em uma frase: a concepção supunha que os dados sustentariam uma leitura contínua e comparável ao longo do tempo, e a verificação mostrou que não. A resposta não foi reduzir a ambição do painel, mas tornar visível o limite — declarar a cobertura, deixar vazio o que não é medível, separar o que descreve o sistema do que descreve a instituição e expor os parâmetros de julgamento. O resultado é um instrumento que responde à pergunta decisória e, ao mesmo tempo, diz com precisão o que não é capaz de responder.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Caderno de Processo — Painel decisório de crédito</dc:title>
  <dc:subject/>
  <dc:creator>Tomaz Leal, Roberto Gomides e Diana Cabral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