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4770" w14:textId="09D3A70D" w:rsidR="00486A2B" w:rsidRPr="00A4476F" w:rsidRDefault="00486A2B" w:rsidP="00486A2B">
      <w:pPr>
        <w:jc w:val="center"/>
        <w:rPr>
          <w:b/>
          <w:bCs/>
          <w:sz w:val="28"/>
          <w:szCs w:val="28"/>
          <w:lang w:val="fr-FR"/>
        </w:rPr>
      </w:pPr>
      <w:r w:rsidRPr="00A4476F">
        <w:rPr>
          <w:b/>
          <w:bCs/>
          <w:sz w:val="28"/>
          <w:szCs w:val="28"/>
          <w:lang w:val="fr-FR"/>
        </w:rPr>
        <w:t>Projet Python : Stratégie Momentum Long</w:t>
      </w:r>
      <w:r>
        <w:rPr>
          <w:b/>
          <w:bCs/>
          <w:sz w:val="28"/>
          <w:szCs w:val="28"/>
          <w:lang w:val="fr-FR"/>
        </w:rPr>
        <w:t xml:space="preserve"> </w:t>
      </w:r>
      <w:proofErr w:type="spellStart"/>
      <w:r>
        <w:rPr>
          <w:b/>
          <w:bCs/>
          <w:sz w:val="28"/>
          <w:szCs w:val="28"/>
          <w:lang w:val="fr-FR"/>
        </w:rPr>
        <w:t>only</w:t>
      </w:r>
      <w:proofErr w:type="spellEnd"/>
    </w:p>
    <w:p w14:paraId="3025BB1E" w14:textId="77777777" w:rsidR="00486A2B" w:rsidRDefault="00486A2B" w:rsidP="00486A2B">
      <w:pPr>
        <w:rPr>
          <w:b/>
          <w:bCs/>
          <w:lang w:val="fr-FR"/>
        </w:rPr>
      </w:pPr>
    </w:p>
    <w:p w14:paraId="3C364C90" w14:textId="1BE4B5F8" w:rsidR="00486A2B" w:rsidRPr="00486A2B" w:rsidRDefault="00486A2B" w:rsidP="00486A2B">
      <w:pPr>
        <w:rPr>
          <w:b/>
          <w:bCs/>
          <w:lang w:val="fr-FR"/>
        </w:rPr>
      </w:pPr>
      <w:r w:rsidRPr="00486A2B">
        <w:rPr>
          <w:b/>
          <w:bCs/>
          <w:lang w:val="fr-FR"/>
        </w:rPr>
        <w:t>1. Introduction et motivation</w:t>
      </w:r>
    </w:p>
    <w:p w14:paraId="0A2406A2" w14:textId="77777777" w:rsidR="00486A2B" w:rsidRDefault="00486A2B" w:rsidP="00486A2B">
      <w:pPr>
        <w:rPr>
          <w:lang w:val="fr-FR"/>
        </w:rPr>
      </w:pPr>
      <w:r w:rsidRPr="00486A2B">
        <w:rPr>
          <w:lang w:val="fr-FR"/>
        </w:rPr>
        <w:t xml:space="preserve">Dans ce projet, nous développons et testons une stratégie de type </w:t>
      </w:r>
      <w:r w:rsidRPr="00486A2B">
        <w:rPr>
          <w:i/>
          <w:iCs/>
          <w:lang w:val="fr-FR"/>
        </w:rPr>
        <w:t>Momentum</w:t>
      </w:r>
      <w:r w:rsidRPr="00486A2B">
        <w:rPr>
          <w:lang w:val="fr-FR"/>
        </w:rPr>
        <w:t xml:space="preserve"> appliquée non pas directement aux actions individuelles, mais à des groupes d’actions définis par leur industrie et leur secteur au sein du S&amp;P 500.</w:t>
      </w:r>
    </w:p>
    <w:p w14:paraId="1F2031D3" w14:textId="2A5C107A" w:rsidR="008B3118" w:rsidRPr="008B3118" w:rsidRDefault="008B3118" w:rsidP="00486A2B">
      <w:pPr>
        <w:rPr>
          <w:lang w:val="fr-FR"/>
        </w:rPr>
      </w:pPr>
      <w:r w:rsidRPr="008B3118">
        <w:rPr>
          <w:lang w:val="fr-FR"/>
        </w:rPr>
        <w:t>Cette approche permet de se placer à un niveau d’agrégation intermédiaire, susceptible de capter des dynamiques macroéconomiques et sectorielles communes tout en réduisant le bruit idiosyncratique propre aux titres individuels, ce qui peut rendre les signaux plus stables et plus interprétables.</w:t>
      </w:r>
    </w:p>
    <w:p w14:paraId="4802A022" w14:textId="1DA830BE" w:rsidR="00761321" w:rsidRDefault="00761321" w:rsidP="00486A2B">
      <w:pPr>
        <w:rPr>
          <w:lang w:val="fr-FR"/>
        </w:rPr>
      </w:pPr>
      <w:r w:rsidRPr="00761321">
        <w:rPr>
          <w:lang w:val="fr-FR"/>
        </w:rPr>
        <w:t>Ce projet s’inscrit dans une démarche empirique visant à tester la robustesse des stratégies de suivi de tendance lorsque celles-ci sont appliquées à des agrégats économiques plutôt qu’à des actifs individuels, et à évaluer dans quelle mesure l’identification des régimes de marché peut améliorer leur performance ajustée du risque.</w:t>
      </w:r>
    </w:p>
    <w:p w14:paraId="231F31EC" w14:textId="77777777" w:rsidR="00486A2B" w:rsidRPr="00486A2B" w:rsidRDefault="00486A2B" w:rsidP="00486A2B">
      <w:pPr>
        <w:rPr>
          <w:lang w:val="fr-FR"/>
        </w:rPr>
      </w:pPr>
      <w:r w:rsidRPr="00486A2B">
        <w:rPr>
          <w:lang w:val="fr-FR"/>
        </w:rPr>
        <w:t>Le principe du Momentum repose sur l’idée que les actifs ayant récemment surperformé ont tendance à continuer de surperformer à court et moyen terme, en raison notamment de comportements de suivi de tendance, d’inertie informationnelle et de réactions progressives des investisseurs face aux nouvelles informations.</w:t>
      </w:r>
    </w:p>
    <w:p w14:paraId="12A80798" w14:textId="1EBC7289" w:rsidR="008B3118" w:rsidRPr="008B3118" w:rsidRDefault="00486A2B" w:rsidP="00486A2B">
      <w:pPr>
        <w:rPr>
          <w:lang w:val="fr-FR"/>
        </w:rPr>
      </w:pPr>
      <w:r w:rsidRPr="00486A2B">
        <w:rPr>
          <w:lang w:val="fr-FR"/>
        </w:rPr>
        <w:t xml:space="preserve">Cependant, les stratégies de Momentum sont également connues pour être sensibles aux changements de régime de marché, en particulier lors des retournements brutaux ou des phases de forte volatilité. </w:t>
      </w:r>
      <w:r w:rsidR="008B3118">
        <w:rPr>
          <w:lang w:val="fr-FR"/>
        </w:rPr>
        <w:t xml:space="preserve"> </w:t>
      </w:r>
      <w:r w:rsidR="008B3118" w:rsidRPr="008B3118">
        <w:rPr>
          <w:lang w:val="fr-FR"/>
        </w:rPr>
        <w:t>Nous analysons donc les performances de la stratégie sur différents sous-échantillons correspondant à des régimes de marché distincts, notamment la période pré-Covid (2010–2020), la crise sanitaire (2020–2021) et la phase de reprise post-Covid (2021–2025).</w:t>
      </w:r>
    </w:p>
    <w:p w14:paraId="7ECADFA1" w14:textId="29E6B484" w:rsidR="00486A2B" w:rsidRDefault="00486A2B" w:rsidP="00486A2B">
      <w:pPr>
        <w:rPr>
          <w:lang w:val="fr-FR"/>
        </w:rPr>
      </w:pPr>
      <w:r w:rsidRPr="00486A2B">
        <w:rPr>
          <w:lang w:val="fr-FR"/>
        </w:rPr>
        <w:t xml:space="preserve">Afin de rendre le signal plus robuste, nous proposons d’enrichir le Momentum classique par un filtre basé sur l’exposant de Hurst, qui permet de mesurer le degré de persistance </w:t>
      </w:r>
      <w:r w:rsidR="008B3118" w:rsidRPr="008B3118">
        <w:rPr>
          <w:lang w:val="fr-FR"/>
        </w:rPr>
        <w:t>ou d’anti-persistance d’une série temporelle (H &gt; 0,5 indiquant un comportement persistant) et permet d’identifier</w:t>
      </w:r>
      <w:r w:rsidR="008B3118">
        <w:rPr>
          <w:lang w:val="fr-FR"/>
        </w:rPr>
        <w:t xml:space="preserve"> </w:t>
      </w:r>
      <w:r w:rsidRPr="00486A2B">
        <w:rPr>
          <w:lang w:val="fr-FR"/>
        </w:rPr>
        <w:t>les régimes où les tendances sont plus susceptibles de se prolonger.</w:t>
      </w:r>
    </w:p>
    <w:p w14:paraId="14586269" w14:textId="03DA6281" w:rsidR="008B3118" w:rsidRPr="00486A2B" w:rsidRDefault="008B3118" w:rsidP="00486A2B">
      <w:pPr>
        <w:rPr>
          <w:lang w:val="fr-FR"/>
        </w:rPr>
      </w:pPr>
      <w:r w:rsidRPr="008B3118">
        <w:rPr>
          <w:lang w:val="fr-FR"/>
        </w:rPr>
        <w:t xml:space="preserve">La performance des stratégies est évaluée à l’aide de plusieurs indicateurs classiques de gestion d’actifs, notamment le rendement moyen, la volatilité, le ratio de Sharpe, le </w:t>
      </w:r>
      <w:proofErr w:type="spellStart"/>
      <w:r w:rsidRPr="008B3118">
        <w:rPr>
          <w:lang w:val="fr-FR"/>
        </w:rPr>
        <w:t>drawdown</w:t>
      </w:r>
      <w:proofErr w:type="spellEnd"/>
      <w:r w:rsidRPr="008B3118">
        <w:rPr>
          <w:lang w:val="fr-FR"/>
        </w:rPr>
        <w:t xml:space="preserve"> maximal, ainsi que des mesures de performance ajustée du risque telles que l’alpha et le bêta par rapport au marché.</w:t>
      </w:r>
    </w:p>
    <w:p w14:paraId="47F22CD5" w14:textId="77777777" w:rsidR="00486A2B" w:rsidRPr="00486A2B" w:rsidRDefault="00486A2B" w:rsidP="00486A2B">
      <w:pPr>
        <w:rPr>
          <w:lang w:val="fr-FR"/>
        </w:rPr>
      </w:pPr>
      <w:r w:rsidRPr="00486A2B">
        <w:rPr>
          <w:lang w:val="fr-FR"/>
        </w:rPr>
        <w:t>L’objectif de ce projet est donc double :</w:t>
      </w:r>
    </w:p>
    <w:p w14:paraId="30AEBF45" w14:textId="77777777" w:rsidR="00486A2B" w:rsidRPr="00486A2B" w:rsidRDefault="00486A2B" w:rsidP="00486A2B">
      <w:pPr>
        <w:numPr>
          <w:ilvl w:val="0"/>
          <w:numId w:val="1"/>
        </w:numPr>
        <w:rPr>
          <w:lang w:val="fr-FR"/>
        </w:rPr>
      </w:pPr>
      <w:r w:rsidRPr="00486A2B">
        <w:rPr>
          <w:lang w:val="fr-FR"/>
        </w:rPr>
        <w:t>Évaluer la performance d’une stratégie Momentum appliquée aux industries et aux secteurs du S&amp;P 500 ;</w:t>
      </w:r>
    </w:p>
    <w:p w14:paraId="3AEC9661" w14:textId="77777777" w:rsidR="00486A2B" w:rsidRDefault="00486A2B" w:rsidP="00486A2B">
      <w:pPr>
        <w:numPr>
          <w:ilvl w:val="0"/>
          <w:numId w:val="1"/>
        </w:numPr>
        <w:rPr>
          <w:lang w:val="fr-FR"/>
        </w:rPr>
      </w:pPr>
      <w:r w:rsidRPr="00486A2B">
        <w:rPr>
          <w:lang w:val="fr-FR"/>
        </w:rPr>
        <w:t>Tester si l’intégration de l’exposant de Hurst permet d’améliorer la stabilité et la performance ajustée du risque de cette stratégie.</w:t>
      </w:r>
    </w:p>
    <w:p w14:paraId="7B000F9C" w14:textId="77777777" w:rsidR="000F552B" w:rsidRDefault="000F552B" w:rsidP="000F552B">
      <w:pPr>
        <w:rPr>
          <w:lang w:val="fr-FR"/>
        </w:rPr>
      </w:pPr>
    </w:p>
    <w:p w14:paraId="21D58F42" w14:textId="13A1FE56" w:rsidR="000F552B" w:rsidRPr="000F552B" w:rsidRDefault="000F552B" w:rsidP="000F552B">
      <w:pPr>
        <w:rPr>
          <w:b/>
          <w:bCs/>
          <w:lang w:val="fr-FR"/>
        </w:rPr>
      </w:pPr>
      <w:r w:rsidRPr="000F552B">
        <w:rPr>
          <w:b/>
          <w:bCs/>
          <w:lang w:val="fr-FR"/>
        </w:rPr>
        <w:t>1</w:t>
      </w:r>
      <w:r>
        <w:rPr>
          <w:b/>
          <w:bCs/>
          <w:lang w:val="fr-FR"/>
        </w:rPr>
        <w:t xml:space="preserve"> Bis.</w:t>
      </w:r>
      <w:r w:rsidRPr="000F552B">
        <w:rPr>
          <w:b/>
          <w:bCs/>
          <w:lang w:val="fr-FR"/>
        </w:rPr>
        <w:t xml:space="preserve"> Le Momentum comme anomalie empirique</w:t>
      </w:r>
    </w:p>
    <w:p w14:paraId="5E2EC30E" w14:textId="77777777" w:rsidR="006A00AA" w:rsidRPr="006A00AA" w:rsidRDefault="006A00AA" w:rsidP="006A00AA">
      <w:pPr>
        <w:rPr>
          <w:lang w:val="fr-FR"/>
        </w:rPr>
      </w:pPr>
      <w:proofErr w:type="spellStart"/>
      <w:r w:rsidRPr="006A00AA">
        <w:rPr>
          <w:lang w:val="fr-FR"/>
        </w:rPr>
        <w:lastRenderedPageBreak/>
        <w:t>Jegadeesh</w:t>
      </w:r>
      <w:proofErr w:type="spellEnd"/>
      <w:r w:rsidRPr="006A00AA">
        <w:rPr>
          <w:lang w:val="fr-FR"/>
        </w:rPr>
        <w:t xml:space="preserve"> et </w:t>
      </w:r>
      <w:proofErr w:type="spellStart"/>
      <w:r w:rsidRPr="006A00AA">
        <w:rPr>
          <w:lang w:val="fr-FR"/>
        </w:rPr>
        <w:t>Titman</w:t>
      </w:r>
      <w:proofErr w:type="spellEnd"/>
      <w:r w:rsidRPr="006A00AA">
        <w:rPr>
          <w:lang w:val="fr-FR"/>
        </w:rPr>
        <w:t xml:space="preserve"> (1993) montrent que les actions ayant surperformé sur les 3 à 12 derniers mois tendent à continuer de surperformer sur les horizons suivants, ce qui contredit l’hypothèse d’efficience stricte des marchés. Cet effet Momentum est robuste à travers le temps, les marchés et les classes d’actifs.</w:t>
      </w:r>
    </w:p>
    <w:p w14:paraId="42FDCCD9" w14:textId="77777777" w:rsidR="006A00AA" w:rsidRPr="006A00AA" w:rsidRDefault="006A00AA" w:rsidP="006A00AA">
      <w:pPr>
        <w:rPr>
          <w:lang w:val="fr-FR"/>
        </w:rPr>
      </w:pPr>
      <w:proofErr w:type="spellStart"/>
      <w:r w:rsidRPr="006A00AA">
        <w:rPr>
          <w:lang w:val="fr-FR"/>
        </w:rPr>
        <w:t>Carhart</w:t>
      </w:r>
      <w:proofErr w:type="spellEnd"/>
      <w:r w:rsidRPr="006A00AA">
        <w:rPr>
          <w:lang w:val="fr-FR"/>
        </w:rPr>
        <w:t xml:space="preserve"> (1997) intègre ensuite le Momentum comme facteur explicatif dans un modèle multifactoriel, montrant que ce facteur explique une part significative des rendements ajustés du risque des portefeuilles et des fonds communs de placement.</w:t>
      </w:r>
    </w:p>
    <w:p w14:paraId="1DA875BA" w14:textId="77777777" w:rsidR="006A00AA" w:rsidRPr="006A00AA" w:rsidRDefault="006A00AA" w:rsidP="006A00AA">
      <w:pPr>
        <w:rPr>
          <w:lang w:val="fr-FR"/>
        </w:rPr>
      </w:pPr>
      <w:r w:rsidRPr="006A00AA">
        <w:rPr>
          <w:lang w:val="fr-FR"/>
        </w:rPr>
        <w:t>Ces résultats suggèrent que le Momentum n’est pas simplement un artefact statistique, mais une régularité empirique persistante, potentiellement liée à des comportements d’inertie informationnelle, de suivi de tendance ou de biais comportementaux des investisseurs.</w:t>
      </w:r>
    </w:p>
    <w:p w14:paraId="2151D8B0" w14:textId="48A6EFD3" w:rsidR="00486A2B" w:rsidRDefault="00486A2B" w:rsidP="00486A2B">
      <w:pPr>
        <w:rPr>
          <w:lang w:val="fr-FR"/>
        </w:rPr>
      </w:pPr>
    </w:p>
    <w:p w14:paraId="719FB9C4" w14:textId="77777777" w:rsidR="006A00AA" w:rsidRPr="00486A2B" w:rsidRDefault="006A00AA" w:rsidP="00486A2B">
      <w:pPr>
        <w:rPr>
          <w:lang w:val="fr-FR"/>
        </w:rPr>
      </w:pPr>
    </w:p>
    <w:p w14:paraId="5BF29C6C" w14:textId="77777777" w:rsidR="00486A2B" w:rsidRPr="00486A2B" w:rsidRDefault="00486A2B" w:rsidP="00486A2B">
      <w:pPr>
        <w:rPr>
          <w:b/>
          <w:bCs/>
          <w:lang w:val="fr-FR"/>
        </w:rPr>
      </w:pPr>
      <w:r w:rsidRPr="00486A2B">
        <w:rPr>
          <w:b/>
          <w:bCs/>
          <w:lang w:val="fr-FR"/>
        </w:rPr>
        <w:t>2. Choix des données et de la période</w:t>
      </w:r>
    </w:p>
    <w:p w14:paraId="0567B5D4" w14:textId="77777777" w:rsidR="00486A2B" w:rsidRPr="00486A2B" w:rsidRDefault="00486A2B" w:rsidP="00486A2B">
      <w:pPr>
        <w:rPr>
          <w:lang w:val="fr-FR"/>
        </w:rPr>
      </w:pPr>
      <w:r w:rsidRPr="00486A2B">
        <w:rPr>
          <w:lang w:val="fr-FR"/>
        </w:rPr>
        <w:t>L’univers d’investissement est constitué des actions composant l’indice S&amp;P 500, regroupées par industries et par secteurs selon leur classification économique.</w:t>
      </w:r>
    </w:p>
    <w:p w14:paraId="76B72A47" w14:textId="77777777" w:rsidR="00486A2B" w:rsidRPr="00486A2B" w:rsidRDefault="00486A2B" w:rsidP="00486A2B">
      <w:pPr>
        <w:rPr>
          <w:lang w:val="fr-FR"/>
        </w:rPr>
      </w:pPr>
      <w:r w:rsidRPr="00486A2B">
        <w:rPr>
          <w:lang w:val="fr-FR"/>
        </w:rPr>
        <w:t>La période étudiée s’étend de 2010 à 2025. Ce choix permet d’inclure plusieurs régimes de marché contrastés :</w:t>
      </w:r>
    </w:p>
    <w:p w14:paraId="2358409B" w14:textId="77777777" w:rsidR="00AA7B79" w:rsidRDefault="00AA7B79" w:rsidP="00486A2B">
      <w:pPr>
        <w:numPr>
          <w:ilvl w:val="0"/>
          <w:numId w:val="2"/>
        </w:numPr>
        <w:rPr>
          <w:lang w:val="fr-FR"/>
        </w:rPr>
      </w:pPr>
      <w:r w:rsidRPr="00AA7B79">
        <w:rPr>
          <w:lang w:val="fr-FR"/>
        </w:rPr>
        <w:t>une phase de croissance relativement stable avant la crise sanitaire (2010–2020) ;</w:t>
      </w:r>
    </w:p>
    <w:p w14:paraId="306BCEE1" w14:textId="77777777" w:rsidR="00AA7B79" w:rsidRDefault="00AA7B79" w:rsidP="00486A2B">
      <w:pPr>
        <w:numPr>
          <w:ilvl w:val="0"/>
          <w:numId w:val="2"/>
        </w:numPr>
        <w:rPr>
          <w:lang w:val="fr-FR"/>
        </w:rPr>
      </w:pPr>
      <w:r w:rsidRPr="00AA7B79">
        <w:rPr>
          <w:lang w:val="fr-FR"/>
        </w:rPr>
        <w:t>la crise liée à la Covid-19 (2020–2021), caractérisée par une chute brutale des marchés et une forte augmentation de la volatilité ;</w:t>
      </w:r>
    </w:p>
    <w:p w14:paraId="7AE096D0" w14:textId="77777777" w:rsidR="00AA7B79" w:rsidRDefault="00AA7B79" w:rsidP="00486A2B">
      <w:pPr>
        <w:numPr>
          <w:ilvl w:val="0"/>
          <w:numId w:val="2"/>
        </w:numPr>
        <w:rPr>
          <w:lang w:val="fr-FR"/>
        </w:rPr>
      </w:pPr>
      <w:r w:rsidRPr="00AA7B79">
        <w:rPr>
          <w:lang w:val="fr-FR"/>
        </w:rPr>
        <w:t>une phase de reprise post-Covid (2021–2025), marquée par un retour progressif de la croissance et une normalisation partielle des conditions de marché.</w:t>
      </w:r>
    </w:p>
    <w:p w14:paraId="59628D82" w14:textId="77777777" w:rsidR="00486A2B" w:rsidRPr="00486A2B" w:rsidRDefault="00486A2B" w:rsidP="00486A2B">
      <w:pPr>
        <w:rPr>
          <w:lang w:val="fr-FR"/>
        </w:rPr>
      </w:pPr>
      <w:r w:rsidRPr="00486A2B">
        <w:rPr>
          <w:lang w:val="fr-FR"/>
        </w:rPr>
        <w:t>Cette diversité de contextes économiques permet d’évaluer la robustesse de la stratégie dans des environnements haussiers, baissiers et fortement volatils.</w:t>
      </w:r>
    </w:p>
    <w:p w14:paraId="34DB958F" w14:textId="474B4F8A" w:rsidR="00486A2B" w:rsidRPr="00486A2B" w:rsidRDefault="00486A2B" w:rsidP="00486A2B">
      <w:pPr>
        <w:rPr>
          <w:lang w:val="fr-FR"/>
        </w:rPr>
      </w:pPr>
    </w:p>
    <w:p w14:paraId="04F29649" w14:textId="77777777" w:rsidR="00486A2B" w:rsidRPr="00486A2B" w:rsidRDefault="00486A2B" w:rsidP="00486A2B">
      <w:pPr>
        <w:rPr>
          <w:b/>
          <w:bCs/>
          <w:lang w:val="fr-FR"/>
        </w:rPr>
      </w:pPr>
      <w:r w:rsidRPr="00486A2B">
        <w:rPr>
          <w:b/>
          <w:bCs/>
          <w:lang w:val="fr-FR"/>
        </w:rPr>
        <w:t>3. Construction des indices par industrie et par secteur</w:t>
      </w:r>
    </w:p>
    <w:p w14:paraId="697C2092" w14:textId="77777777" w:rsidR="00486A2B" w:rsidRDefault="00486A2B" w:rsidP="00486A2B">
      <w:pPr>
        <w:rPr>
          <w:lang w:val="fr-FR"/>
        </w:rPr>
      </w:pPr>
      <w:r w:rsidRPr="00486A2B">
        <w:rPr>
          <w:lang w:val="fr-FR"/>
        </w:rPr>
        <w:t>Pour chaque industrie (et chaque secteur), nous construisons un indice synthétique égal-pondéré en agrégeant les rendements journaliers des actions appartenant à ce groupe. Ces indices représentent la performance moyenne de chaque industrie ou secteur au cours du temps.</w:t>
      </w:r>
    </w:p>
    <w:p w14:paraId="77B53173" w14:textId="349359AB" w:rsidR="00C34259" w:rsidRPr="00C34259" w:rsidRDefault="00C34259" w:rsidP="00486A2B">
      <w:pPr>
        <w:rPr>
          <w:lang w:val="fr-FR"/>
        </w:rPr>
      </w:pPr>
      <w:r w:rsidRPr="00C34259">
        <w:rPr>
          <w:lang w:val="fr-FR"/>
        </w:rPr>
        <w:t>Le choix d’une pondération égale permet d’éviter que la performance d’un groupe soit dominée par quelques grandes capitalisations et de mieux refléter la dynamique moyenne du segment considéré.</w:t>
      </w:r>
    </w:p>
    <w:p w14:paraId="0B9B911E" w14:textId="77777777" w:rsidR="00486A2B" w:rsidRPr="00486A2B" w:rsidRDefault="00486A2B" w:rsidP="00486A2B">
      <w:pPr>
        <w:rPr>
          <w:lang w:val="fr-FR"/>
        </w:rPr>
      </w:pPr>
      <w:r w:rsidRPr="00486A2B">
        <w:rPr>
          <w:lang w:val="fr-FR"/>
        </w:rPr>
        <w:t>Cette approche présente plusieurs avantages :</w:t>
      </w:r>
    </w:p>
    <w:p w14:paraId="6A1AD8DA" w14:textId="77777777" w:rsidR="00486A2B" w:rsidRPr="00486A2B" w:rsidRDefault="00486A2B" w:rsidP="00486A2B">
      <w:pPr>
        <w:numPr>
          <w:ilvl w:val="0"/>
          <w:numId w:val="3"/>
        </w:numPr>
        <w:rPr>
          <w:lang w:val="fr-FR"/>
        </w:rPr>
      </w:pPr>
      <w:r w:rsidRPr="00486A2B">
        <w:rPr>
          <w:lang w:val="fr-FR"/>
        </w:rPr>
        <w:t>elle réduit l’influence des chocs idiosyncratiques propres à une seule entreprise ;</w:t>
      </w:r>
    </w:p>
    <w:p w14:paraId="22FE22CD" w14:textId="77777777" w:rsidR="00486A2B" w:rsidRPr="00486A2B" w:rsidRDefault="00486A2B" w:rsidP="00486A2B">
      <w:pPr>
        <w:numPr>
          <w:ilvl w:val="0"/>
          <w:numId w:val="3"/>
        </w:numPr>
        <w:rPr>
          <w:lang w:val="fr-FR"/>
        </w:rPr>
      </w:pPr>
      <w:r w:rsidRPr="00486A2B">
        <w:rPr>
          <w:lang w:val="fr-FR"/>
        </w:rPr>
        <w:t>elle permet d’obtenir un signal de Momentum plus stable ;</w:t>
      </w:r>
    </w:p>
    <w:p w14:paraId="0A89D2C4" w14:textId="77777777" w:rsidR="00486A2B" w:rsidRPr="00486A2B" w:rsidRDefault="00486A2B" w:rsidP="00486A2B">
      <w:pPr>
        <w:numPr>
          <w:ilvl w:val="0"/>
          <w:numId w:val="3"/>
        </w:numPr>
        <w:rPr>
          <w:lang w:val="fr-FR"/>
        </w:rPr>
      </w:pPr>
      <w:r w:rsidRPr="00486A2B">
        <w:rPr>
          <w:lang w:val="fr-FR"/>
        </w:rPr>
        <w:lastRenderedPageBreak/>
        <w:t>elle offre une granularité plus fine qu’une approche uniquement sectorielle, les industries étant plus nombreuses que les secteurs.</w:t>
      </w:r>
    </w:p>
    <w:p w14:paraId="646756D5" w14:textId="77777777" w:rsidR="00486A2B" w:rsidRPr="00486A2B" w:rsidRDefault="00486A2B" w:rsidP="00486A2B">
      <w:pPr>
        <w:rPr>
          <w:lang w:val="fr-FR"/>
        </w:rPr>
      </w:pPr>
      <w:r w:rsidRPr="00486A2B">
        <w:rPr>
          <w:lang w:val="fr-FR"/>
        </w:rPr>
        <w:t>Ces indices servent ensuite de base au calcul du signal de Momentum et du filtre Hurst.</w:t>
      </w:r>
    </w:p>
    <w:p w14:paraId="6B7B1AF8" w14:textId="2F372B77" w:rsidR="00486A2B" w:rsidRPr="00486A2B" w:rsidRDefault="00486A2B" w:rsidP="00486A2B">
      <w:pPr>
        <w:rPr>
          <w:lang w:val="fr-FR"/>
        </w:rPr>
      </w:pPr>
    </w:p>
    <w:p w14:paraId="78ED593B" w14:textId="77777777" w:rsidR="00486A2B" w:rsidRPr="00486A2B" w:rsidRDefault="00486A2B" w:rsidP="00486A2B">
      <w:pPr>
        <w:rPr>
          <w:b/>
          <w:bCs/>
          <w:lang w:val="fr-FR"/>
        </w:rPr>
      </w:pPr>
      <w:r w:rsidRPr="00486A2B">
        <w:rPr>
          <w:b/>
          <w:bCs/>
          <w:lang w:val="fr-FR"/>
        </w:rPr>
        <w:t>4. Méthodologie de la stratégie</w:t>
      </w:r>
    </w:p>
    <w:p w14:paraId="4485267E" w14:textId="77777777" w:rsidR="00486A2B" w:rsidRPr="00486A2B" w:rsidRDefault="00486A2B" w:rsidP="00486A2B">
      <w:pPr>
        <w:rPr>
          <w:b/>
          <w:bCs/>
          <w:lang w:val="fr-FR"/>
        </w:rPr>
      </w:pPr>
      <w:r w:rsidRPr="00486A2B">
        <w:rPr>
          <w:b/>
          <w:bCs/>
          <w:lang w:val="fr-FR"/>
        </w:rPr>
        <w:t>4.1 Signal Momentum</w:t>
      </w:r>
    </w:p>
    <w:p w14:paraId="43228591" w14:textId="376D9792" w:rsidR="00486A2B" w:rsidRPr="00486A2B" w:rsidRDefault="00486A2B" w:rsidP="00486A2B">
      <w:pPr>
        <w:rPr>
          <w:lang w:val="fr-FR"/>
        </w:rPr>
      </w:pPr>
      <w:r w:rsidRPr="00486A2B">
        <w:rPr>
          <w:lang w:val="fr-FR"/>
        </w:rPr>
        <w:t xml:space="preserve">Le signal de Momentum est calculé comme la performance passée d’un indice sur une fenêtre glissante de </w:t>
      </w:r>
      <m:oMath>
        <m:r>
          <w:rPr>
            <w:rFonts w:ascii="Cambria Math" w:hAnsi="Cambria Math"/>
            <w:lang w:val="fr-FR"/>
          </w:rPr>
          <m:t>W</m:t>
        </m:r>
      </m:oMath>
      <w:r w:rsidR="003A1BDE">
        <w:rPr>
          <w:rFonts w:eastAsiaTheme="minorEastAsia"/>
          <w:lang w:val="fr-FR"/>
        </w:rPr>
        <w:t xml:space="preserve"> </w:t>
      </w:r>
      <w:r w:rsidRPr="00486A2B">
        <w:rPr>
          <w:lang w:val="fr-FR"/>
        </w:rPr>
        <w:t>jours</w:t>
      </w:r>
      <w:r w:rsidR="00C34259">
        <w:rPr>
          <w:lang w:val="fr-FR"/>
        </w:rPr>
        <w:t xml:space="preserve">, </w:t>
      </w:r>
      <w:r w:rsidR="00C34259" w:rsidRPr="00C34259">
        <w:rPr>
          <w:lang w:val="fr-FR"/>
        </w:rPr>
        <w:t xml:space="preserve">en excluant les </w:t>
      </w:r>
      <m:oMath>
        <m:r>
          <w:rPr>
            <w:rFonts w:ascii="Cambria Math" w:hAnsi="Cambria Math"/>
          </w:rPr>
          <m:t>s</m:t>
        </m:r>
      </m:oMath>
      <w:r w:rsidR="00C34259" w:rsidRPr="00C34259">
        <w:rPr>
          <w:lang w:val="fr-FR"/>
        </w:rPr>
        <w:t>jours les plus récents selon la formule suivante</w:t>
      </w:r>
      <w:r w:rsidRPr="00486A2B">
        <w:rPr>
          <w:lang w:val="fr-FR"/>
        </w:rPr>
        <w:t xml:space="preserve"> :</w:t>
      </w:r>
    </w:p>
    <w:p w14:paraId="1E6AE4B1" w14:textId="0C47C1A1" w:rsidR="00486A2B" w:rsidRPr="00486A2B" w:rsidRDefault="00000000" w:rsidP="00486A2B">
      <w:pPr>
        <w:rPr>
          <w:lang w:val="fr-FR"/>
        </w:rPr>
      </w:pPr>
      <m:oMathPara>
        <m:oMath>
          <m:sSub>
            <m:sSubPr>
              <m:ctrlPr>
                <w:rPr>
                  <w:rFonts w:ascii="Cambria Math" w:hAnsi="Cambria Math"/>
                  <w:lang w:val="fr-FR"/>
                </w:rPr>
              </m:ctrlPr>
            </m:sSubPr>
            <m:e>
              <m:r>
                <m:rPr>
                  <m:nor/>
                </m:rPr>
                <w:rPr>
                  <w:lang w:val="fr-FR"/>
                </w:rPr>
                <m:t>Momentum</m:t>
              </m:r>
            </m:e>
            <m:sub>
              <m:r>
                <w:rPr>
                  <w:rFonts w:ascii="Cambria Math" w:hAnsi="Cambria Math"/>
                  <w:lang w:val="fr-FR"/>
                </w:rPr>
                <m:t>t</m:t>
              </m:r>
            </m:sub>
          </m:sSub>
          <m:r>
            <w:rPr>
              <w:rFonts w:ascii="Cambria Math" w:hAnsi="Cambria Math"/>
              <w:lang w:val="fr-FR"/>
            </w:rPr>
            <m:t>=</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t-s</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t-W</m:t>
                  </m:r>
                </m:sub>
              </m:sSub>
            </m:num>
            <m:den>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t-W</m:t>
                  </m:r>
                </m:sub>
              </m:sSub>
            </m:den>
          </m:f>
          <m:r>
            <m:rPr>
              <m:sty m:val="p"/>
            </m:rPr>
            <w:rPr>
              <w:lang w:val="fr-FR"/>
            </w:rPr>
            <w:br/>
          </m:r>
        </m:oMath>
      </m:oMathPara>
    </w:p>
    <w:p w14:paraId="6A4F44D7" w14:textId="17BE2AFA" w:rsidR="00C34259" w:rsidRPr="00C34259" w:rsidRDefault="00C34259" w:rsidP="00486A2B">
      <w:pPr>
        <w:rPr>
          <w:lang w:val="fr-FR"/>
        </w:rPr>
      </w:pPr>
      <w:r w:rsidRPr="00C34259">
        <w:rPr>
          <w:lang w:val="fr-FR"/>
        </w:rPr>
        <w:t xml:space="preserve">où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C34259">
        <w:rPr>
          <w:lang w:val="fr-FR"/>
        </w:rPr>
        <w:t xml:space="preserve">désigne le niveau de l’indice au temps </w:t>
      </w:r>
      <m:oMath>
        <m:r>
          <w:rPr>
            <w:rFonts w:ascii="Cambria Math" w:hAnsi="Cambria Math"/>
          </w:rPr>
          <m:t>t</m:t>
        </m:r>
      </m:oMath>
      <w:r w:rsidRPr="00C34259">
        <w:rPr>
          <w:lang w:val="fr-FR"/>
        </w:rPr>
        <w:t xml:space="preserve">, </w:t>
      </w:r>
      <m:oMath>
        <m:r>
          <w:rPr>
            <w:rFonts w:ascii="Cambria Math" w:hAnsi="Cambria Math"/>
          </w:rPr>
          <m:t>W</m:t>
        </m:r>
      </m:oMath>
      <w:r w:rsidR="003A1BDE" w:rsidRPr="003A1BDE">
        <w:rPr>
          <w:rFonts w:eastAsiaTheme="minorEastAsia"/>
          <w:lang w:val="fr-FR"/>
        </w:rPr>
        <w:t xml:space="preserve"> </w:t>
      </w:r>
      <w:r w:rsidRPr="00C34259">
        <w:rPr>
          <w:lang w:val="fr-FR"/>
        </w:rPr>
        <w:t xml:space="preserve">représente la longueur de la fenêtre de calcul, et </w:t>
      </w:r>
      <m:oMath>
        <m:r>
          <w:rPr>
            <w:rFonts w:ascii="Cambria Math" w:hAnsi="Cambria Math"/>
          </w:rPr>
          <m:t>s</m:t>
        </m:r>
      </m:oMath>
      <w:r w:rsidR="00416BB7" w:rsidRPr="00416BB7">
        <w:rPr>
          <w:rFonts w:eastAsiaTheme="minorEastAsia"/>
          <w:lang w:val="fr-FR"/>
        </w:rPr>
        <w:t xml:space="preserve"> </w:t>
      </w:r>
      <w:r w:rsidRPr="00C34259">
        <w:rPr>
          <w:lang w:val="fr-FR"/>
        </w:rPr>
        <w:t xml:space="preserve">correspond à une période de « skip » visant à exclure les rendements les plus récents. Dans nos expériences, nous utilisons principalement </w:t>
      </w:r>
      <m:oMath>
        <m:r>
          <w:rPr>
            <w:rFonts w:ascii="Cambria Math" w:hAnsi="Cambria Math"/>
          </w:rPr>
          <m:t>W</m:t>
        </m:r>
        <m:r>
          <w:rPr>
            <w:rFonts w:ascii="Cambria Math" w:hAnsi="Cambria Math"/>
            <w:lang w:val="fr-FR"/>
          </w:rPr>
          <m:t>=60</m:t>
        </m:r>
      </m:oMath>
      <w:r w:rsidR="003A1BDE">
        <w:rPr>
          <w:rFonts w:eastAsiaTheme="minorEastAsia"/>
          <w:lang w:val="fr-FR"/>
        </w:rPr>
        <w:t xml:space="preserve"> </w:t>
      </w:r>
      <w:r w:rsidRPr="00C34259">
        <w:rPr>
          <w:lang w:val="fr-FR"/>
        </w:rPr>
        <w:t xml:space="preserve">jours et </w:t>
      </w:r>
      <m:oMath>
        <m:r>
          <w:rPr>
            <w:rFonts w:ascii="Cambria Math" w:hAnsi="Cambria Math"/>
          </w:rPr>
          <m:t>s</m:t>
        </m:r>
        <m:r>
          <w:rPr>
            <w:rFonts w:ascii="Cambria Math" w:hAnsi="Cambria Math"/>
            <w:lang w:val="fr-FR"/>
          </w:rPr>
          <m:t>=10</m:t>
        </m:r>
      </m:oMath>
      <w:r w:rsidR="003A1BDE">
        <w:rPr>
          <w:rFonts w:eastAsiaTheme="minorEastAsia"/>
          <w:lang w:val="fr-FR"/>
        </w:rPr>
        <w:t xml:space="preserve"> </w:t>
      </w:r>
      <w:r w:rsidRPr="00C34259">
        <w:rPr>
          <w:lang w:val="fr-FR"/>
        </w:rPr>
        <w:t xml:space="preserve">jours, avec </w:t>
      </w:r>
      <m:oMath>
        <m:r>
          <w:rPr>
            <w:rFonts w:ascii="Cambria Math" w:hAnsi="Cambria Math"/>
          </w:rPr>
          <m:t>W</m:t>
        </m:r>
        <m:r>
          <w:rPr>
            <w:rFonts w:ascii="Cambria Math" w:hAnsi="Cambria Math"/>
            <w:lang w:val="fr-FR"/>
          </w:rPr>
          <m:t>&gt;</m:t>
        </m:r>
        <m:r>
          <w:rPr>
            <w:rFonts w:ascii="Cambria Math" w:hAnsi="Cambria Math"/>
          </w:rPr>
          <m:t>s</m:t>
        </m:r>
      </m:oMath>
      <w:r w:rsidRPr="00C34259">
        <w:rPr>
          <w:lang w:val="fr-FR"/>
        </w:rPr>
        <w:t>.</w:t>
      </w:r>
    </w:p>
    <w:p w14:paraId="536DDDD3" w14:textId="308B5613" w:rsidR="000F552B" w:rsidRPr="000F552B" w:rsidRDefault="000F552B" w:rsidP="000F552B">
      <w:pPr>
        <w:rPr>
          <w:b/>
          <w:bCs/>
          <w:lang w:val="fr-FR"/>
        </w:rPr>
      </w:pPr>
      <w:r>
        <w:rPr>
          <w:b/>
          <w:bCs/>
          <w:lang w:val="fr-FR"/>
        </w:rPr>
        <w:t>J</w:t>
      </w:r>
      <w:r w:rsidRPr="000F552B">
        <w:rPr>
          <w:b/>
          <w:bCs/>
          <w:lang w:val="fr-FR"/>
        </w:rPr>
        <w:t xml:space="preserve">ustification de l’exclusion des rendements récents </w:t>
      </w:r>
    </w:p>
    <w:p w14:paraId="38E3B80D" w14:textId="77777777" w:rsidR="000F552B" w:rsidRPr="000F552B" w:rsidRDefault="000F552B" w:rsidP="000F552B">
      <w:pPr>
        <w:rPr>
          <w:lang w:val="fr-FR"/>
        </w:rPr>
      </w:pPr>
      <w:r w:rsidRPr="000F552B">
        <w:rPr>
          <w:lang w:val="fr-FR"/>
        </w:rPr>
        <w:t>La littérature met également en évidence l’existence de phénomènes de retournement à très court terme (</w:t>
      </w:r>
      <w:r w:rsidRPr="000F552B">
        <w:rPr>
          <w:i/>
          <w:iCs/>
          <w:lang w:val="fr-FR"/>
        </w:rPr>
        <w:t>short-</w:t>
      </w:r>
      <w:proofErr w:type="spellStart"/>
      <w:r w:rsidRPr="000F552B">
        <w:rPr>
          <w:i/>
          <w:iCs/>
          <w:lang w:val="fr-FR"/>
        </w:rPr>
        <w:t>term</w:t>
      </w:r>
      <w:proofErr w:type="spellEnd"/>
      <w:r w:rsidRPr="000F552B">
        <w:rPr>
          <w:i/>
          <w:iCs/>
          <w:lang w:val="fr-FR"/>
        </w:rPr>
        <w:t xml:space="preserve"> reversal</w:t>
      </w:r>
      <w:r w:rsidRPr="000F552B">
        <w:rPr>
          <w:lang w:val="fr-FR"/>
        </w:rPr>
        <w:t>), selon lesquels des hausses ou baisses très récentes tendent à être partiellement corrigées dans les jours ou semaines qui suivent.</w:t>
      </w:r>
    </w:p>
    <w:p w14:paraId="1318A0BE" w14:textId="77777777" w:rsidR="000F552B" w:rsidRPr="000F552B" w:rsidRDefault="000F552B" w:rsidP="000F552B">
      <w:pPr>
        <w:rPr>
          <w:lang w:val="fr-FR"/>
        </w:rPr>
      </w:pPr>
      <w:r w:rsidRPr="000F552B">
        <w:rPr>
          <w:lang w:val="fr-FR"/>
        </w:rPr>
        <w:t>Afin de limiter l’impact de ce bruit de court terme sur notre signal Momentum, nous excluons les dix derniers jours de bourse dans le calcul de la performance passée. Cette approche est cohérente avec les pratiques standards dans la littérature Momentum, qui recommandent de ne pas inclure les périodes trop récentes afin d’éviter de capter des effets de microstructure ou de liquidité plutôt que de véritables tendances.</w:t>
      </w:r>
    </w:p>
    <w:p w14:paraId="38505AFF" w14:textId="77777777" w:rsidR="000F552B" w:rsidRPr="00486A2B" w:rsidRDefault="000F552B" w:rsidP="00486A2B">
      <w:pPr>
        <w:rPr>
          <w:lang w:val="fr-FR"/>
        </w:rPr>
      </w:pPr>
    </w:p>
    <w:p w14:paraId="01888A69" w14:textId="77777777" w:rsidR="00486A2B" w:rsidRPr="00486A2B" w:rsidRDefault="00486A2B" w:rsidP="00486A2B">
      <w:pPr>
        <w:rPr>
          <w:b/>
          <w:bCs/>
          <w:lang w:val="fr-FR"/>
        </w:rPr>
      </w:pPr>
      <w:r w:rsidRPr="00486A2B">
        <w:rPr>
          <w:b/>
          <w:bCs/>
          <w:lang w:val="fr-FR"/>
        </w:rPr>
        <w:t>4.2 Filtre Hurst</w:t>
      </w:r>
    </w:p>
    <w:p w14:paraId="6E32803C" w14:textId="7344BBB9" w:rsidR="00486A2B" w:rsidRPr="00486A2B" w:rsidRDefault="00486A2B" w:rsidP="00486A2B">
      <w:pPr>
        <w:rPr>
          <w:lang w:val="fr-FR"/>
        </w:rPr>
      </w:pPr>
      <w:r w:rsidRPr="00486A2B">
        <w:rPr>
          <w:lang w:val="fr-FR"/>
        </w:rPr>
        <w:t xml:space="preserve">L’exposant de Hurst </w:t>
      </w:r>
      <w:r w:rsidR="00153FEA" w:rsidRPr="00153FEA">
        <w:rPr>
          <w:i/>
          <w:iCs/>
          <w:lang w:val="fr-FR"/>
        </w:rPr>
        <w:t>H</w:t>
      </w:r>
      <w:r w:rsidR="00153FEA">
        <w:rPr>
          <w:rFonts w:eastAsiaTheme="minorEastAsia"/>
          <w:lang w:val="fr-FR"/>
        </w:rPr>
        <w:t xml:space="preserve"> </w:t>
      </w:r>
      <w:r w:rsidRPr="00486A2B">
        <w:rPr>
          <w:lang w:val="fr-FR"/>
        </w:rPr>
        <w:t>est estimé à l’aide de la méthode R/S</w:t>
      </w:r>
      <w:r w:rsidR="00262B82">
        <w:rPr>
          <w:lang w:val="fr-FR"/>
        </w:rPr>
        <w:t xml:space="preserve"> (</w:t>
      </w:r>
      <w:proofErr w:type="spellStart"/>
      <w:r w:rsidR="00262B82">
        <w:rPr>
          <w:lang w:val="fr-FR"/>
        </w:rPr>
        <w:t>rescaled</w:t>
      </w:r>
      <w:proofErr w:type="spellEnd"/>
      <w:r w:rsidR="00262B82">
        <w:rPr>
          <w:lang w:val="fr-FR"/>
        </w:rPr>
        <w:t xml:space="preserve"> range)</w:t>
      </w:r>
      <w:r w:rsidRPr="00486A2B">
        <w:rPr>
          <w:lang w:val="fr-FR"/>
        </w:rPr>
        <w:t xml:space="preserve"> sur une fenêtre glissante d’un an</w:t>
      </w:r>
      <w:r w:rsidR="00262B82">
        <w:rPr>
          <w:lang w:val="fr-FR"/>
        </w:rPr>
        <w:t xml:space="preserve">, soit </w:t>
      </w:r>
      <w:r w:rsidRPr="00486A2B">
        <w:rPr>
          <w:lang w:val="fr-FR"/>
        </w:rPr>
        <w:t>252 jours</w:t>
      </w:r>
      <w:r w:rsidR="00262B82">
        <w:rPr>
          <w:lang w:val="fr-FR"/>
        </w:rPr>
        <w:t xml:space="preserve"> de bourse</w:t>
      </w:r>
      <w:r w:rsidRPr="00486A2B">
        <w:rPr>
          <w:lang w:val="fr-FR"/>
        </w:rPr>
        <w:t>. Il mesure le degré de persistance d’une série</w:t>
      </w:r>
      <w:r w:rsidR="00262B82">
        <w:rPr>
          <w:lang w:val="fr-FR"/>
        </w:rPr>
        <w:t xml:space="preserve"> temporelle</w:t>
      </w:r>
      <w:r w:rsidRPr="00486A2B">
        <w:rPr>
          <w:lang w:val="fr-FR"/>
        </w:rPr>
        <w:t xml:space="preserve"> :</w:t>
      </w:r>
    </w:p>
    <w:p w14:paraId="226E7071" w14:textId="5E98FBBA" w:rsidR="00486A2B" w:rsidRPr="00486A2B" w:rsidRDefault="00486A2B" w:rsidP="00486A2B">
      <w:pPr>
        <w:numPr>
          <w:ilvl w:val="0"/>
          <w:numId w:val="4"/>
        </w:numPr>
        <w:rPr>
          <w:lang w:val="fr-FR"/>
        </w:rPr>
      </w:pPr>
      <m:oMath>
        <m:r>
          <w:rPr>
            <w:rFonts w:ascii="Cambria Math" w:hAnsi="Cambria Math"/>
            <w:lang w:val="fr-FR"/>
          </w:rPr>
          <m:t>H&gt;</m:t>
        </m:r>
        <m:r>
          <m:rPr>
            <m:sty m:val="p"/>
          </m:rPr>
          <w:rPr>
            <w:rFonts w:ascii="Cambria Math" w:hAnsi="Cambria Math"/>
            <w:lang w:val="fr-FR"/>
          </w:rPr>
          <m:t>0,5</m:t>
        </m:r>
      </m:oMath>
      <w:r w:rsidR="000F552B">
        <w:rPr>
          <w:rFonts w:eastAsiaTheme="minorEastAsia"/>
          <w:lang w:val="fr-FR"/>
        </w:rPr>
        <w:t xml:space="preserve"> </w:t>
      </w:r>
      <w:r w:rsidRPr="00486A2B">
        <w:rPr>
          <w:lang w:val="fr-FR"/>
        </w:rPr>
        <w:t>indique un comportement persistant</w:t>
      </w:r>
      <w:r w:rsidR="00262B82">
        <w:rPr>
          <w:lang w:val="fr-FR"/>
        </w:rPr>
        <w:t>, caractéristique de dynamique de tendance</w:t>
      </w:r>
      <w:r w:rsidRPr="00486A2B">
        <w:rPr>
          <w:lang w:val="fr-FR"/>
        </w:rPr>
        <w:t xml:space="preserve"> ;</w:t>
      </w:r>
    </w:p>
    <w:p w14:paraId="01DC5A9F" w14:textId="3072C031" w:rsidR="00486A2B" w:rsidRPr="00486A2B" w:rsidRDefault="00486A2B" w:rsidP="00486A2B">
      <w:pPr>
        <w:numPr>
          <w:ilvl w:val="0"/>
          <w:numId w:val="4"/>
        </w:numPr>
        <w:rPr>
          <w:lang w:val="fr-FR"/>
        </w:rPr>
      </w:pPr>
      <m:oMath>
        <m:r>
          <w:rPr>
            <w:rFonts w:ascii="Cambria Math" w:hAnsi="Cambria Math"/>
            <w:lang w:val="fr-FR"/>
          </w:rPr>
          <m:t>H&lt;</m:t>
        </m:r>
        <m:r>
          <m:rPr>
            <m:sty m:val="p"/>
          </m:rPr>
          <w:rPr>
            <w:rFonts w:ascii="Cambria Math" w:hAnsi="Cambria Math"/>
            <w:lang w:val="fr-FR"/>
          </w:rPr>
          <m:t>0,5</m:t>
        </m:r>
      </m:oMath>
      <w:r w:rsidR="000F552B">
        <w:rPr>
          <w:rFonts w:eastAsiaTheme="minorEastAsia"/>
          <w:lang w:val="fr-FR"/>
        </w:rPr>
        <w:t xml:space="preserve"> </w:t>
      </w:r>
      <w:r w:rsidRPr="00486A2B">
        <w:rPr>
          <w:lang w:val="fr-FR"/>
        </w:rPr>
        <w:t>indique un comportement anti-persistant</w:t>
      </w:r>
      <w:r w:rsidR="00262B82">
        <w:rPr>
          <w:lang w:val="fr-FR"/>
        </w:rPr>
        <w:t>, associé à un retour à la moyenne</w:t>
      </w:r>
      <w:r w:rsidRPr="00486A2B">
        <w:rPr>
          <w:lang w:val="fr-FR"/>
        </w:rPr>
        <w:t>.</w:t>
      </w:r>
    </w:p>
    <w:p w14:paraId="7D8D48BF" w14:textId="77777777" w:rsidR="00486A2B" w:rsidRPr="00486A2B" w:rsidRDefault="00486A2B" w:rsidP="00486A2B">
      <w:pPr>
        <w:rPr>
          <w:lang w:val="fr-FR"/>
        </w:rPr>
      </w:pPr>
      <w:r w:rsidRPr="00486A2B">
        <w:rPr>
          <w:lang w:val="fr-FR"/>
        </w:rPr>
        <w:t>Nous construisons alors un facteur d’ajustement :</w:t>
      </w:r>
    </w:p>
    <w:p w14:paraId="302CB011" w14:textId="5B0399A8" w:rsidR="00486A2B" w:rsidRPr="00486A2B" w:rsidRDefault="00000000" w:rsidP="00486A2B">
      <w:pPr>
        <w:rPr>
          <w:lang w:val="en-GB"/>
        </w:rPr>
      </w:pPr>
      <m:oMathPara>
        <m:oMath>
          <m:sSub>
            <m:sSubPr>
              <m:ctrlPr>
                <w:rPr>
                  <w:rFonts w:ascii="Cambria Math" w:hAnsi="Cambria Math"/>
                  <w:lang w:val="fr-FR"/>
                </w:rPr>
              </m:ctrlPr>
            </m:sSubPr>
            <m:e>
              <m:r>
                <m:rPr>
                  <m:nor/>
                </m:rPr>
                <w:rPr>
                  <w:lang w:val="en-GB"/>
                </w:rPr>
                <m:t>HurstAdj</m:t>
              </m:r>
            </m:e>
            <m:sub>
              <m:r>
                <w:rPr>
                  <w:rFonts w:ascii="Cambria Math" w:hAnsi="Cambria Math"/>
                  <w:lang w:val="fr-FR"/>
                </w:rPr>
                <m:t>t</m:t>
              </m:r>
            </m:sub>
          </m:sSub>
          <m:r>
            <w:rPr>
              <w:rFonts w:ascii="Cambria Math" w:hAnsi="Cambria Math"/>
              <w:lang w:val="en-GB"/>
            </w:rPr>
            <m:t>=</m:t>
          </m:r>
          <m:r>
            <m:rPr>
              <m:sty m:val="p"/>
            </m:rPr>
            <w:rPr>
              <w:rFonts w:ascii="Cambria Math" w:hAnsi="Cambria Math"/>
              <w:lang w:val="en-GB"/>
            </w:rPr>
            <m:t>max</m:t>
          </m:r>
          <m:r>
            <w:rPr>
              <w:rFonts w:ascii="Cambria Math" w:hAnsi="Cambria Math"/>
              <w:lang w:val="en-GB"/>
            </w:rPr>
            <m:t>⁡(</m:t>
          </m:r>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m:t>
              </m:r>
            </m:sub>
          </m:sSub>
          <m:r>
            <w:rPr>
              <w:rFonts w:ascii="Cambria Math" w:hAnsi="Cambria Math"/>
              <w:lang w:val="en-GB"/>
            </w:rPr>
            <m:t>-</m:t>
          </m:r>
          <m:r>
            <m:rPr>
              <m:sty m:val="p"/>
            </m:rPr>
            <w:rPr>
              <w:rFonts w:ascii="Cambria Math" w:hAnsi="Cambria Math"/>
              <w:lang w:val="en-GB"/>
            </w:rPr>
            <m:t>0,5</m:t>
          </m:r>
          <m:r>
            <w:rPr>
              <w:rFonts w:ascii="Cambria Math" w:hAnsi="Cambria Math"/>
              <w:lang w:val="en-GB"/>
            </w:rPr>
            <m:t>,0)</m:t>
          </m:r>
          <m:r>
            <m:rPr>
              <m:sty m:val="p"/>
            </m:rPr>
            <w:rPr>
              <w:lang w:val="en-GB"/>
            </w:rPr>
            <w:br/>
          </m:r>
        </m:oMath>
      </m:oMathPara>
    </w:p>
    <w:p w14:paraId="52658C27" w14:textId="66CB38DD" w:rsidR="00AF39DC" w:rsidRPr="00486A2B" w:rsidRDefault="00486A2B" w:rsidP="00486A2B">
      <w:pPr>
        <w:rPr>
          <w:lang w:val="fr-FR"/>
        </w:rPr>
      </w:pPr>
      <w:r w:rsidRPr="00486A2B">
        <w:rPr>
          <w:lang w:val="fr-FR"/>
        </w:rPr>
        <w:t>qui est nul lorsque le marché ne présente pas de dynamique de tendance claire</w:t>
      </w:r>
      <w:r w:rsidR="00262B82">
        <w:rPr>
          <w:lang w:val="fr-FR"/>
        </w:rPr>
        <w:t xml:space="preserve"> </w:t>
      </w:r>
      <w:r w:rsidR="00262B82" w:rsidRPr="00262B82">
        <w:rPr>
          <w:lang w:val="fr-FR"/>
        </w:rPr>
        <w:t>(</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lang w:val="fr-FR"/>
          </w:rPr>
          <m:t>≤</m:t>
        </m:r>
        <m:r>
          <m:rPr>
            <m:sty m:val="p"/>
          </m:rPr>
          <w:rPr>
            <w:rFonts w:ascii="Cambria Math" w:hAnsi="Cambria Math"/>
            <w:lang w:val="fr-FR"/>
          </w:rPr>
          <m:t>0,5</m:t>
        </m:r>
      </m:oMath>
      <w:r w:rsidR="00262B82" w:rsidRPr="00262B82">
        <w:rPr>
          <w:lang w:val="fr-FR"/>
        </w:rPr>
        <w:t>) et croît avec le degré de persistance observé. Ce facteur est utilisé comme un filtre de régime venant moduler l’intensité du signal Momentum</w:t>
      </w:r>
      <w:r w:rsidR="00864A78">
        <w:rPr>
          <w:lang w:val="fr-FR"/>
        </w:rPr>
        <w:t>.</w:t>
      </w:r>
    </w:p>
    <w:p w14:paraId="444480F9" w14:textId="7C4E62D9" w:rsidR="00AF39DC" w:rsidRPr="00AF39DC" w:rsidRDefault="00AF39DC" w:rsidP="00AF39DC">
      <w:pPr>
        <w:rPr>
          <w:b/>
          <w:bCs/>
          <w:lang w:val="fr-FR"/>
        </w:rPr>
      </w:pPr>
      <w:r w:rsidRPr="00AF39DC">
        <w:rPr>
          <w:b/>
          <w:bCs/>
          <w:lang w:val="fr-FR"/>
        </w:rPr>
        <w:lastRenderedPageBreak/>
        <w:t>L’exposant de Hurst et la persistance des séries financières - Littérature</w:t>
      </w:r>
    </w:p>
    <w:p w14:paraId="66EEFF2F" w14:textId="7053A400" w:rsidR="00146BC2" w:rsidRDefault="00146BC2" w:rsidP="00AF39DC">
      <w:pPr>
        <w:rPr>
          <w:lang w:val="fr-FR"/>
        </w:rPr>
      </w:pPr>
      <w:r w:rsidRPr="00146BC2">
        <w:rPr>
          <w:lang w:val="fr-FR"/>
        </w:rPr>
        <w:t>L’exposant de Hurst, introduit par Hurst (1951), permet de mesurer la persistance d’une série temporelle. Une valeur supérieure à 0,5 indique une dépendance positive à long terme (tendance), tandis qu’une valeur inférieure à 0,5 suggère un comportement de retour à la moyenne.</w:t>
      </w:r>
    </w:p>
    <w:p w14:paraId="22F89110" w14:textId="5F7D59E8" w:rsidR="00AF39DC" w:rsidRPr="00AF39DC" w:rsidRDefault="00AF39DC" w:rsidP="00AF39DC">
      <w:pPr>
        <w:rPr>
          <w:lang w:val="fr-FR"/>
        </w:rPr>
      </w:pPr>
      <w:r w:rsidRPr="00AF39DC">
        <w:rPr>
          <w:lang w:val="fr-FR"/>
        </w:rPr>
        <w:t>Lo (1991) adapte cette mesure au contexte financier et souligne que l’estimation de la mémoire à long terme doit être réalisée avec prudence, car elle peut être biaisée par des dépendances de court terme ou par le bruit.</w:t>
      </w:r>
    </w:p>
    <w:p w14:paraId="34E1C863" w14:textId="77777777" w:rsidR="00AF39DC" w:rsidRPr="00AF39DC" w:rsidRDefault="00AF39DC" w:rsidP="00AF39DC">
      <w:pPr>
        <w:rPr>
          <w:lang w:val="fr-FR"/>
        </w:rPr>
      </w:pPr>
      <w:r w:rsidRPr="00AF39DC">
        <w:rPr>
          <w:lang w:val="fr-FR"/>
        </w:rPr>
        <w:t>Dans le cadre de notre projet, nous utilisons l’exposant de Hurst comme un indicateur de régime : il permet d’identifier les périodes où les dynamiques de tendance sont plus susceptibles de persister, et donc où une stratégie Momentum a davantage de chances d’être efficace.</w:t>
      </w:r>
    </w:p>
    <w:p w14:paraId="5615540F" w14:textId="60931002" w:rsidR="00486A2B" w:rsidRDefault="00486A2B" w:rsidP="00486A2B">
      <w:pPr>
        <w:rPr>
          <w:lang w:val="fr-FR"/>
        </w:rPr>
      </w:pPr>
    </w:p>
    <w:p w14:paraId="1161A37E" w14:textId="77777777" w:rsidR="00AF39DC" w:rsidRPr="00486A2B" w:rsidRDefault="00AF39DC" w:rsidP="00486A2B">
      <w:pPr>
        <w:rPr>
          <w:lang w:val="fr-FR"/>
        </w:rPr>
      </w:pPr>
    </w:p>
    <w:p w14:paraId="246E8DAE" w14:textId="77777777" w:rsidR="00486A2B" w:rsidRPr="00486A2B" w:rsidRDefault="00486A2B" w:rsidP="00486A2B">
      <w:pPr>
        <w:rPr>
          <w:b/>
          <w:bCs/>
          <w:lang w:val="fr-FR"/>
        </w:rPr>
      </w:pPr>
      <w:r w:rsidRPr="00486A2B">
        <w:rPr>
          <w:b/>
          <w:bCs/>
          <w:lang w:val="fr-FR"/>
        </w:rPr>
        <w:t>4.3 Score final</w:t>
      </w:r>
    </w:p>
    <w:p w14:paraId="403E1830" w14:textId="77777777" w:rsidR="00486A2B" w:rsidRPr="00486A2B" w:rsidRDefault="00486A2B" w:rsidP="00486A2B">
      <w:pPr>
        <w:rPr>
          <w:lang w:val="fr-FR"/>
        </w:rPr>
      </w:pPr>
      <w:r w:rsidRPr="00486A2B">
        <w:rPr>
          <w:lang w:val="fr-FR"/>
        </w:rPr>
        <w:t>Le score utilisé pour classer les industries ou secteurs est :</w:t>
      </w:r>
    </w:p>
    <w:p w14:paraId="2932CA52" w14:textId="32C58A13" w:rsidR="00486A2B" w:rsidRPr="00486A2B" w:rsidRDefault="00000000" w:rsidP="00486A2B">
      <w:pPr>
        <w:rPr>
          <w:lang w:val="fr-FR"/>
        </w:rPr>
      </w:pPr>
      <m:oMathPara>
        <m:oMath>
          <m:sSub>
            <m:sSubPr>
              <m:ctrlPr>
                <w:rPr>
                  <w:rFonts w:ascii="Cambria Math" w:hAnsi="Cambria Math"/>
                  <w:lang w:val="fr-FR"/>
                </w:rPr>
              </m:ctrlPr>
            </m:sSubPr>
            <m:e>
              <m:r>
                <m:rPr>
                  <m:nor/>
                </m:rPr>
                <w:rPr>
                  <w:lang w:val="fr-FR"/>
                </w:rPr>
                <m:t>Score</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m:rPr>
                  <m:nor/>
                </m:rPr>
                <w:rPr>
                  <w:lang w:val="fr-FR"/>
                </w:rPr>
                <m:t>Momentum</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m:rPr>
                  <m:nor/>
                </m:rPr>
                <w:rPr>
                  <w:lang w:val="fr-FR"/>
                </w:rPr>
                <m:t>HurstAdj</m:t>
              </m:r>
            </m:e>
            <m:sub>
              <m:r>
                <w:rPr>
                  <w:rFonts w:ascii="Cambria Math" w:hAnsi="Cambria Math"/>
                  <w:lang w:val="fr-FR"/>
                </w:rPr>
                <m:t>t</m:t>
              </m:r>
            </m:sub>
          </m:sSub>
          <m:r>
            <m:rPr>
              <m:sty m:val="p"/>
            </m:rPr>
            <w:rPr>
              <w:lang w:val="fr-FR"/>
            </w:rPr>
            <w:br/>
          </m:r>
        </m:oMath>
      </m:oMathPara>
    </w:p>
    <w:p w14:paraId="3BAF2C58" w14:textId="675AFE9C" w:rsidR="00486A2B" w:rsidRPr="00864A78" w:rsidRDefault="00864A78" w:rsidP="00486A2B">
      <w:pPr>
        <w:rPr>
          <w:lang w:val="fr-FR"/>
        </w:rPr>
      </w:pPr>
      <w:r w:rsidRPr="00864A78">
        <w:rPr>
          <w:lang w:val="fr-FR"/>
        </w:rPr>
        <w:t>Ce score attribue un poids plus élevé aux segments présentant simultanément une performance passée élevée et une dynamique persistante, et réduit l’exposition lorsque les tendances sont faibles ou instables.</w:t>
      </w:r>
    </w:p>
    <w:p w14:paraId="15DEB076" w14:textId="19B3C58D" w:rsidR="00AF39DC" w:rsidRPr="00AF39DC" w:rsidRDefault="00AF39DC" w:rsidP="00486A2B">
      <w:pPr>
        <w:rPr>
          <w:b/>
          <w:bCs/>
          <w:lang w:val="fr-FR"/>
        </w:rPr>
      </w:pPr>
      <w:r w:rsidRPr="00761321">
        <w:rPr>
          <w:b/>
          <w:bCs/>
          <w:lang w:val="fr-FR"/>
        </w:rPr>
        <w:t>Combinaison Momentum × Hurst -Littérature</w:t>
      </w:r>
    </w:p>
    <w:p w14:paraId="311C9CE4" w14:textId="77777777" w:rsidR="00146BC2" w:rsidRPr="00146BC2" w:rsidRDefault="00146BC2" w:rsidP="00146BC2">
      <w:pPr>
        <w:rPr>
          <w:lang w:val="fr-FR"/>
        </w:rPr>
      </w:pPr>
      <w:r w:rsidRPr="00146BC2">
        <w:rPr>
          <w:lang w:val="fr-FR"/>
        </w:rPr>
        <w:t>Miao (2016) explore explicitement l’interaction entre Momentum et mémoire de long terme, montrant que le filtrage du Momentum par un indicateur de persistance peut améliorer sa stabilité, notamment en réduisant les pertes lors des retournements de régime.</w:t>
      </w:r>
    </w:p>
    <w:p w14:paraId="53DC6599" w14:textId="31BB928C" w:rsidR="00AF39DC" w:rsidRDefault="00AF39DC" w:rsidP="00486A2B">
      <w:pPr>
        <w:rPr>
          <w:lang w:val="fr-FR"/>
        </w:rPr>
      </w:pPr>
      <w:r w:rsidRPr="00AF39DC">
        <w:rPr>
          <w:lang w:val="fr-FR"/>
        </w:rPr>
        <w:t>De même, Vogl et al. (2023) montrent que l’exposant de Hurst varie dans le temps et est corrélé aux phases de stress ou de transition de marché, ce qui renforce l’idée qu’un filtre basé sur la persistance peut être pertinent pour adapter une stratégie de suivi de tendance.</w:t>
      </w:r>
    </w:p>
    <w:p w14:paraId="70F26E43" w14:textId="77777777" w:rsidR="00AF39DC" w:rsidRPr="00486A2B" w:rsidRDefault="00AF39DC" w:rsidP="00486A2B">
      <w:pPr>
        <w:rPr>
          <w:lang w:val="fr-FR"/>
        </w:rPr>
      </w:pPr>
    </w:p>
    <w:p w14:paraId="6C62ED46" w14:textId="77777777" w:rsidR="00486A2B" w:rsidRPr="00486A2B" w:rsidRDefault="00486A2B" w:rsidP="00486A2B">
      <w:pPr>
        <w:rPr>
          <w:b/>
          <w:bCs/>
          <w:lang w:val="fr-FR"/>
        </w:rPr>
      </w:pPr>
      <w:r w:rsidRPr="00486A2B">
        <w:rPr>
          <w:b/>
          <w:bCs/>
          <w:lang w:val="fr-FR"/>
        </w:rPr>
        <w:t>4.4 Construction du portefeuille</w:t>
      </w:r>
    </w:p>
    <w:p w14:paraId="61205F78" w14:textId="1FCDCE9B" w:rsidR="00AF39DC" w:rsidRDefault="00486A2B" w:rsidP="00486A2B">
      <w:pPr>
        <w:rPr>
          <w:lang w:val="fr-FR"/>
        </w:rPr>
      </w:pPr>
      <w:r w:rsidRPr="00486A2B">
        <w:rPr>
          <w:lang w:val="fr-FR"/>
        </w:rPr>
        <w:t xml:space="preserve">À chaque date de rééquilibrage (environ tous les 21 jours de bourse), les industries (ou secteurs) sont classées selon leur score. Les </w:t>
      </w:r>
      <m:oMath>
        <m:r>
          <w:rPr>
            <w:rFonts w:ascii="Cambria Math" w:hAnsi="Cambria Math"/>
            <w:lang w:val="fr-FR"/>
          </w:rPr>
          <m:t>q</m:t>
        </m:r>
        <m:r>
          <m:rPr>
            <m:sty m:val="p"/>
          </m:rPr>
          <w:rPr>
            <w:rFonts w:ascii="Cambria Math" w:hAnsi="Cambria Math"/>
            <w:lang w:val="fr-FR"/>
          </w:rPr>
          <m:t>%</m:t>
        </m:r>
      </m:oMath>
      <w:r w:rsidR="00864A78">
        <w:rPr>
          <w:rFonts w:eastAsiaTheme="minorEastAsia"/>
          <w:lang w:val="fr-FR"/>
        </w:rPr>
        <w:t xml:space="preserve"> </w:t>
      </w:r>
      <w:r w:rsidRPr="00486A2B">
        <w:rPr>
          <w:lang w:val="fr-FR"/>
        </w:rPr>
        <w:t>meilleurs sont sélectionnés pour constituer le portefeuille en position longue, pondérés de manière égale.</w:t>
      </w:r>
    </w:p>
    <w:p w14:paraId="30BB481B" w14:textId="77777777" w:rsidR="00AF39DC" w:rsidRPr="00AF39DC" w:rsidRDefault="00AF39DC" w:rsidP="00AF39DC">
      <w:pPr>
        <w:rPr>
          <w:lang w:val="fr-FR"/>
        </w:rPr>
      </w:pPr>
      <w:r w:rsidRPr="00AF39DC">
        <w:rPr>
          <w:lang w:val="fr-FR"/>
        </w:rPr>
        <w:t>Le choix d’une fréquence de rééquilibrage mensuelle (environ tous les 21 jours de bourse) correspond à un compromis classique entre réactivité du signal et coûts de transaction implicites. Des fréquences trop élevées conduisent à un turnover excessif et à une instabilité des portefeuilles, tandis que des fréquences trop faibles réduisent la capacité à capter les changements de régime.</w:t>
      </w:r>
    </w:p>
    <w:p w14:paraId="13682165" w14:textId="03F1D5C9" w:rsidR="00AF39DC" w:rsidRDefault="00AF39DC" w:rsidP="00486A2B">
      <w:pPr>
        <w:rPr>
          <w:lang w:val="fr-FR"/>
        </w:rPr>
      </w:pPr>
      <w:r w:rsidRPr="00AF39DC">
        <w:rPr>
          <w:lang w:val="fr-FR"/>
        </w:rPr>
        <w:lastRenderedPageBreak/>
        <w:t>Dans la littérature Momentum, les horizons intermédiaires (1 à 3 mois) sont généralement considérés comme les plus efficaces, ce qui justifie notre choix d’une fenêtre de Momentum de 60 jours et d’un rééquilibrage mensuel.</w:t>
      </w:r>
    </w:p>
    <w:p w14:paraId="6076E97F" w14:textId="31FB5E94" w:rsidR="00486A2B" w:rsidRPr="00486A2B" w:rsidRDefault="00486A2B" w:rsidP="00486A2B">
      <w:pPr>
        <w:rPr>
          <w:lang w:val="fr-FR"/>
        </w:rPr>
      </w:pPr>
      <w:r w:rsidRPr="00486A2B">
        <w:rPr>
          <w:lang w:val="fr-FR"/>
        </w:rPr>
        <w:t>La version long/short de la stratégie est étudiée en annexe, mais la stratégie principale présentée ici est une stratégie long-</w:t>
      </w:r>
      <w:proofErr w:type="spellStart"/>
      <w:r w:rsidRPr="00486A2B">
        <w:rPr>
          <w:lang w:val="fr-FR"/>
        </w:rPr>
        <w:t>only</w:t>
      </w:r>
      <w:proofErr w:type="spellEnd"/>
      <w:r w:rsidRPr="00486A2B">
        <w:rPr>
          <w:lang w:val="fr-FR"/>
        </w:rPr>
        <w:t>, afin de privilégier la robustesse et la lisibilité des résultats.</w:t>
      </w:r>
    </w:p>
    <w:p w14:paraId="48F2251E" w14:textId="77777777" w:rsidR="00146BC2" w:rsidRDefault="00146BC2" w:rsidP="00486A2B">
      <w:pPr>
        <w:rPr>
          <w:lang w:val="fr-FR"/>
        </w:rPr>
      </w:pPr>
    </w:p>
    <w:p w14:paraId="5DAAE377" w14:textId="77777777" w:rsidR="00D46A8F" w:rsidRDefault="00D46A8F" w:rsidP="00486A2B">
      <w:pPr>
        <w:rPr>
          <w:lang w:val="fr-FR"/>
        </w:rPr>
      </w:pPr>
    </w:p>
    <w:p w14:paraId="50B41033" w14:textId="77777777" w:rsidR="00D46A8F" w:rsidRPr="00D46A8F" w:rsidRDefault="00D46A8F" w:rsidP="00D46A8F">
      <w:pPr>
        <w:rPr>
          <w:b/>
          <w:bCs/>
          <w:lang w:val="fr-FR"/>
        </w:rPr>
      </w:pPr>
      <w:r w:rsidRPr="00D46A8F">
        <w:rPr>
          <w:b/>
          <w:bCs/>
          <w:lang w:val="fr-FR"/>
        </w:rPr>
        <w:t>5. Discussion et limites de l’étude</w:t>
      </w:r>
    </w:p>
    <w:p w14:paraId="26DE54AA" w14:textId="77777777" w:rsidR="00D46A8F" w:rsidRPr="00D46A8F" w:rsidRDefault="00D46A8F" w:rsidP="00D46A8F">
      <w:pPr>
        <w:rPr>
          <w:lang w:val="fr-FR"/>
        </w:rPr>
      </w:pPr>
      <w:r w:rsidRPr="00D46A8F">
        <w:rPr>
          <w:lang w:val="fr-FR"/>
        </w:rPr>
        <w:t>Cette étude présente plusieurs limites qu’il convient de souligner.</w:t>
      </w:r>
    </w:p>
    <w:p w14:paraId="3A62B2F5" w14:textId="77777777" w:rsidR="00D46A8F" w:rsidRPr="00D46A8F" w:rsidRDefault="00D46A8F" w:rsidP="00D46A8F">
      <w:pPr>
        <w:rPr>
          <w:lang w:val="fr-FR"/>
        </w:rPr>
      </w:pPr>
      <w:r w:rsidRPr="00D46A8F">
        <w:rPr>
          <w:lang w:val="fr-FR"/>
        </w:rPr>
        <w:t>Premièrement, les résultats dépendent du choix des paramètres de la stratégie, notamment la longueur de la fenêtre de Momentum, la période de skip, la méthode d’estimation de l’exposant de Hurst et la fréquence de rééquilibrage. Bien que ces choix soient motivés par la littérature, d’autres configurations pourraient conduire à des performances différentes.</w:t>
      </w:r>
    </w:p>
    <w:p w14:paraId="7778397E" w14:textId="77777777" w:rsidR="00D46A8F" w:rsidRPr="00D46A8F" w:rsidRDefault="00D46A8F" w:rsidP="00D46A8F">
      <w:pPr>
        <w:rPr>
          <w:lang w:val="fr-FR"/>
        </w:rPr>
      </w:pPr>
      <w:r w:rsidRPr="00D46A8F">
        <w:rPr>
          <w:lang w:val="fr-FR"/>
        </w:rPr>
        <w:t>Deuxièmement, la stratégie est testée sur un univers spécifique (les actions du S&amp;P 500 regroupées par industries et secteurs) et sur une période particulière (2010–2025), ce qui limite la généralisation des résultats à d’autres marchés, d’autres périodes ou d’autres classes d’actifs.</w:t>
      </w:r>
    </w:p>
    <w:p w14:paraId="5A428478" w14:textId="77777777" w:rsidR="00D46A8F" w:rsidRPr="00D46A8F" w:rsidRDefault="00D46A8F" w:rsidP="00D46A8F">
      <w:pPr>
        <w:rPr>
          <w:lang w:val="fr-FR"/>
        </w:rPr>
      </w:pPr>
      <w:r w:rsidRPr="00D46A8F">
        <w:rPr>
          <w:lang w:val="fr-FR"/>
        </w:rPr>
        <w:t xml:space="preserve">Troisièmement, les </w:t>
      </w:r>
      <w:proofErr w:type="spellStart"/>
      <w:r w:rsidRPr="00D46A8F">
        <w:rPr>
          <w:lang w:val="fr-FR"/>
        </w:rPr>
        <w:t>backtests</w:t>
      </w:r>
      <w:proofErr w:type="spellEnd"/>
      <w:r w:rsidRPr="00D46A8F">
        <w:rPr>
          <w:lang w:val="fr-FR"/>
        </w:rPr>
        <w:t xml:space="preserve"> présentés ne tiennent pas explicitement compte des coûts de transaction, de l’impact de marché ni des contraintes opérationnelles telles que la liquidité ou les frais de financement, ce qui pourrait réduire la performance nette dans une implémentation réelle.</w:t>
      </w:r>
    </w:p>
    <w:p w14:paraId="44E0C670" w14:textId="77777777" w:rsidR="00D46A8F" w:rsidRPr="00D46A8F" w:rsidRDefault="00D46A8F" w:rsidP="00D46A8F">
      <w:pPr>
        <w:rPr>
          <w:lang w:val="fr-FR"/>
        </w:rPr>
      </w:pPr>
      <w:r w:rsidRPr="00D46A8F">
        <w:rPr>
          <w:lang w:val="fr-FR"/>
        </w:rPr>
        <w:t>Enfin, l’utilisation de l’exposant de Hurst comme indicateur de régime repose sur une estimation statistique bruitée, sensible à la fenêtre choisie et aux dépendances de court terme. Les résultats doivent donc être interprétés avec prudence, comme des relations empiriques plutôt que comme des lois structurelles.</w:t>
      </w:r>
    </w:p>
    <w:p w14:paraId="7E297E2A" w14:textId="12DAEF39" w:rsidR="00D46A8F" w:rsidRPr="00D46A8F" w:rsidRDefault="00D46A8F" w:rsidP="00D46A8F">
      <w:pPr>
        <w:rPr>
          <w:lang w:val="fr-FR"/>
        </w:rPr>
      </w:pPr>
    </w:p>
    <w:p w14:paraId="18DA1C67" w14:textId="77777777" w:rsidR="00D46A8F" w:rsidRPr="00D46A8F" w:rsidRDefault="00D46A8F" w:rsidP="00D46A8F">
      <w:pPr>
        <w:rPr>
          <w:b/>
          <w:bCs/>
          <w:lang w:val="fr-FR"/>
        </w:rPr>
      </w:pPr>
      <w:r w:rsidRPr="00D46A8F">
        <w:rPr>
          <w:b/>
          <w:bCs/>
          <w:lang w:val="fr-FR"/>
        </w:rPr>
        <w:t>6. Extension long/short</w:t>
      </w:r>
    </w:p>
    <w:p w14:paraId="38BC24CF" w14:textId="77777777" w:rsidR="003B7C93" w:rsidRPr="003B7C93" w:rsidRDefault="003B7C93" w:rsidP="003B7C93">
      <w:pPr>
        <w:rPr>
          <w:lang w:val="fr-FR"/>
        </w:rPr>
      </w:pPr>
      <w:r w:rsidRPr="003B7C93">
        <w:rPr>
          <w:lang w:val="fr-FR"/>
        </w:rPr>
        <w:t>En complément de la stratégie long-</w:t>
      </w:r>
      <w:proofErr w:type="spellStart"/>
      <w:r w:rsidRPr="003B7C93">
        <w:rPr>
          <w:lang w:val="fr-FR"/>
        </w:rPr>
        <w:t>only</w:t>
      </w:r>
      <w:proofErr w:type="spellEnd"/>
      <w:r w:rsidRPr="003B7C93">
        <w:rPr>
          <w:lang w:val="fr-FR"/>
        </w:rPr>
        <w:t>, nous avons testé une version long/short consistant à prendre des positions longues sur les segments les mieux classés selon le score et des positions courtes sur les segments les moins bien classés.</w:t>
      </w:r>
    </w:p>
    <w:p w14:paraId="24DCFB95" w14:textId="77777777" w:rsidR="003B7C93" w:rsidRPr="003B7C93" w:rsidRDefault="003B7C93" w:rsidP="003B7C93">
      <w:pPr>
        <w:rPr>
          <w:lang w:val="fr-FR"/>
        </w:rPr>
      </w:pPr>
      <w:r w:rsidRPr="003B7C93">
        <w:rPr>
          <w:lang w:val="fr-FR"/>
        </w:rPr>
        <w:t>Les résultats empiriques montrent que cette extension conduit à une dégradation marquée de la performance, caractérisée par une sous-performance persistante, une dérive négative de la valeur du portefeuille et une augmentation de la volatilité relative. Autrement dit, la version long/short ne parvient pas à extraire une prime exploitable du côté des segments les moins performants et introduit au contraire une source supplémentaire d’instabilité.</w:t>
      </w:r>
    </w:p>
    <w:p w14:paraId="4CAC4990" w14:textId="77777777" w:rsidR="003B7C93" w:rsidRPr="003B7C93" w:rsidRDefault="003B7C93" w:rsidP="003B7C93">
      <w:pPr>
        <w:rPr>
          <w:lang w:val="fr-FR"/>
        </w:rPr>
      </w:pPr>
      <w:r w:rsidRPr="003B7C93">
        <w:rPr>
          <w:lang w:val="fr-FR"/>
        </w:rPr>
        <w:t>Plusieurs mécanismes peuvent expliquer ce comportement : l’asymétrie structurelle des marchés actions, qui présentent une dérive haussière de long terme, la difficulté à identifier de manière robuste des tendances baissières persistantes au niveau sectoriel ou industriel, ainsi que les effets de retournement plus fréquents dans les segments faibles.</w:t>
      </w:r>
    </w:p>
    <w:p w14:paraId="088EE944" w14:textId="77777777" w:rsidR="003B7C93" w:rsidRPr="003B7C93" w:rsidRDefault="003B7C93" w:rsidP="003B7C93">
      <w:pPr>
        <w:rPr>
          <w:lang w:val="fr-FR"/>
        </w:rPr>
      </w:pPr>
      <w:r w:rsidRPr="003B7C93">
        <w:rPr>
          <w:lang w:val="fr-FR"/>
        </w:rPr>
        <w:lastRenderedPageBreak/>
        <w:t>Ces résultats suggèrent que, dans le cadre étudié, la valeur ajoutée de la stratégie provient essentiellement de la sélection des segments les plus porteurs, et non de l’exploitation symétrique des segments les moins performants. Cela justifie le choix de se concentrer principalement sur la version long-</w:t>
      </w:r>
      <w:proofErr w:type="spellStart"/>
      <w:r w:rsidRPr="003B7C93">
        <w:rPr>
          <w:lang w:val="fr-FR"/>
        </w:rPr>
        <w:t>only</w:t>
      </w:r>
      <w:proofErr w:type="spellEnd"/>
      <w:r w:rsidRPr="003B7C93">
        <w:rPr>
          <w:lang w:val="fr-FR"/>
        </w:rPr>
        <w:t xml:space="preserve"> dans la suite de l’analyse.</w:t>
      </w:r>
    </w:p>
    <w:p w14:paraId="38BE1BFE" w14:textId="77777777" w:rsidR="00D46A8F" w:rsidRDefault="00D46A8F" w:rsidP="00486A2B">
      <w:pPr>
        <w:rPr>
          <w:lang w:val="fr-FR"/>
        </w:rPr>
      </w:pPr>
    </w:p>
    <w:p w14:paraId="1DD17319" w14:textId="77777777" w:rsidR="00D46A8F" w:rsidRDefault="00D46A8F" w:rsidP="00486A2B">
      <w:pPr>
        <w:rPr>
          <w:lang w:val="fr-FR"/>
        </w:rPr>
      </w:pPr>
    </w:p>
    <w:p w14:paraId="53B843D2" w14:textId="6DE44A15" w:rsidR="00AF39DC" w:rsidRPr="00AF39DC" w:rsidRDefault="00AF39DC" w:rsidP="00AF39DC">
      <w:pPr>
        <w:rPr>
          <w:b/>
          <w:bCs/>
          <w:lang w:val="fr-FR"/>
        </w:rPr>
      </w:pPr>
      <w:r w:rsidRPr="00AF39DC">
        <w:rPr>
          <w:b/>
          <w:bCs/>
          <w:lang w:val="fr-FR"/>
        </w:rPr>
        <w:t>Références</w:t>
      </w:r>
    </w:p>
    <w:p w14:paraId="3E7795D4" w14:textId="4CF54288" w:rsidR="00864A78" w:rsidRPr="00864A78" w:rsidRDefault="00864A78" w:rsidP="00864A78">
      <w:pPr>
        <w:pStyle w:val="Paragraphedeliste"/>
        <w:numPr>
          <w:ilvl w:val="0"/>
          <w:numId w:val="9"/>
        </w:numPr>
        <w:rPr>
          <w:lang w:val="en-GB"/>
        </w:rPr>
      </w:pPr>
      <w:r w:rsidRPr="00864A78">
        <w:rPr>
          <w:lang w:val="en-GB"/>
        </w:rPr>
        <w:t xml:space="preserve">Jegadeesh, N., &amp; Titman, S. (1993). Returns to buying winners and selling losers: Implications for stock market efficiency. </w:t>
      </w:r>
      <w:r w:rsidRPr="00864A78">
        <w:rPr>
          <w:i/>
          <w:iCs/>
          <w:lang w:val="en-GB"/>
        </w:rPr>
        <w:t>Journal of Finance</w:t>
      </w:r>
    </w:p>
    <w:p w14:paraId="0CBBB777" w14:textId="6E1594AA" w:rsidR="00864A78" w:rsidRPr="00864A78" w:rsidRDefault="00864A78" w:rsidP="00864A78">
      <w:pPr>
        <w:pStyle w:val="Paragraphedeliste"/>
        <w:numPr>
          <w:ilvl w:val="0"/>
          <w:numId w:val="9"/>
        </w:numPr>
        <w:rPr>
          <w:lang w:val="en-GB"/>
        </w:rPr>
      </w:pPr>
      <w:r w:rsidRPr="00864A78">
        <w:rPr>
          <w:lang w:val="en-GB"/>
        </w:rPr>
        <w:t xml:space="preserve">Carhart, M. (1997). On persistence in mutual fund performance. </w:t>
      </w:r>
      <w:r w:rsidRPr="00864A78">
        <w:rPr>
          <w:i/>
          <w:iCs/>
          <w:lang w:val="en-GB"/>
        </w:rPr>
        <w:t>Journal of Finance</w:t>
      </w:r>
    </w:p>
    <w:p w14:paraId="187A14B8" w14:textId="78063026" w:rsidR="00864A78" w:rsidRPr="00864A78" w:rsidRDefault="00864A78" w:rsidP="00864A78">
      <w:pPr>
        <w:pStyle w:val="Paragraphedeliste"/>
        <w:numPr>
          <w:ilvl w:val="0"/>
          <w:numId w:val="9"/>
        </w:numPr>
        <w:rPr>
          <w:lang w:val="en-GB"/>
        </w:rPr>
      </w:pPr>
      <w:r w:rsidRPr="00864A78">
        <w:rPr>
          <w:lang w:val="en-GB"/>
        </w:rPr>
        <w:t xml:space="preserve">Hurst, H. (1951). Long-term storage capacity of reservoirs. </w:t>
      </w:r>
      <w:r w:rsidRPr="00864A78">
        <w:rPr>
          <w:i/>
          <w:iCs/>
          <w:lang w:val="en-GB"/>
        </w:rPr>
        <w:t>Transactions of the American Society of Civil Engineers</w:t>
      </w:r>
    </w:p>
    <w:p w14:paraId="1E798B12" w14:textId="20720C5B" w:rsidR="00864A78" w:rsidRPr="00864A78" w:rsidRDefault="00864A78" w:rsidP="00864A78">
      <w:pPr>
        <w:pStyle w:val="Paragraphedeliste"/>
        <w:numPr>
          <w:ilvl w:val="0"/>
          <w:numId w:val="9"/>
        </w:numPr>
        <w:rPr>
          <w:lang w:val="en-GB"/>
        </w:rPr>
      </w:pPr>
      <w:r w:rsidRPr="00864A78">
        <w:rPr>
          <w:lang w:val="en-GB"/>
        </w:rPr>
        <w:t xml:space="preserve">Lo, A. (1991). Long-term memory in stock market prices. </w:t>
      </w:r>
      <w:proofErr w:type="spellStart"/>
      <w:r w:rsidRPr="00864A78">
        <w:rPr>
          <w:i/>
          <w:iCs/>
          <w:lang w:val="en-GB"/>
        </w:rPr>
        <w:t>Econometrica</w:t>
      </w:r>
      <w:proofErr w:type="spellEnd"/>
    </w:p>
    <w:p w14:paraId="37D8FC2B" w14:textId="77777777" w:rsidR="00864A78" w:rsidRPr="00864A78" w:rsidRDefault="00864A78" w:rsidP="00864A78">
      <w:pPr>
        <w:pStyle w:val="Paragraphedeliste"/>
        <w:numPr>
          <w:ilvl w:val="0"/>
          <w:numId w:val="9"/>
        </w:numPr>
        <w:rPr>
          <w:lang w:val="en-GB"/>
        </w:rPr>
      </w:pPr>
      <w:r w:rsidRPr="00864A78">
        <w:rPr>
          <w:lang w:val="en-GB"/>
        </w:rPr>
        <w:t xml:space="preserve">Miao, Y. (2016). </w:t>
      </w:r>
      <w:r w:rsidRPr="00864A78">
        <w:rPr>
          <w:i/>
          <w:iCs/>
          <w:lang w:val="en-GB"/>
        </w:rPr>
        <w:t>Memory vs Momentum</w:t>
      </w:r>
      <w:r w:rsidRPr="00864A78">
        <w:rPr>
          <w:lang w:val="en-GB"/>
        </w:rPr>
        <w:t>. Master’s thesis.</w:t>
      </w:r>
    </w:p>
    <w:p w14:paraId="1A4ED42A" w14:textId="77777777" w:rsidR="00864A78" w:rsidRPr="00864A78" w:rsidRDefault="00864A78" w:rsidP="00864A78">
      <w:pPr>
        <w:pStyle w:val="Paragraphedeliste"/>
        <w:numPr>
          <w:ilvl w:val="0"/>
          <w:numId w:val="9"/>
        </w:numPr>
        <w:rPr>
          <w:lang w:val="fr-FR"/>
        </w:rPr>
      </w:pPr>
      <w:r w:rsidRPr="00864A78">
        <w:rPr>
          <w:lang w:val="en-GB"/>
        </w:rPr>
        <w:t xml:space="preserve">Vogl, M., et al. (2023). Hurst exponent dynamics in equity markets. </w:t>
      </w:r>
      <w:proofErr w:type="spellStart"/>
      <w:r w:rsidRPr="00864A78">
        <w:rPr>
          <w:lang w:val="fr-FR"/>
        </w:rPr>
        <w:t>Working</w:t>
      </w:r>
      <w:proofErr w:type="spellEnd"/>
      <w:r w:rsidRPr="00864A78">
        <w:rPr>
          <w:lang w:val="fr-FR"/>
        </w:rPr>
        <w:t xml:space="preserve"> </w:t>
      </w:r>
      <w:proofErr w:type="spellStart"/>
      <w:r w:rsidRPr="00864A78">
        <w:rPr>
          <w:lang w:val="fr-FR"/>
        </w:rPr>
        <w:t>paper</w:t>
      </w:r>
      <w:proofErr w:type="spellEnd"/>
      <w:r w:rsidRPr="00864A78">
        <w:rPr>
          <w:lang w:val="fr-FR"/>
        </w:rPr>
        <w:t xml:space="preserve"> / article.</w:t>
      </w:r>
    </w:p>
    <w:p w14:paraId="1B25A3C8" w14:textId="77777777" w:rsidR="00AF39DC" w:rsidRPr="00486A2B" w:rsidRDefault="00AF39DC" w:rsidP="00486A2B">
      <w:pPr>
        <w:rPr>
          <w:lang w:val="fr-FR"/>
        </w:rPr>
      </w:pPr>
    </w:p>
    <w:p w14:paraId="5170C452" w14:textId="77777777" w:rsidR="00814A87" w:rsidRDefault="00814A87">
      <w:pPr>
        <w:rPr>
          <w:lang w:val="fr-FR"/>
        </w:rPr>
      </w:pPr>
    </w:p>
    <w:p w14:paraId="125A62B8" w14:textId="77777777" w:rsidR="00876A5C" w:rsidRDefault="00876A5C">
      <w:pPr>
        <w:rPr>
          <w:lang w:val="fr-FR"/>
        </w:rPr>
      </w:pPr>
    </w:p>
    <w:p w14:paraId="3BE2B3AC" w14:textId="7FC7C87C" w:rsidR="00876A5C" w:rsidRPr="00814A87" w:rsidRDefault="00876A5C">
      <w:pPr>
        <w:rPr>
          <w:lang w:val="fr-FR"/>
        </w:rPr>
      </w:pPr>
    </w:p>
    <w:sectPr w:rsidR="00876A5C" w:rsidRPr="00814A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12E6"/>
    <w:multiLevelType w:val="multilevel"/>
    <w:tmpl w:val="719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A45A7"/>
    <w:multiLevelType w:val="multilevel"/>
    <w:tmpl w:val="D38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C700E"/>
    <w:multiLevelType w:val="multilevel"/>
    <w:tmpl w:val="1BEC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1230D7"/>
    <w:multiLevelType w:val="multilevel"/>
    <w:tmpl w:val="D73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F6BD3"/>
    <w:multiLevelType w:val="multilevel"/>
    <w:tmpl w:val="B47C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3759F"/>
    <w:multiLevelType w:val="multilevel"/>
    <w:tmpl w:val="7102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96539"/>
    <w:multiLevelType w:val="hybridMultilevel"/>
    <w:tmpl w:val="EB9A37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F5D1216"/>
    <w:multiLevelType w:val="multilevel"/>
    <w:tmpl w:val="F372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C43A6"/>
    <w:multiLevelType w:val="multilevel"/>
    <w:tmpl w:val="D02C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93268">
    <w:abstractNumId w:val="2"/>
  </w:num>
  <w:num w:numId="2" w16cid:durableId="187838854">
    <w:abstractNumId w:val="3"/>
  </w:num>
  <w:num w:numId="3" w16cid:durableId="1222860608">
    <w:abstractNumId w:val="1"/>
  </w:num>
  <w:num w:numId="4" w16cid:durableId="375006485">
    <w:abstractNumId w:val="0"/>
  </w:num>
  <w:num w:numId="5" w16cid:durableId="1328481231">
    <w:abstractNumId w:val="7"/>
  </w:num>
  <w:num w:numId="6" w16cid:durableId="1588424824">
    <w:abstractNumId w:val="4"/>
  </w:num>
  <w:num w:numId="7" w16cid:durableId="1009722101">
    <w:abstractNumId w:val="8"/>
  </w:num>
  <w:num w:numId="8" w16cid:durableId="1537306386">
    <w:abstractNumId w:val="5"/>
  </w:num>
  <w:num w:numId="9" w16cid:durableId="2024623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2B"/>
    <w:rsid w:val="000F552B"/>
    <w:rsid w:val="00146BC2"/>
    <w:rsid w:val="00153FEA"/>
    <w:rsid w:val="00262B82"/>
    <w:rsid w:val="003A1BDE"/>
    <w:rsid w:val="003B7C93"/>
    <w:rsid w:val="004060D6"/>
    <w:rsid w:val="00416BB7"/>
    <w:rsid w:val="00486A2B"/>
    <w:rsid w:val="005A690F"/>
    <w:rsid w:val="005C5C30"/>
    <w:rsid w:val="006A00AA"/>
    <w:rsid w:val="006B7EC8"/>
    <w:rsid w:val="00761321"/>
    <w:rsid w:val="00814A87"/>
    <w:rsid w:val="00864A78"/>
    <w:rsid w:val="00876A5C"/>
    <w:rsid w:val="00886A75"/>
    <w:rsid w:val="008B3118"/>
    <w:rsid w:val="008F75FE"/>
    <w:rsid w:val="00AA7B79"/>
    <w:rsid w:val="00AF39DC"/>
    <w:rsid w:val="00C34259"/>
    <w:rsid w:val="00C74231"/>
    <w:rsid w:val="00CE6141"/>
    <w:rsid w:val="00D46A8F"/>
    <w:rsid w:val="00D640E0"/>
    <w:rsid w:val="00D728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36471"/>
  <w15:chartTrackingRefBased/>
  <w15:docId w15:val="{1E24A93E-2C79-4F63-8E42-A6631F81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486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86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86A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86A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86A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86A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6A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6A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6A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6A2B"/>
    <w:rPr>
      <w:rFonts w:asciiTheme="majorHAnsi" w:eastAsiaTheme="majorEastAsia" w:hAnsiTheme="majorHAnsi" w:cstheme="majorBidi"/>
      <w:color w:val="0F4761" w:themeColor="accent1" w:themeShade="BF"/>
      <w:sz w:val="40"/>
      <w:szCs w:val="40"/>
      <w:lang w:val="en-US"/>
    </w:rPr>
  </w:style>
  <w:style w:type="character" w:customStyle="1" w:styleId="Titre2Car">
    <w:name w:val="Titre 2 Car"/>
    <w:basedOn w:val="Policepardfaut"/>
    <w:link w:val="Titre2"/>
    <w:uiPriority w:val="9"/>
    <w:semiHidden/>
    <w:rsid w:val="00486A2B"/>
    <w:rPr>
      <w:rFonts w:asciiTheme="majorHAnsi" w:eastAsiaTheme="majorEastAsia" w:hAnsiTheme="majorHAnsi" w:cstheme="majorBidi"/>
      <w:color w:val="0F4761" w:themeColor="accent1" w:themeShade="BF"/>
      <w:sz w:val="32"/>
      <w:szCs w:val="32"/>
      <w:lang w:val="en-US"/>
    </w:rPr>
  </w:style>
  <w:style w:type="character" w:customStyle="1" w:styleId="Titre3Car">
    <w:name w:val="Titre 3 Car"/>
    <w:basedOn w:val="Policepardfaut"/>
    <w:link w:val="Titre3"/>
    <w:uiPriority w:val="9"/>
    <w:semiHidden/>
    <w:rsid w:val="00486A2B"/>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486A2B"/>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486A2B"/>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486A2B"/>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486A2B"/>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486A2B"/>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486A2B"/>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48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6A2B"/>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486A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6A2B"/>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486A2B"/>
    <w:pPr>
      <w:spacing w:before="160"/>
      <w:jc w:val="center"/>
    </w:pPr>
    <w:rPr>
      <w:i/>
      <w:iCs/>
      <w:color w:val="404040" w:themeColor="text1" w:themeTint="BF"/>
    </w:rPr>
  </w:style>
  <w:style w:type="character" w:customStyle="1" w:styleId="CitationCar">
    <w:name w:val="Citation Car"/>
    <w:basedOn w:val="Policepardfaut"/>
    <w:link w:val="Citation"/>
    <w:uiPriority w:val="29"/>
    <w:rsid w:val="00486A2B"/>
    <w:rPr>
      <w:i/>
      <w:iCs/>
      <w:color w:val="404040" w:themeColor="text1" w:themeTint="BF"/>
      <w:lang w:val="en-US"/>
    </w:rPr>
  </w:style>
  <w:style w:type="paragraph" w:styleId="Paragraphedeliste">
    <w:name w:val="List Paragraph"/>
    <w:basedOn w:val="Normal"/>
    <w:uiPriority w:val="34"/>
    <w:qFormat/>
    <w:rsid w:val="00486A2B"/>
    <w:pPr>
      <w:ind w:left="720"/>
      <w:contextualSpacing/>
    </w:pPr>
  </w:style>
  <w:style w:type="character" w:styleId="Accentuationintense">
    <w:name w:val="Intense Emphasis"/>
    <w:basedOn w:val="Policepardfaut"/>
    <w:uiPriority w:val="21"/>
    <w:qFormat/>
    <w:rsid w:val="00486A2B"/>
    <w:rPr>
      <w:i/>
      <w:iCs/>
      <w:color w:val="0F4761" w:themeColor="accent1" w:themeShade="BF"/>
    </w:rPr>
  </w:style>
  <w:style w:type="paragraph" w:styleId="Citationintense">
    <w:name w:val="Intense Quote"/>
    <w:basedOn w:val="Normal"/>
    <w:next w:val="Normal"/>
    <w:link w:val="CitationintenseCar"/>
    <w:uiPriority w:val="30"/>
    <w:qFormat/>
    <w:rsid w:val="00486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86A2B"/>
    <w:rPr>
      <w:i/>
      <w:iCs/>
      <w:color w:val="0F4761" w:themeColor="accent1" w:themeShade="BF"/>
      <w:lang w:val="en-US"/>
    </w:rPr>
  </w:style>
  <w:style w:type="character" w:styleId="Rfrenceintense">
    <w:name w:val="Intense Reference"/>
    <w:basedOn w:val="Policepardfaut"/>
    <w:uiPriority w:val="32"/>
    <w:qFormat/>
    <w:rsid w:val="00486A2B"/>
    <w:rPr>
      <w:b/>
      <w:bCs/>
      <w:smallCaps/>
      <w:color w:val="0F4761" w:themeColor="accent1" w:themeShade="BF"/>
      <w:spacing w:val="5"/>
    </w:rPr>
  </w:style>
  <w:style w:type="character" w:styleId="Textedelespacerserv">
    <w:name w:val="Placeholder Text"/>
    <w:basedOn w:val="Policepardfaut"/>
    <w:uiPriority w:val="99"/>
    <w:semiHidden/>
    <w:rsid w:val="00153F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2070</Words>
  <Characters>11385</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Chaigneau</dc:creator>
  <cp:keywords/>
  <dc:description/>
  <cp:lastModifiedBy>Lilian Chaigneau</cp:lastModifiedBy>
  <cp:revision>17</cp:revision>
  <dcterms:created xsi:type="dcterms:W3CDTF">2026-01-04T18:08:00Z</dcterms:created>
  <dcterms:modified xsi:type="dcterms:W3CDTF">2026-01-08T08:56:00Z</dcterms:modified>
</cp:coreProperties>
</file>