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4"/>
        </w:rPr>
        <w:t>OmniCompost — Inferred Author Profile</w:t>
      </w:r>
    </w:p>
    <w:p>
      <w:r>
        <w:rPr>
          <w:i/>
          <w:color w:val="666666"/>
          <w:sz w:val="22"/>
        </w:rPr>
        <w:t>An evidence-based inference drawn from the project files — not a verified biography.</w:t>
      </w:r>
    </w:p>
    <w:p>
      <w:r>
        <w:rPr>
          <w:color w:val="666666"/>
          <w:sz w:val="18"/>
        </w:rPr>
        <w:t>Compiled 2026-06-03  ·  Source of record: founder-profile-v4.md</w:t>
      </w:r>
    </w:p>
    <w:p>
      <w:pPr>
        <w:pStyle w:val="Heading1"/>
      </w:pPr>
      <w:r>
        <w:t>How to read this profile</w:t>
      </w:r>
    </w:p>
    <w:p>
      <w:r>
        <w:t>Each claim is split into what was observed (checkable facts in the repo) and what is inferred (interpretation you can disagree with without doubting the facts). Every claim carries a confidence level and a source.</w:t>
      </w:r>
    </w:p>
    <w:p>
      <w:r>
        <w:rPr>
          <w:b/>
        </w:rPr>
        <w:t xml:space="preserve">Sampling caveat: </w:t>
      </w:r>
      <w:r>
        <w:t>this is drawn entirely from one project's files. It describes who the author is in this repo — filtered through a deliberately curated artifact — and may not generalize beyond it.</w:t>
      </w:r>
    </w:p>
    <w:p>
      <w:pPr>
        <w:pStyle w:val="Heading1"/>
      </w:pPr>
      <w:r>
        <w:t>Thesis</w:t>
      </w:r>
    </w:p>
    <w:p>
      <w:r>
        <w:t>A brand operator who treats voice as an instrument — runs four deliberately-opposed registers without bleeding them, grades their own work in public, and ships the visible craft ahead of the backend (largely because the backend costs money).</w:t>
      </w:r>
    </w:p>
    <w:p>
      <w:r>
        <w:rPr>
          <w:i/>
          <w:color w:val="666666"/>
        </w:rPr>
        <w:t>Falsifier: if real checkout had shipped before the marketing surface was polished, the “visible-craft-first” half of this thesis would be wrong.</w:t>
      </w:r>
    </w:p>
    <w:p>
      <w:pPr>
        <w:pStyle w:val="Heading1"/>
      </w:pPr>
      <w:r>
        <w:t>What the evidence supports</w:t>
      </w:r>
    </w:p>
    <w:p>
      <w:pPr>
        <w:pStyle w:val="Heading2"/>
      </w:pPr>
      <w:r>
        <w:t>1. They engineer registers, not just pages</w:t>
      </w:r>
    </w:p>
    <w:p>
      <w:r>
        <w:rPr>
          <w:b/>
          <w:color w:val="3A5A40"/>
        </w:rPr>
        <w:t xml:space="preserve">Observed: </w:t>
      </w:r>
      <w:r>
        <w:t>Four audience voices maintained as separate systems — Premium (“imply, never state”), B2B (states tonnage and ROI), Mainstream Family, Kids — with an explicit rule that mixing them “destroys the brand.”</w:t>
      </w:r>
    </w:p>
    <w:p>
      <w:r>
        <w:rPr>
          <w:b/>
          <w:color w:val="3A5A40"/>
        </w:rPr>
        <w:t xml:space="preserve">Inferred: </w:t>
      </w:r>
      <w:r>
        <w:t>A brand strategist's discipline, not a stylist's taste. Taste is one setting they can dial, not their identity.</w:t>
      </w:r>
    </w:p>
    <w:p>
      <w:r>
        <w:rPr>
          <w:b/>
          <w:color w:val="3A5A40"/>
        </w:rPr>
        <w:t xml:space="preserve">Confidence: </w:t>
      </w:r>
      <w:r>
        <w:t>High</w:t>
      </w:r>
    </w:p>
    <w:p>
      <w:r>
        <w:rPr>
          <w:b/>
          <w:color w:val="3A5A40"/>
        </w:rPr>
        <w:t xml:space="preserve">Source: </w:t>
      </w:r>
      <w:r>
        <w:t>OmniCompost skill set (omnicompost-design-system, omnicompost-b2b-design-system).</w:t>
      </w:r>
    </w:p>
    <w:p>
      <w:pPr>
        <w:pStyle w:val="Heading2"/>
      </w:pPr>
      <w:r>
        <w:t>2. They build for their future self</w:t>
      </w:r>
    </w:p>
    <w:p>
      <w:r>
        <w:rPr>
          <w:b/>
          <w:color w:val="3A5A40"/>
        </w:rPr>
        <w:t xml:space="preserve">Observed: </w:t>
      </w:r>
      <w:r>
        <w:t>Single source of truth (products.json → build.py), one shared cart.js with “no logic fork,” “never hand-edit a generated page,” timestamps and “Don't” lists on living docs.</w:t>
      </w:r>
    </w:p>
    <w:p>
      <w:r>
        <w:rPr>
          <w:b/>
          <w:color w:val="3A5A40"/>
        </w:rPr>
        <w:t xml:space="preserve">Inferred: </w:t>
      </w:r>
      <w:r>
        <w:t>The instinct is to design out the chance of a quiet, later mistake.</w:t>
      </w:r>
    </w:p>
    <w:p>
      <w:r>
        <w:rPr>
          <w:b/>
          <w:color w:val="3A5A40"/>
        </w:rPr>
        <w:t xml:space="preserve">Confidence: </w:t>
      </w:r>
      <w:r>
        <w:t>High on the practices; Medium on the psychology — much of this lives in instructions written to an AI collaborator, so it shows how they delegate as much as how they work unaided.</w:t>
      </w:r>
    </w:p>
    <w:p>
      <w:r>
        <w:rPr>
          <w:b/>
          <w:color w:val="3A5A40"/>
        </w:rPr>
        <w:t xml:space="preserve">Source: </w:t>
      </w:r>
      <w:r>
        <w:t>CLAUDE.md, CONTENT-GUIDE.md, repo conventions.</w:t>
      </w:r>
    </w:p>
    <w:p>
      <w:pPr>
        <w:pStyle w:val="Heading2"/>
      </w:pPr>
      <w:r>
        <w:t>3. They grade honestly</w:t>
      </w:r>
    </w:p>
    <w:p>
      <w:r>
        <w:rPr>
          <w:b/>
          <w:color w:val="3A5A40"/>
        </w:rPr>
        <w:t xml:space="preserve">Observed: </w:t>
      </w:r>
      <w:r>
        <w:t>Numeric ratings (9.4, 9.6) with deductions explained; the demo checkout named openly as the main remaining gap.</w:t>
      </w:r>
    </w:p>
    <w:p>
      <w:r>
        <w:rPr>
          <w:b/>
          <w:color w:val="3A5A40"/>
        </w:rPr>
        <w:t xml:space="preserve">Inferred: </w:t>
      </w:r>
      <w:r>
        <w:t>Under-promising is deliberate; specificity (“5 gallons in a single day,” “two weeks without food or water”) does the persuading adjectives would do elsewhere.</w:t>
      </w:r>
    </w:p>
    <w:p>
      <w:r>
        <w:rPr>
          <w:b/>
          <w:color w:val="3A5A40"/>
        </w:rPr>
        <w:t xml:space="preserve">Confidence: </w:t>
      </w:r>
      <w:r>
        <w:t>High</w:t>
      </w:r>
    </w:p>
    <w:p>
      <w:r>
        <w:rPr>
          <w:b/>
          <w:color w:val="3A5A40"/>
        </w:rPr>
        <w:t xml:space="preserve">Source: </w:t>
      </w:r>
      <w:r>
        <w:t>REVIEW.md, SUMMARY.md, product copy in products.json.</w:t>
      </w:r>
    </w:p>
    <w:p>
      <w:pPr>
        <w:pStyle w:val="Heading1"/>
      </w:pPr>
      <w:r>
        <w:t>Tensions they're aware of</w:t>
      </w:r>
    </w:p>
    <w:p>
      <w:r>
        <w:rPr>
          <w:i/>
          <w:color w:val="666666"/>
        </w:rPr>
        <w:t>Reframed from “failure modes” — these are acknowledged trade-offs, not hidden flaws.</w:t>
      </w:r>
    </w:p>
    <w:p>
      <w:pPr>
        <w:pStyle w:val="ListBullet"/>
      </w:pPr>
      <w:r>
        <w:rPr>
          <w:b/>
        </w:rPr>
        <w:t>Polishes past done</w:t>
      </w:r>
      <w:r>
        <w:t xml:space="preserve"> — the grading habit can refine what already shipped instead of advancing what hasn't. (Inferred; Medium confidence.)</w:t>
      </w:r>
    </w:p>
    <w:p>
      <w:pPr>
        <w:pStyle w:val="ListBullet"/>
      </w:pPr>
      <w:r>
        <w:rPr>
          <w:b/>
        </w:rPr>
        <w:t>Front-of-house leads back-of-house — by budget, not blind spot.</w:t>
      </w:r>
      <w:r>
        <w:t xml:space="preserve"> Checkout has been the standing gap across versions. The main thing holding it back is that the backend (payments, hosting, a real checkout provider) costs money; the marketing surface is free to keep improving. A constraint, not a lapse — stated plainly so it isn't misread as neglect. (Observed gap; cost reason stated by the author. High confidence.)</w:t>
      </w:r>
    </w:p>
    <w:p>
      <w:pPr>
        <w:pStyle w:val="ListBullet"/>
      </w:pPr>
      <w:r>
        <w:rPr>
          <w:b/>
        </w:rPr>
        <w:t>Process can outweigh the object</w:t>
      </w:r>
      <w:r>
        <w:t xml:space="preserve"> — four voices, living docs, and a token-budget doctrine for what is, at bottom, a worm bin and a static site. (Inferred; Medium confidence.)</w:t>
      </w:r>
    </w:p>
    <w:p>
      <w:pPr>
        <w:pStyle w:val="ListBullet"/>
      </w:pPr>
      <w:r>
        <w:rPr>
          <w:b/>
        </w:rPr>
        <w:t>Rules can over-fire</w:t>
      </w:r>
      <w:r>
        <w:t xml:space="preserve"> — the human-writing pass had to reject two of the author's own over-zealous edits; the doctrine is strong enough to need a check against itself. (Observed; High confidence.)</w:t>
      </w:r>
    </w:p>
    <w:p>
      <w:pPr>
        <w:pStyle w:val="Heading1"/>
      </w:pPr>
      <w:r>
        <w:t>Held loosely (low confidence — guesses, not evidence)</w:t>
      </w:r>
    </w:p>
    <w:p>
      <w:pPr>
        <w:pStyle w:val="ListBullet"/>
      </w:pPr>
      <w:r>
        <w:rPr>
          <w:b/>
        </w:rPr>
        <w:t>Coastal-California identity</w:t>
      </w:r>
      <w:r>
        <w:t xml:space="preserve"> — inferred from Orange County place-names in the copy, which is audience-targeting. May say more about the customer than the author. (Low.)</w:t>
      </w:r>
    </w:p>
    <w:p>
      <w:pPr>
        <w:pStyle w:val="ListBullet"/>
      </w:pPr>
      <w:r>
        <w:rPr>
          <w:b/>
        </w:rPr>
        <w:t>“Worried about authenticity”</w:t>
      </w:r>
      <w:r>
        <w:t xml:space="preserve"> — reads true from the AI-testing folder, but could equally be ordinary QA rather than a personality trait. (Low.)</w:t>
      </w:r>
    </w:p>
    <w:p>
      <w:pPr>
        <w:pStyle w:val="ListBullet"/>
      </w:pPr>
      <w:r>
        <w:rPr>
          <w:b/>
        </w:rPr>
        <w:t>Reading taste / media diet</w:t>
      </w:r>
      <w:r>
        <w:t xml:space="preserve"> — unsupported; v1's Kinfolk / New Yorker tags were removed for exactly this reason. (Low.)</w:t>
      </w:r>
    </w:p>
    <w:p>
      <w:pPr>
        <w:pStyle w:val="Heading1"/>
      </w:pPr>
      <w:r>
        <w:t>In one line</w:t>
      </w:r>
    </w:p>
    <w:p>
      <w:r>
        <w:rPr>
          <w:i/>
        </w:rPr>
        <w:t>Four voices, an engineer's changelog honesty, and a backend deliberately deferred on cost — defined by range and rigor, not by the Premium gloss that range happens to include.</w:t>
      </w:r>
    </w:p>
    <w:p>
      <w:pPr>
        <w:pStyle w:val="Heading1"/>
      </w:pPr>
      <w:r>
        <w:t>Appendix — how this read was refined</w:t>
      </w:r>
    </w:p>
    <w:p>
      <w:pPr>
        <w:pStyle w:val="ListBullet"/>
      </w:pPr>
      <w:r>
        <w:rPr>
          <w:b/>
        </w:rPr>
        <w:t>v1</w:t>
      </w:r>
      <w:r>
        <w:t xml:space="preserve"> — drew a Premium aesthete; accurate but partial, with invented pop-culture tags and a backwards em-dash claim.</w:t>
      </w:r>
    </w:p>
    <w:p>
      <w:pPr>
        <w:pStyle w:val="ListBullet"/>
      </w:pPr>
      <w:r>
        <w:rPr>
          <w:b/>
        </w:rPr>
        <w:t>v2</w:t>
      </w:r>
      <w:r>
        <w:t xml:space="preserve"> — corrected the central error (the author deploys the Premium voice, isn't defined by it); added code-switching and failure modes.</w:t>
      </w:r>
    </w:p>
    <w:p>
      <w:pPr>
        <w:pStyle w:val="ListBullet"/>
      </w:pPr>
      <w:r>
        <w:rPr>
          <w:b/>
        </w:rPr>
        <w:t>v3</w:t>
      </w:r>
      <w:r>
        <w:t xml:space="preserve"> — separated evidence from guesswork; added the “held loosely” section.</w:t>
      </w:r>
    </w:p>
    <w:p>
      <w:pPr>
        <w:pStyle w:val="ListBullet"/>
      </w:pPr>
      <w:r>
        <w:rPr>
          <w:b/>
        </w:rPr>
        <w:t>v4</w:t>
      </w:r>
      <w:r>
        <w:t xml:space="preserve"> — added inline citations, per-claim confidence, the observed-vs-inferred seam, a falsifier and sampling caveat, and corrected the backend lag from “blind spot” to “budget constraint.”</w:t>
      </w:r>
    </w:p>
    <w:p>
      <w:pPr>
        <w:pStyle w:val="Heading1"/>
      </w:pPr>
      <w:r>
        <w:t>Note for a future branding page</w:t>
      </w:r>
    </w:p>
    <w:p>
      <w:r>
        <w:t>This is third-person analysis. A public “About”/brand page would need a voice decision (first-person “How I work” vs. third-person), and the “tensions” section should be softened or cut — honest internally, but raw self-criticism reads differently in public than in a working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