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68A19" w14:textId="26E514B1" w:rsidR="008339D0" w:rsidRDefault="00FD38A3" w:rsidP="008339D0">
      <w:pPr>
        <w:pStyle w:val="papertitle"/>
      </w:pPr>
      <w:r>
        <w:t>Interactions of Language</w:t>
      </w:r>
      <w:r w:rsidR="00085093">
        <w:t xml:space="preserve"> and Multilingual</w:t>
      </w:r>
      <w:r>
        <w:t xml:space="preserve"> Communities in Twitter</w:t>
      </w:r>
    </w:p>
    <w:p w14:paraId="15CCBA06" w14:textId="77777777" w:rsidR="008339D0" w:rsidRPr="00CD7CE4" w:rsidRDefault="008339D0" w:rsidP="008339D0">
      <w:pPr>
        <w:rPr>
          <w:lang w:val="en-GB"/>
        </w:rPr>
        <w:sectPr w:rsidR="008339D0" w:rsidRPr="00CD7CE4" w:rsidSect="00D37BDC">
          <w:pgSz w:w="11909" w:h="16834" w:code="9"/>
          <w:pgMar w:top="1080" w:right="734" w:bottom="2434" w:left="734" w:header="720" w:footer="720" w:gutter="0"/>
          <w:cols w:space="720"/>
          <w:docGrid w:linePitch="360"/>
        </w:sectPr>
      </w:pPr>
    </w:p>
    <w:p w14:paraId="6A0942F5" w14:textId="77777777" w:rsidR="008339D0" w:rsidRDefault="008339D0" w:rsidP="008339D0">
      <w:pPr>
        <w:pStyle w:val="Author"/>
        <w:rPr>
          <w:lang w:val="en-GB"/>
        </w:rPr>
      </w:pPr>
      <w:r>
        <w:rPr>
          <w:lang w:val="en-GB"/>
        </w:rPr>
        <w:lastRenderedPageBreak/>
        <w:t>Nabeel Albishry</w:t>
      </w:r>
    </w:p>
    <w:p w14:paraId="005A957D" w14:textId="77777777" w:rsidR="008339D0" w:rsidRDefault="008339D0" w:rsidP="008339D0">
      <w:pPr>
        <w:pStyle w:val="Affiliation"/>
        <w:rPr>
          <w:lang w:val="en-GB"/>
        </w:rPr>
      </w:pPr>
      <w:r>
        <w:rPr>
          <w:lang w:val="en-GB"/>
        </w:rPr>
        <w:t>Department of Computer Science</w:t>
      </w:r>
    </w:p>
    <w:p w14:paraId="2E257FC7" w14:textId="77777777" w:rsidR="008339D0" w:rsidRDefault="008339D0" w:rsidP="008339D0">
      <w:pPr>
        <w:pStyle w:val="Affiliation"/>
        <w:rPr>
          <w:lang w:val="en-GB"/>
        </w:rPr>
      </w:pPr>
      <w:r>
        <w:rPr>
          <w:lang w:val="en-GB"/>
        </w:rPr>
        <w:t>University of Bristol</w:t>
      </w:r>
    </w:p>
    <w:p w14:paraId="6FA3C4F1" w14:textId="77777777" w:rsidR="008339D0" w:rsidRDefault="008339D0" w:rsidP="008339D0">
      <w:pPr>
        <w:pStyle w:val="Affiliation"/>
        <w:rPr>
          <w:lang w:val="en-GB"/>
        </w:rPr>
      </w:pPr>
      <w:r>
        <w:rPr>
          <w:lang w:val="en-GB"/>
        </w:rPr>
        <w:t>Bristol, UK</w:t>
      </w:r>
    </w:p>
    <w:p w14:paraId="78C73CFF" w14:textId="77777777" w:rsidR="008339D0" w:rsidRDefault="008339D0" w:rsidP="008339D0">
      <w:pPr>
        <w:pStyle w:val="Affiliation"/>
        <w:jc w:val="both"/>
        <w:rPr>
          <w:lang w:val="en-GB"/>
        </w:rPr>
      </w:pPr>
      <w:r>
        <w:rPr>
          <w:lang w:val="en-GB"/>
        </w:rPr>
        <w:t xml:space="preserve">Email: </w:t>
      </w:r>
      <w:r w:rsidRPr="00380E5E">
        <w:rPr>
          <w:lang w:val="en-GB"/>
        </w:rPr>
        <w:t>n.albishry@bristol.ac.uk</w:t>
      </w:r>
    </w:p>
    <w:p w14:paraId="0E7BEEC3" w14:textId="77777777" w:rsidR="008339D0" w:rsidRDefault="008339D0" w:rsidP="008339D0">
      <w:pPr>
        <w:pStyle w:val="Affiliation"/>
        <w:jc w:val="both"/>
        <w:rPr>
          <w:lang w:eastAsia="uz-Cyrl-UZ" w:bidi="uz-Cyrl-UZ"/>
        </w:rPr>
      </w:pPr>
    </w:p>
    <w:p w14:paraId="43836683" w14:textId="77777777" w:rsidR="008339D0" w:rsidRDefault="008339D0" w:rsidP="008339D0">
      <w:pPr>
        <w:pStyle w:val="Affiliation"/>
        <w:jc w:val="both"/>
        <w:rPr>
          <w:lang w:eastAsia="uz-Cyrl-UZ" w:bidi="uz-Cyrl-UZ"/>
        </w:rPr>
      </w:pPr>
    </w:p>
    <w:p w14:paraId="230087DC" w14:textId="77777777" w:rsidR="008339D0" w:rsidRPr="00E868FE" w:rsidRDefault="008339D0" w:rsidP="008339D0">
      <w:pPr>
        <w:pStyle w:val="Author"/>
        <w:rPr>
          <w:lang w:val="en-GB"/>
        </w:rPr>
      </w:pPr>
      <w:r>
        <w:rPr>
          <w:lang w:eastAsia="uz-Cyrl-UZ" w:bidi="uz-Cyrl-UZ"/>
        </w:rPr>
        <w:lastRenderedPageBreak/>
        <w:t>Theo Tryfonas</w:t>
      </w:r>
    </w:p>
    <w:p w14:paraId="6668B559" w14:textId="77777777" w:rsidR="008339D0" w:rsidRDefault="008339D0" w:rsidP="008339D0">
      <w:pPr>
        <w:pStyle w:val="Affiliation"/>
        <w:rPr>
          <w:lang w:eastAsia="uz-Cyrl-UZ" w:bidi="uz-Cyrl-UZ"/>
        </w:rPr>
      </w:pPr>
      <w:r w:rsidRPr="00A85B43">
        <w:rPr>
          <w:lang w:eastAsia="uz-Cyrl-UZ" w:bidi="uz-Cyrl-UZ"/>
        </w:rPr>
        <w:t>Depa</w:t>
      </w:r>
      <w:r>
        <w:rPr>
          <w:lang w:eastAsia="uz-Cyrl-UZ" w:bidi="uz-Cyrl-UZ"/>
        </w:rPr>
        <w:t>rtment</w:t>
      </w:r>
      <w:r w:rsidRPr="00A85B43">
        <w:rPr>
          <w:lang w:eastAsia="uz-Cyrl-UZ" w:bidi="uz-Cyrl-UZ"/>
        </w:rPr>
        <w:t xml:space="preserve"> of Civil Engineering</w:t>
      </w:r>
    </w:p>
    <w:p w14:paraId="5A01FA89" w14:textId="77777777" w:rsidR="008339D0" w:rsidRDefault="008339D0" w:rsidP="008339D0">
      <w:pPr>
        <w:pStyle w:val="Affiliation"/>
        <w:rPr>
          <w:lang w:eastAsia="uz-Cyrl-UZ" w:bidi="uz-Cyrl-UZ"/>
        </w:rPr>
      </w:pPr>
      <w:r>
        <w:rPr>
          <w:lang w:eastAsia="uz-Cyrl-UZ" w:bidi="uz-Cyrl-UZ"/>
        </w:rPr>
        <w:t>University of Bristol</w:t>
      </w:r>
    </w:p>
    <w:p w14:paraId="18F5467E" w14:textId="77777777" w:rsidR="008339D0" w:rsidRDefault="008339D0" w:rsidP="008339D0">
      <w:pPr>
        <w:pStyle w:val="Affiliation"/>
        <w:rPr>
          <w:lang w:eastAsia="uz-Cyrl-UZ" w:bidi="uz-Cyrl-UZ"/>
        </w:rPr>
      </w:pPr>
      <w:r>
        <w:rPr>
          <w:lang w:eastAsia="uz-Cyrl-UZ" w:bidi="uz-Cyrl-UZ"/>
        </w:rPr>
        <w:t>Bristol, UK</w:t>
      </w:r>
    </w:p>
    <w:p w14:paraId="149E18C2" w14:textId="77777777" w:rsidR="008339D0" w:rsidRDefault="008339D0" w:rsidP="008339D0">
      <w:pPr>
        <w:pStyle w:val="Affiliation"/>
        <w:rPr>
          <w:lang w:eastAsia="uz-Cyrl-UZ" w:bidi="uz-Cyrl-UZ"/>
        </w:rPr>
      </w:pPr>
      <w:r>
        <w:rPr>
          <w:lang w:eastAsia="uz-Cyrl-UZ" w:bidi="uz-Cyrl-UZ"/>
        </w:rPr>
        <w:t>Email: Theo.Tryfonas@bristol.ac.uk</w:t>
      </w:r>
    </w:p>
    <w:p w14:paraId="10287ACF" w14:textId="77777777" w:rsidR="008339D0" w:rsidRDefault="008339D0" w:rsidP="008339D0">
      <w:pPr>
        <w:pStyle w:val="Affiliation"/>
        <w:rPr>
          <w:lang w:eastAsia="uz-Cyrl-UZ" w:bidi="uz-Cyrl-UZ"/>
        </w:rPr>
      </w:pPr>
    </w:p>
    <w:p w14:paraId="7BFC10BE" w14:textId="77777777" w:rsidR="008339D0" w:rsidRDefault="008339D0" w:rsidP="008339D0">
      <w:pPr>
        <w:pStyle w:val="Author"/>
        <w:rPr>
          <w:noProof w:val="0"/>
          <w:sz w:val="20"/>
          <w:szCs w:val="20"/>
          <w:lang w:eastAsia="uz-Cyrl-UZ" w:bidi="uz-Cyrl-UZ"/>
        </w:rPr>
      </w:pPr>
      <w:r>
        <w:rPr>
          <w:noProof w:val="0"/>
          <w:sz w:val="20"/>
          <w:szCs w:val="20"/>
          <w:lang w:eastAsia="uz-Cyrl-UZ" w:bidi="uz-Cyrl-UZ"/>
        </w:rPr>
        <w:lastRenderedPageBreak/>
        <w:t>Tom Crick</w:t>
      </w:r>
    </w:p>
    <w:p w14:paraId="101B360C" w14:textId="77777777" w:rsidR="008339D0" w:rsidRDefault="008339D0" w:rsidP="008339D0">
      <w:pPr>
        <w:pStyle w:val="Affiliation"/>
        <w:rPr>
          <w:lang w:eastAsia="uz-Cyrl-UZ" w:bidi="uz-Cyrl-UZ"/>
        </w:rPr>
      </w:pPr>
      <w:r>
        <w:rPr>
          <w:lang w:eastAsia="uz-Cyrl-UZ" w:bidi="uz-Cyrl-UZ"/>
        </w:rPr>
        <w:t>Department of Computing</w:t>
      </w:r>
    </w:p>
    <w:p w14:paraId="7EF528EC" w14:textId="77777777" w:rsidR="008339D0" w:rsidRDefault="008339D0" w:rsidP="008339D0">
      <w:pPr>
        <w:pStyle w:val="Affiliation"/>
        <w:rPr>
          <w:lang w:eastAsia="uz-Cyrl-UZ" w:bidi="uz-Cyrl-UZ"/>
        </w:rPr>
      </w:pPr>
      <w:r>
        <w:rPr>
          <w:lang w:eastAsia="uz-Cyrl-UZ" w:bidi="uz-Cyrl-UZ"/>
        </w:rPr>
        <w:t>Cardiff Metropolitan University</w:t>
      </w:r>
    </w:p>
    <w:p w14:paraId="1E2FD947" w14:textId="77777777" w:rsidR="008339D0" w:rsidRDefault="008339D0" w:rsidP="008339D0">
      <w:pPr>
        <w:pStyle w:val="Affiliation"/>
        <w:rPr>
          <w:lang w:eastAsia="uz-Cyrl-UZ" w:bidi="uz-Cyrl-UZ"/>
        </w:rPr>
      </w:pPr>
      <w:r>
        <w:rPr>
          <w:lang w:eastAsia="uz-Cyrl-UZ" w:bidi="uz-Cyrl-UZ"/>
        </w:rPr>
        <w:t>Cardiff, UK</w:t>
      </w:r>
    </w:p>
    <w:p w14:paraId="2CAF2FDE" w14:textId="77777777" w:rsidR="008339D0" w:rsidRDefault="008339D0" w:rsidP="00BD6A68">
      <w:pPr>
        <w:pStyle w:val="Affiliation"/>
        <w:rPr>
          <w:lang w:eastAsia="uz-Cyrl-UZ" w:bidi="uz-Cyrl-UZ"/>
        </w:rPr>
      </w:pPr>
      <w:r>
        <w:rPr>
          <w:lang w:eastAsia="uz-Cyrl-UZ" w:bidi="uz-Cyrl-UZ"/>
        </w:rPr>
        <w:t>Email: tcrick@cardiffmet.ac.uk</w:t>
      </w:r>
    </w:p>
    <w:p w14:paraId="57CC1E88" w14:textId="77777777" w:rsidR="00BC28E2" w:rsidRDefault="00BC28E2" w:rsidP="00BD6A68">
      <w:pPr>
        <w:pStyle w:val="Affiliation"/>
        <w:rPr>
          <w:lang w:eastAsia="uz-Cyrl-UZ" w:bidi="uz-Cyrl-UZ"/>
        </w:rPr>
      </w:pPr>
    </w:p>
    <w:p w14:paraId="4CBC1ACD" w14:textId="77777777" w:rsidR="00BC28E2" w:rsidRDefault="00BC28E2" w:rsidP="00BD6A68">
      <w:pPr>
        <w:pStyle w:val="Affiliation"/>
        <w:rPr>
          <w:lang w:eastAsia="uz-Cyrl-UZ" w:bidi="uz-Cyrl-UZ"/>
        </w:rPr>
        <w:sectPr w:rsidR="00BC28E2" w:rsidSect="00E868FE">
          <w:type w:val="continuous"/>
          <w:pgSz w:w="11909" w:h="16834" w:code="9"/>
          <w:pgMar w:top="1080" w:right="734" w:bottom="2434" w:left="734" w:header="720" w:footer="720" w:gutter="0"/>
          <w:cols w:num="3" w:space="720"/>
          <w:docGrid w:linePitch="360"/>
        </w:sectPr>
      </w:pPr>
    </w:p>
    <w:p w14:paraId="675D0AAE" w14:textId="77777777" w:rsidR="006A1B3D" w:rsidRDefault="00B76D42" w:rsidP="006A1B3D">
      <w:pPr>
        <w:pStyle w:val="Abstract"/>
      </w:pPr>
      <w:r w:rsidRPr="00B76D42">
        <w:lastRenderedPageBreak/>
        <w:t xml:space="preserve">Abstract - </w:t>
      </w:r>
      <w:r w:rsidR="006A1B3D" w:rsidRPr="006A1B3D">
        <w:t>Whilst emerging res</w:t>
      </w:r>
      <w:r w:rsidR="006A1B3D">
        <w:t xml:space="preserve">earch is providing insight into </w:t>
      </w:r>
      <w:r w:rsidR="006A1B3D" w:rsidRPr="006A1B3D">
        <w:t>the factors that promote the propagation of information in online</w:t>
      </w:r>
      <w:r w:rsidR="006A1B3D">
        <w:t xml:space="preserve"> </w:t>
      </w:r>
      <w:r w:rsidR="006A1B3D" w:rsidRPr="006A1B3D">
        <w:t>social networks following signifi</w:t>
      </w:r>
      <w:r w:rsidR="006A1B3D">
        <w:t>cant events, such as big social events.</w:t>
      </w:r>
      <w:r w:rsidR="006A1B3D" w:rsidRPr="006A1B3D">
        <w:t xml:space="preserve"> </w:t>
      </w:r>
      <w:r w:rsidR="006A1B3D">
        <w:t>T</w:t>
      </w:r>
      <w:r w:rsidR="006A1B3D" w:rsidRPr="006A1B3D">
        <w:t>his paper evaluates the extent to which different</w:t>
      </w:r>
      <w:r w:rsidR="006A1B3D">
        <w:t xml:space="preserve"> </w:t>
      </w:r>
      <w:r w:rsidR="006A1B3D" w:rsidRPr="006A1B3D">
        <w:t>language communities engage and interact. We present our</w:t>
      </w:r>
      <w:r w:rsidR="006A1B3D">
        <w:t xml:space="preserve"> </w:t>
      </w:r>
      <w:r w:rsidR="006A1B3D" w:rsidRPr="006A1B3D">
        <w:t>analysis of online interactions in various languages that took</w:t>
      </w:r>
      <w:r w:rsidR="006A1B3D">
        <w:t xml:space="preserve"> </w:t>
      </w:r>
      <w:r w:rsidR="006A1B3D" w:rsidRPr="006A1B3D">
        <w:t>place on the social networking s</w:t>
      </w:r>
      <w:r w:rsidR="006A1B3D">
        <w:t xml:space="preserve">ite Twitter during the international Eurovision Song Contest </w:t>
      </w:r>
      <w:r w:rsidR="006A1B3D" w:rsidRPr="006A1B3D">
        <w:t xml:space="preserve">in </w:t>
      </w:r>
      <w:r w:rsidR="006A1B3D">
        <w:t>May</w:t>
      </w:r>
      <w:r w:rsidR="006A1B3D" w:rsidRPr="006A1B3D">
        <w:t xml:space="preserve"> 201</w:t>
      </w:r>
      <w:r w:rsidR="006A1B3D">
        <w:t>6</w:t>
      </w:r>
      <w:r w:rsidR="006A1B3D" w:rsidRPr="006A1B3D">
        <w:t>.</w:t>
      </w:r>
    </w:p>
    <w:p w14:paraId="776F97BD" w14:textId="77777777" w:rsidR="006A1B3D" w:rsidRDefault="006A1B3D" w:rsidP="006A1B3D">
      <w:pPr>
        <w:pStyle w:val="Abstract"/>
      </w:pPr>
      <w:r w:rsidRPr="006A1B3D">
        <w:t xml:space="preserve">By </w:t>
      </w:r>
      <w:proofErr w:type="spellStart"/>
      <w:r w:rsidRPr="006A1B3D">
        <w:t>utilising</w:t>
      </w:r>
      <w:proofErr w:type="spellEnd"/>
      <w:r w:rsidRPr="006A1B3D">
        <w:t xml:space="preserve"> language information from user profiles</w:t>
      </w:r>
      <w:r>
        <w:t xml:space="preserve"> </w:t>
      </w:r>
      <w:r w:rsidRPr="006A1B3D">
        <w:t>(N= 1,226,959) and status updates (N=7,926,746) relating to the</w:t>
      </w:r>
      <w:r>
        <w:t xml:space="preserve"> Contest</w:t>
      </w:r>
      <w:r w:rsidRPr="006A1B3D">
        <w:t xml:space="preserve"> to identify and </w:t>
      </w:r>
      <w:proofErr w:type="spellStart"/>
      <w:r w:rsidRPr="006A1B3D">
        <w:t>categorise</w:t>
      </w:r>
      <w:proofErr w:type="spellEnd"/>
      <w:r w:rsidRPr="006A1B3D">
        <w:t xml:space="preserve"> communities, we</w:t>
      </w:r>
      <w:r>
        <w:t xml:space="preserve"> </w:t>
      </w:r>
      <w:r w:rsidRPr="006A1B3D">
        <w:t>are able to provide insight into the pattern of their interactions,</w:t>
      </w:r>
      <w:r>
        <w:t xml:space="preserve"> as well as shed some light on multilingual community</w:t>
      </w:r>
      <w:r w:rsidRPr="006A1B3D">
        <w:t>. The results show</w:t>
      </w:r>
      <w:r>
        <w:t xml:space="preserve"> </w:t>
      </w:r>
      <w:r w:rsidRPr="006A1B3D">
        <w:t>that the nature of the event is reflected on the engagement</w:t>
      </w:r>
      <w:r>
        <w:t xml:space="preserve"> </w:t>
      </w:r>
      <w:r w:rsidRPr="006A1B3D">
        <w:t>degree</w:t>
      </w:r>
      <w:r>
        <w:t xml:space="preserve"> </w:t>
      </w:r>
      <w:r w:rsidRPr="006A1B3D">
        <w:t xml:space="preserve">and wider interaction of communities. </w:t>
      </w:r>
      <w:r>
        <w:t>It also shows the participation pattern of multilingual users.</w:t>
      </w:r>
    </w:p>
    <w:p w14:paraId="0F1D2865" w14:textId="77777777" w:rsidR="008339D0" w:rsidRDefault="008339D0" w:rsidP="006A1B3D">
      <w:pPr>
        <w:pStyle w:val="Abstract"/>
        <w:rPr>
          <w:lang w:eastAsia="uz-Cyrl-UZ" w:bidi="uz-Cyrl-UZ"/>
        </w:rPr>
      </w:pPr>
      <w:r>
        <w:rPr>
          <w:lang w:eastAsia="uz-Cyrl-UZ" w:bidi="uz-Cyrl-UZ"/>
        </w:rPr>
        <w:t>Keywords – predictive, social media marketing, twitter communities, languages</w:t>
      </w:r>
    </w:p>
    <w:p w14:paraId="6CA3728C" w14:textId="77777777" w:rsidR="008339D0" w:rsidRDefault="008339D0" w:rsidP="008339D0">
      <w:pPr>
        <w:pStyle w:val="Heading1"/>
        <w:rPr>
          <w:lang w:eastAsia="uz-Cyrl-UZ" w:bidi="uz-Cyrl-UZ"/>
        </w:rPr>
      </w:pPr>
      <w:bookmarkStart w:id="0" w:name="_Toc452425900"/>
      <w:bookmarkStart w:id="1" w:name="_Toc452426107"/>
      <w:r>
        <w:rPr>
          <w:lang w:eastAsia="uz-Cyrl-UZ" w:bidi="uz-Cyrl-UZ"/>
        </w:rPr>
        <w:t>Introduction</w:t>
      </w:r>
      <w:bookmarkEnd w:id="0"/>
      <w:bookmarkEnd w:id="1"/>
    </w:p>
    <w:p w14:paraId="21E1BC20" w14:textId="77777777" w:rsidR="0099061C" w:rsidRPr="0099061C" w:rsidRDefault="0099061C" w:rsidP="0099061C">
      <w:pPr>
        <w:pStyle w:val="BodyText"/>
        <w:rPr>
          <w:lang w:eastAsia="uz-Cyrl-UZ" w:bidi="uz-Cyrl-UZ"/>
        </w:rPr>
      </w:pPr>
    </w:p>
    <w:p w14:paraId="35CB6944" w14:textId="77777777" w:rsidR="006A1B3D" w:rsidRPr="006A1B3D" w:rsidRDefault="006A1B3D" w:rsidP="006A1B3D">
      <w:pPr>
        <w:pStyle w:val="Heading1"/>
        <w:ind w:firstLine="0"/>
        <w:rPr>
          <w:lang w:val="en-GB"/>
        </w:rPr>
      </w:pPr>
      <w:r w:rsidRPr="006A1B3D">
        <w:rPr>
          <w:lang w:val="en-GB"/>
        </w:rPr>
        <w:t>CONTEXT AND EVENTS TIMELINE</w:t>
      </w:r>
    </w:p>
    <w:p w14:paraId="57921D09" w14:textId="2726C3DC" w:rsidR="004B7EDF" w:rsidRDefault="006A1B3D" w:rsidP="004B7EDF">
      <w:pPr>
        <w:pStyle w:val="BodyText"/>
        <w:rPr>
          <w:lang w:eastAsia="uz-Cyrl-UZ" w:bidi="uz-Cyrl-UZ"/>
        </w:rPr>
      </w:pPr>
      <w:r>
        <w:rPr>
          <w:lang w:val="en-GB" w:eastAsia="uz-Cyrl-UZ" w:bidi="uz-Cyrl-UZ"/>
        </w:rPr>
        <w:t xml:space="preserve">From the contest official website </w:t>
      </w:r>
      <w:r>
        <w:rPr>
          <w:lang w:eastAsia="uz-Cyrl-UZ" w:bidi="uz-Cyrl-UZ"/>
        </w:rPr>
        <w:fldChar w:fldCharType="begin" w:fldLock="1"/>
      </w:r>
      <w:r>
        <w:rPr>
          <w:lang w:eastAsia="uz-Cyrl-UZ" w:bidi="uz-Cyrl-UZ"/>
        </w:rPr>
        <w:instrText>ADDIN CSL_CITATION { "citationItems" : [ { "id" : "ITEM-1", "itemData" : { "URL" : "www.eurovision.tv", "accessed" : { "date-parts" : [ [ "2016", "5", "25" ] ] }, "id" : "ITEM-1", "issued" : { "date-parts" : [ [ "0" ] ] }, "title" : "Eurovision Song Contest website", "type" : "webpage" }, "uris" : [ "http://www.mendeley.com/documents/?uuid=0c35edaf-a4e5-4e7e-8a3a-644354cb288e" ] } ], "mendeley" : { "formattedCitation" : "[14]", "plainTextFormattedCitation" : "[14]" }, "properties" : { "noteIndex" : 0 }, "schema" : "https://github.com/citation-style-language/schema/raw/master/csl-citation.json" }</w:instrText>
      </w:r>
      <w:r>
        <w:rPr>
          <w:lang w:eastAsia="uz-Cyrl-UZ" w:bidi="uz-Cyrl-UZ"/>
        </w:rPr>
        <w:fldChar w:fldCharType="separate"/>
      </w:r>
      <w:r w:rsidRPr="007C579A">
        <w:rPr>
          <w:noProof/>
          <w:lang w:eastAsia="uz-Cyrl-UZ" w:bidi="uz-Cyrl-UZ"/>
        </w:rPr>
        <w:t>[14]</w:t>
      </w:r>
      <w:r>
        <w:rPr>
          <w:lang w:eastAsia="uz-Cyrl-UZ" w:bidi="uz-Cyrl-UZ"/>
        </w:rPr>
        <w:fldChar w:fldCharType="end"/>
      </w:r>
      <w:r>
        <w:rPr>
          <w:lang w:eastAsia="uz-Cyrl-UZ" w:bidi="uz-Cyrl-UZ"/>
        </w:rPr>
        <w:t xml:space="preserve">, </w:t>
      </w:r>
      <w:proofErr w:type="spellStart"/>
      <w:r>
        <w:rPr>
          <w:lang w:eastAsia="uz-Cyrl-UZ" w:bidi="uz-Cyrl-UZ"/>
        </w:rPr>
        <w:t>i</w:t>
      </w:r>
      <w:proofErr w:type="spellEnd"/>
      <w:r w:rsidR="00903CFB">
        <w:rPr>
          <w:lang w:val="en-GB" w:eastAsia="uz-Cyrl-UZ" w:bidi="uz-Cyrl-UZ"/>
        </w:rPr>
        <w:t xml:space="preserve">t is a yearly television show that </w:t>
      </w:r>
      <w:r w:rsidR="00A32A2C">
        <w:rPr>
          <w:lang w:eastAsia="uz-Cyrl-UZ" w:bidi="uz-Cyrl-UZ"/>
        </w:rPr>
        <w:t xml:space="preserve">started </w:t>
      </w:r>
      <w:r w:rsidR="00903CFB">
        <w:rPr>
          <w:lang w:eastAsia="uz-Cyrl-UZ" w:bidi="uz-Cyrl-UZ"/>
        </w:rPr>
        <w:t>b</w:t>
      </w:r>
      <w:r w:rsidR="00A32A2C">
        <w:rPr>
          <w:lang w:eastAsia="uz-Cyrl-UZ" w:bidi="uz-Cyrl-UZ"/>
        </w:rPr>
        <w:t>ack in 1956</w:t>
      </w:r>
      <w:r w:rsidR="00903CFB">
        <w:rPr>
          <w:lang w:eastAsia="uz-Cyrl-UZ" w:bidi="uz-Cyrl-UZ"/>
        </w:rPr>
        <w:t xml:space="preserve">. This year’s contest </w:t>
      </w:r>
      <w:r w:rsidR="00A32A2C">
        <w:rPr>
          <w:lang w:eastAsia="uz-Cyrl-UZ" w:bidi="uz-Cyrl-UZ"/>
        </w:rPr>
        <w:t xml:space="preserve">took place in Stockholm, Sweden, </w:t>
      </w:r>
      <w:r w:rsidR="00903CFB">
        <w:rPr>
          <w:lang w:eastAsia="uz-Cyrl-UZ" w:bidi="uz-Cyrl-UZ"/>
        </w:rPr>
        <w:t xml:space="preserve">in </w:t>
      </w:r>
      <w:r w:rsidR="00A32A2C">
        <w:rPr>
          <w:lang w:eastAsia="uz-Cyrl-UZ" w:bidi="uz-Cyrl-UZ"/>
        </w:rPr>
        <w:t xml:space="preserve">May 2016. </w:t>
      </w:r>
      <w:r w:rsidR="004B7EDF">
        <w:rPr>
          <w:lang w:eastAsia="uz-Cyrl-UZ" w:bidi="uz-Cyrl-UZ"/>
        </w:rPr>
        <w:t xml:space="preserve">There were 32 countries, each </w:t>
      </w:r>
      <w:proofErr w:type="spellStart"/>
      <w:r w:rsidR="004B7EDF">
        <w:rPr>
          <w:lang w:eastAsia="uz-Cyrl-UZ" w:bidi="uz-Cyrl-UZ"/>
        </w:rPr>
        <w:t>entred</w:t>
      </w:r>
      <w:proofErr w:type="spellEnd"/>
      <w:r w:rsidR="004B7EDF">
        <w:rPr>
          <w:lang w:eastAsia="uz-Cyrl-UZ" w:bidi="uz-Cyrl-UZ"/>
        </w:rPr>
        <w:t xml:space="preserve"> with one team. There were two semi-finals, on 12</w:t>
      </w:r>
      <w:r w:rsidR="004B7EDF" w:rsidRPr="004B7EDF">
        <w:rPr>
          <w:vertAlign w:val="superscript"/>
          <w:lang w:eastAsia="uz-Cyrl-UZ" w:bidi="uz-Cyrl-UZ"/>
        </w:rPr>
        <w:t>th</w:t>
      </w:r>
      <w:r w:rsidR="004B7EDF">
        <w:rPr>
          <w:lang w:eastAsia="uz-Cyrl-UZ" w:bidi="uz-Cyrl-UZ"/>
        </w:rPr>
        <w:t xml:space="preserve"> and 14</w:t>
      </w:r>
      <w:r w:rsidR="004B7EDF" w:rsidRPr="004B7EDF">
        <w:rPr>
          <w:vertAlign w:val="superscript"/>
          <w:lang w:eastAsia="uz-Cyrl-UZ" w:bidi="uz-Cyrl-UZ"/>
        </w:rPr>
        <w:t>th</w:t>
      </w:r>
      <w:r w:rsidR="001F2326">
        <w:rPr>
          <w:lang w:eastAsia="uz-Cyrl-UZ" w:bidi="uz-Cyrl-UZ"/>
        </w:rPr>
        <w:t xml:space="preserve"> May, 18 teams</w:t>
      </w:r>
      <w:r w:rsidR="004B7EDF">
        <w:rPr>
          <w:lang w:eastAsia="uz-Cyrl-UZ" w:bidi="uz-Cyrl-UZ"/>
        </w:rPr>
        <w:t xml:space="preserve"> each. Then, 26 qualify for the final on 16</w:t>
      </w:r>
      <w:r w:rsidR="004B7EDF" w:rsidRPr="004B7EDF">
        <w:rPr>
          <w:vertAlign w:val="superscript"/>
          <w:lang w:eastAsia="uz-Cyrl-UZ" w:bidi="uz-Cyrl-UZ"/>
        </w:rPr>
        <w:t>th</w:t>
      </w:r>
      <w:r w:rsidR="004B7EDF">
        <w:rPr>
          <w:lang w:eastAsia="uz-Cyrl-UZ" w:bidi="uz-Cyrl-UZ"/>
        </w:rPr>
        <w:t xml:space="preserve"> May. This year’s contest was </w:t>
      </w:r>
      <w:r w:rsidR="001151CC">
        <w:rPr>
          <w:lang w:eastAsia="uz-Cyrl-UZ" w:bidi="uz-Cyrl-UZ"/>
        </w:rPr>
        <w:t>very tough</w:t>
      </w:r>
      <w:r w:rsidR="00C77F49">
        <w:rPr>
          <w:lang w:eastAsia="uz-Cyrl-UZ" w:bidi="uz-Cyrl-UZ"/>
        </w:rPr>
        <w:t xml:space="preserve"> and tense, especially </w:t>
      </w:r>
      <w:r w:rsidR="00903CFB">
        <w:rPr>
          <w:lang w:eastAsia="uz-Cyrl-UZ" w:bidi="uz-Cyrl-UZ"/>
        </w:rPr>
        <w:t xml:space="preserve">when the Ukrainians </w:t>
      </w:r>
      <w:r w:rsidR="00C77F49">
        <w:rPr>
          <w:lang w:eastAsia="uz-Cyrl-UZ" w:bidi="uz-Cyrl-UZ"/>
        </w:rPr>
        <w:t xml:space="preserve">won the final. </w:t>
      </w:r>
      <w:r w:rsidR="007C579A">
        <w:rPr>
          <w:lang w:eastAsia="uz-Cyrl-UZ" w:bidi="uz-Cyrl-UZ"/>
        </w:rPr>
        <w:t xml:space="preserve">The result was not far from being </w:t>
      </w:r>
      <w:proofErr w:type="spellStart"/>
      <w:r w:rsidR="007C579A">
        <w:rPr>
          <w:lang w:eastAsia="uz-Cyrl-UZ" w:bidi="uz-Cyrl-UZ"/>
        </w:rPr>
        <w:t>politicised</w:t>
      </w:r>
      <w:proofErr w:type="spellEnd"/>
      <w:r w:rsidR="007C579A">
        <w:rPr>
          <w:lang w:eastAsia="uz-Cyrl-UZ" w:bidi="uz-Cyrl-UZ"/>
        </w:rPr>
        <w:t xml:space="preserve"> as we </w:t>
      </w:r>
      <w:r w:rsidR="00903CFB">
        <w:rPr>
          <w:lang w:eastAsia="uz-Cyrl-UZ" w:bidi="uz-Cyrl-UZ"/>
        </w:rPr>
        <w:t xml:space="preserve">witnessed afterward </w:t>
      </w:r>
      <w:r w:rsidR="007C579A">
        <w:rPr>
          <w:lang w:eastAsia="uz-Cyrl-UZ" w:bidi="uz-Cyrl-UZ"/>
        </w:rPr>
        <w:fldChar w:fldCharType="begin" w:fldLock="1"/>
      </w:r>
      <w:r w:rsidR="007C579A">
        <w:rPr>
          <w:lang w:eastAsia="uz-Cyrl-UZ" w:bidi="uz-Cyrl-UZ"/>
        </w:rPr>
        <w:instrText>ADDIN CSL_CITATION { "citationItems" : [ { "id" : "ITEM-1", "itemData" : { "author" : [ { "dropping-particle" : "", "family" : "Withnall", "given" : "Adam", "non-dropping-particle" : "", "parse-names" : false, "suffix" : "" } ], "container-title" : "The Independent", "id" : "ITEM-1", "issued" : { "date-parts" : [ [ "2016", "5", "15" ] ] }, "title" : "Russian officials threaten to boycott next Eurovision after victory for \u2018political\u2019 Ukraine entry", "type" : "article-newspaper" }, "uris" : [ "http://www.mendeley.com/documents/?uuid=ccd26d28-bd9e-4cba-82db-b1f61e966e36" ] } ], "mendeley" : { "formattedCitation" : "[16]", "plainTextFormattedCitation" : "[16]", "previouslyFormattedCitation" : "[15]" }, "properties" : { "noteIndex" : 0 }, "schema" : "https://github.com/citation-style-language/schema/raw/master/csl-citation.json" }</w:instrText>
      </w:r>
      <w:r w:rsidR="007C579A">
        <w:rPr>
          <w:lang w:eastAsia="uz-Cyrl-UZ" w:bidi="uz-Cyrl-UZ"/>
        </w:rPr>
        <w:fldChar w:fldCharType="separate"/>
      </w:r>
      <w:r w:rsidR="007C579A" w:rsidRPr="007C579A">
        <w:rPr>
          <w:noProof/>
          <w:lang w:eastAsia="uz-Cyrl-UZ" w:bidi="uz-Cyrl-UZ"/>
        </w:rPr>
        <w:t>[16]</w:t>
      </w:r>
      <w:r w:rsidR="007C579A">
        <w:rPr>
          <w:lang w:eastAsia="uz-Cyrl-UZ" w:bidi="uz-Cyrl-UZ"/>
        </w:rPr>
        <w:fldChar w:fldCharType="end"/>
      </w:r>
      <w:r w:rsidR="001151CC">
        <w:rPr>
          <w:lang w:eastAsia="uz-Cyrl-UZ" w:bidi="uz-Cyrl-UZ"/>
        </w:rPr>
        <w:t>. Although some articles do not see the conte</w:t>
      </w:r>
      <w:r w:rsidR="007C579A">
        <w:rPr>
          <w:lang w:eastAsia="uz-Cyrl-UZ" w:bidi="uz-Cyrl-UZ"/>
        </w:rPr>
        <w:t>s</w:t>
      </w:r>
      <w:r w:rsidR="001151CC">
        <w:rPr>
          <w:lang w:eastAsia="uz-Cyrl-UZ" w:bidi="uz-Cyrl-UZ"/>
        </w:rPr>
        <w:t xml:space="preserve">t </w:t>
      </w:r>
      <w:r w:rsidR="007C579A">
        <w:rPr>
          <w:lang w:eastAsia="uz-Cyrl-UZ" w:bidi="uz-Cyrl-UZ"/>
        </w:rPr>
        <w:t xml:space="preserve">as </w:t>
      </w:r>
      <w:r w:rsidR="001151CC">
        <w:rPr>
          <w:lang w:eastAsia="uz-Cyrl-UZ" w:bidi="uz-Cyrl-UZ"/>
        </w:rPr>
        <w:t>influenced by political conflicts or friendship</w:t>
      </w:r>
      <w:r w:rsidR="001151CC">
        <w:rPr>
          <w:lang w:eastAsia="uz-Cyrl-UZ" w:bidi="uz-Cyrl-UZ"/>
        </w:rPr>
        <w:fldChar w:fldCharType="begin" w:fldLock="1"/>
      </w:r>
      <w:r w:rsidR="007C579A">
        <w:rPr>
          <w:lang w:eastAsia="uz-Cyrl-UZ" w:bidi="uz-Cyrl-UZ"/>
        </w:rPr>
        <w:instrText>ADDIN CSL_CITATION { "citationItems" : [ { "id" : "ITEM-1", "itemData" : { "DOI" : "10.1016/j.ejpoleco.2007.05.004", "ISSN" : "01762680", "abstract" : "We analyze the voting behavior and ratings of judges in a popular song contest held every year in Europe since 1956. The dataset makes it possible to analyze the determinants of success, and gives a rare opportunity to run a direct test of vote trading. Though the votes cast may appear as resulting from such trading, we show that they are rather driven by quality of the participants as well as by linguistic and cultural proximities between singers and voting countries. Therefore, and contrary to what was recently suggested, there seems to be no reason to take the result of the Contest as mimicking the political conflicts (and friendships). ?? 2007 Elsevier B.V. All rights reserved.", "author" : [ { "dropping-particle" : "", "family" : "Ginsburgh", "given" : "Victor", "non-dropping-particle" : "", "parse-names" : false, "suffix" : "" }, { "dropping-particle" : "", "family" : "Noury", "given" : "Abdul G.", "non-dropping-particle" : "", "parse-names" : false, "suffix" : "" } ], "container-title" : "European Journal of Political Economy", "id" : "ITEM-1", "issue" : "1", "issued" : { "date-parts" : [ [ "2008" ] ] }, "page" : "41-52", "title" : "The Eurovision Song Contest. Is voting political or cultural?", "type" : "article-journal", "volume" : "24" }, "uris" : [ "http://www.mendeley.com/documents/?uuid=c63c3b6f-803d-450f-ad06-0c868a6e5ac9" ] } ], "mendeley" : { "formattedCitation" : "[17]", "plainTextFormattedCitation" : "[17]", "previouslyFormattedCitation" : "[16]" }, "properties" : { "noteIndex" : 0 }, "schema" : "https://github.com/citation-style-language/schema/raw/master/csl-citation.json" }</w:instrText>
      </w:r>
      <w:r w:rsidR="001151CC">
        <w:rPr>
          <w:lang w:eastAsia="uz-Cyrl-UZ" w:bidi="uz-Cyrl-UZ"/>
        </w:rPr>
        <w:fldChar w:fldCharType="separate"/>
      </w:r>
      <w:r w:rsidR="007C579A" w:rsidRPr="007C579A">
        <w:rPr>
          <w:noProof/>
          <w:lang w:eastAsia="uz-Cyrl-UZ" w:bidi="uz-Cyrl-UZ"/>
        </w:rPr>
        <w:t>[17]</w:t>
      </w:r>
      <w:r w:rsidR="001151CC">
        <w:rPr>
          <w:lang w:eastAsia="uz-Cyrl-UZ" w:bidi="uz-Cyrl-UZ"/>
        </w:rPr>
        <w:fldChar w:fldCharType="end"/>
      </w:r>
      <w:r w:rsidR="001151CC">
        <w:rPr>
          <w:lang w:eastAsia="uz-Cyrl-UZ" w:bidi="uz-Cyrl-UZ"/>
        </w:rPr>
        <w:fldChar w:fldCharType="begin" w:fldLock="1"/>
      </w:r>
      <w:r w:rsidR="007C579A">
        <w:rPr>
          <w:lang w:eastAsia="uz-Cyrl-UZ" w:bidi="uz-Cyrl-UZ"/>
        </w:rPr>
        <w:instrText>ADDIN CSL_CITATION { "citationItems" : [ { "id" : "ITEM-1", "itemData" : { "DOI" : "10.1080/02664763.2014.909792", "ISSN" : "0266-4763", "abstract" : "The Eurovision Song Contest is an annual musical competition held among active members of the European Broadcasting Union since 1956. The event is televised live across Europe. Each participating country presents a song and receive a vote based on a combination of tele-voting and jury. Over the years, this has led to speculations of tactical voting, discriminating against some participants and thus inducing bias in the final results. In this paper we investigate the presence of positive or negative bias (which may roughly indicate favouritisms or discrimination) in the votes based on geographical proximity, migration and cultural characteristics of the participating countries through a Bayesian hierarchical model. Our analysis found no evidence of negative bias, although mild positive bias does seem to emerge systematically, linking voters to performers. The Eurovision Song Contest is an annual musical competition held among active members of the European Broadcasting Union since 1956. The event is televised live across Europe. Each participating country presents a song and receive a vote based on a combination of tele-voting and jury. Over the years, this has led to speculations of tactical voting, discriminating against some participants and thus inducing bias in the final results. In this paper we investigate the presence of positive or negative bias (which may roughly indicate favouritisms or discrimination) in the votes based on geographical proximity, migration and cultural characteristics of the participating countries through a Bayesian hierarchical model. Our analysis found no evidence of negative bias, although mild positive bias does seem to emerge systematically, linking voters to performers.", "author" : [ { "dropping-particle" : "", "family" : "Blangiardo", "given" : "Marta", "non-dropping-particle" : "", "parse-names" : false, "suffix" : "" }, { "dropping-particle" : "", "family" : "Baio", "given" : "Gianluca", "non-dropping-particle" : "", "parse-names" : false, "suffix" : "" } ], "container-title" : "Journal of Applied Statistics", "id" : "ITEM-1", "issue" : "January 2015", "issued" : { "date-parts" : [ [ "2014" ] ] }, "page" : "1-11", "title" : "Evidence of bias in the Eurovision song contest: modelling the votes using Bayesian hierarchical models", "type" : "article-journal" }, "uris" : [ "http://www.mendeley.com/documents/?uuid=d67b05c4-12c6-4c6f-a559-5e3024246d73" ] } ], "mendeley" : { "formattedCitation" : "[18]", "plainTextFormattedCitation" : "[18]", "previouslyFormattedCitation" : "[17]" }, "properties" : { "noteIndex" : 0 }, "schema" : "https://github.com/citation-style-language/schema/raw/master/csl-citation.json" }</w:instrText>
      </w:r>
      <w:r w:rsidR="001151CC">
        <w:rPr>
          <w:lang w:eastAsia="uz-Cyrl-UZ" w:bidi="uz-Cyrl-UZ"/>
        </w:rPr>
        <w:fldChar w:fldCharType="separate"/>
      </w:r>
      <w:r w:rsidR="007C579A" w:rsidRPr="007C579A">
        <w:rPr>
          <w:noProof/>
          <w:lang w:eastAsia="uz-Cyrl-UZ" w:bidi="uz-Cyrl-UZ"/>
        </w:rPr>
        <w:t>[18]</w:t>
      </w:r>
      <w:r w:rsidR="001151CC">
        <w:rPr>
          <w:lang w:eastAsia="uz-Cyrl-UZ" w:bidi="uz-Cyrl-UZ"/>
        </w:rPr>
        <w:fldChar w:fldCharType="end"/>
      </w:r>
      <w:r w:rsidR="001151CC">
        <w:rPr>
          <w:lang w:eastAsia="uz-Cyrl-UZ" w:bidi="uz-Cyrl-UZ"/>
        </w:rPr>
        <w:t xml:space="preserve">, some recent </w:t>
      </w:r>
      <w:r w:rsidR="005C6D26">
        <w:rPr>
          <w:lang w:eastAsia="uz-Cyrl-UZ" w:bidi="uz-Cyrl-UZ"/>
        </w:rPr>
        <w:t>news</w:t>
      </w:r>
      <w:r w:rsidR="001151CC">
        <w:rPr>
          <w:lang w:eastAsia="uz-Cyrl-UZ" w:bidi="uz-Cyrl-UZ"/>
        </w:rPr>
        <w:t xml:space="preserve"> articles </w:t>
      </w:r>
      <w:r w:rsidR="005C6D26">
        <w:rPr>
          <w:lang w:eastAsia="uz-Cyrl-UZ" w:bidi="uz-Cyrl-UZ"/>
        </w:rPr>
        <w:t xml:space="preserve">articulate </w:t>
      </w:r>
      <w:r w:rsidR="00903CFB">
        <w:rPr>
          <w:lang w:eastAsia="uz-Cyrl-UZ" w:bidi="uz-Cyrl-UZ"/>
        </w:rPr>
        <w:t xml:space="preserve">on </w:t>
      </w:r>
      <w:r w:rsidR="005C6D26">
        <w:rPr>
          <w:lang w:eastAsia="uz-Cyrl-UZ" w:bidi="uz-Cyrl-UZ"/>
        </w:rPr>
        <w:t xml:space="preserve">the possibly </w:t>
      </w:r>
      <w:r w:rsidR="001151CC">
        <w:rPr>
          <w:lang w:eastAsia="uz-Cyrl-UZ" w:bidi="uz-Cyrl-UZ"/>
        </w:rPr>
        <w:t>bias</w:t>
      </w:r>
      <w:r w:rsidR="005C6D26">
        <w:rPr>
          <w:lang w:eastAsia="uz-Cyrl-UZ" w:bidi="uz-Cyrl-UZ"/>
        </w:rPr>
        <w:t>ed</w:t>
      </w:r>
      <w:r w:rsidR="001151CC">
        <w:rPr>
          <w:lang w:eastAsia="uz-Cyrl-UZ" w:bidi="uz-Cyrl-UZ"/>
        </w:rPr>
        <w:t xml:space="preserve"> results</w:t>
      </w:r>
      <w:r w:rsidR="005C6D26">
        <w:rPr>
          <w:lang w:eastAsia="uz-Cyrl-UZ" w:bidi="uz-Cyrl-UZ"/>
        </w:rPr>
        <w:fldChar w:fldCharType="begin" w:fldLock="1"/>
      </w:r>
      <w:r w:rsidR="007C579A">
        <w:rPr>
          <w:lang w:eastAsia="uz-Cyrl-UZ" w:bidi="uz-Cyrl-UZ"/>
        </w:rPr>
        <w:instrText>ADDIN CSL_CITATION { "citationItems" : [ { "id" : "ITEM-1", "itemData" : { "author" : [ { "dropping-particle" : "", "family" : "Kirk", "given" : "Ashley", "non-dropping-particle" : "", "parse-names" : false, "suffix" : "" }, { "dropping-particle" : "", "family" : "Kempster", "given" : "Jack", "non-dropping-particle" : "", "parse-names" : false, "suffix" : "" }, { "dropping-particle" : "", "family" : "Franco", "given" : "Stefano", "non-dropping-particle" : "", "parse-names" : false, "suffix" : "" } ], "container-title" : "The Telegraph", "id" : "ITEM-1", "issued" : { "date-parts" : [ [ "2016", "5", "23" ] ] }, "title" : "Eurovision 2016: How does country bias affect the result?", "type" : "article-newspaper" }, "uris" : [ "http://www.mendeley.com/documents/?uuid=de6c2ee4-4bf6-40dc-b5fa-bfc30a2f3b69" ] } ], "mendeley" : { "formattedCitation" : "[19]", "plainTextFormattedCitation" : "[19]", "previouslyFormattedCitation" : "[18]" }, "properties" : { "noteIndex" : 0 }, "schema" : "https://github.com/citation-style-language/schema/raw/master/csl-citation.json" }</w:instrText>
      </w:r>
      <w:r w:rsidR="005C6D26">
        <w:rPr>
          <w:lang w:eastAsia="uz-Cyrl-UZ" w:bidi="uz-Cyrl-UZ"/>
        </w:rPr>
        <w:fldChar w:fldCharType="separate"/>
      </w:r>
      <w:r w:rsidR="007C579A" w:rsidRPr="007C579A">
        <w:rPr>
          <w:noProof/>
          <w:lang w:eastAsia="uz-Cyrl-UZ" w:bidi="uz-Cyrl-UZ"/>
        </w:rPr>
        <w:t>[19]</w:t>
      </w:r>
      <w:r w:rsidR="005C6D26">
        <w:rPr>
          <w:lang w:eastAsia="uz-Cyrl-UZ" w:bidi="uz-Cyrl-UZ"/>
        </w:rPr>
        <w:fldChar w:fldCharType="end"/>
      </w:r>
      <w:r w:rsidR="005C6D26">
        <w:rPr>
          <w:lang w:eastAsia="uz-Cyrl-UZ" w:bidi="uz-Cyrl-UZ"/>
        </w:rPr>
        <w:t>.</w:t>
      </w:r>
      <w:r w:rsidR="001151CC">
        <w:rPr>
          <w:lang w:eastAsia="uz-Cyrl-UZ" w:bidi="uz-Cyrl-UZ"/>
        </w:rPr>
        <w:t xml:space="preserve">  </w:t>
      </w:r>
      <w:r w:rsidR="00903CFB">
        <w:rPr>
          <w:lang w:eastAsia="uz-Cyrl-UZ" w:bidi="uz-Cyrl-UZ"/>
        </w:rPr>
        <w:t>The activity on Twitter was also very high</w:t>
      </w:r>
      <w:r w:rsidR="004B7EDF">
        <w:rPr>
          <w:lang w:eastAsia="uz-Cyrl-UZ" w:bidi="uz-Cyrl-UZ"/>
        </w:rPr>
        <w:t xml:space="preserve"> throughout the event</w:t>
      </w:r>
      <w:r w:rsidR="00903CFB">
        <w:rPr>
          <w:lang w:eastAsia="uz-Cyrl-UZ" w:bidi="uz-Cyrl-UZ"/>
        </w:rPr>
        <w:t xml:space="preserve"> </w:t>
      </w:r>
      <w:r w:rsidR="004B7EDF">
        <w:rPr>
          <w:lang w:eastAsia="uz-Cyrl-UZ" w:bidi="uz-Cyrl-UZ"/>
        </w:rPr>
        <w:t xml:space="preserve">using </w:t>
      </w:r>
      <w:r w:rsidR="00903CFB">
        <w:rPr>
          <w:lang w:eastAsia="uz-Cyrl-UZ" w:bidi="uz-Cyrl-UZ"/>
        </w:rPr>
        <w:t>#Eurovision</w:t>
      </w:r>
      <w:r w:rsidR="00A32A2C">
        <w:rPr>
          <w:lang w:eastAsia="uz-Cyrl-UZ" w:bidi="uz-Cyrl-UZ"/>
        </w:rPr>
        <w:t xml:space="preserve"> </w:t>
      </w:r>
      <w:proofErr w:type="spellStart"/>
      <w:r w:rsidR="00903CFB">
        <w:rPr>
          <w:lang w:eastAsia="uz-Cyrl-UZ" w:bidi="uz-Cyrl-UZ"/>
        </w:rPr>
        <w:t>hashtag</w:t>
      </w:r>
      <w:proofErr w:type="spellEnd"/>
      <w:r w:rsidR="004B7EDF">
        <w:rPr>
          <w:lang w:eastAsia="uz-Cyrl-UZ" w:bidi="uz-Cyrl-UZ"/>
        </w:rPr>
        <w:t xml:space="preserve"> as the main tag.</w:t>
      </w:r>
      <w:r w:rsidR="00BC28E2">
        <w:rPr>
          <w:lang w:eastAsia="uz-Cyrl-UZ" w:bidi="uz-Cyrl-UZ"/>
        </w:rPr>
        <w:t xml:space="preserve"> The size of participation collected exceeded</w:t>
      </w:r>
      <w:r w:rsidR="00DF5C27">
        <w:rPr>
          <w:lang w:eastAsia="uz-Cyrl-UZ" w:bidi="uz-Cyrl-UZ"/>
        </w:rPr>
        <w:t xml:space="preserve"> 7,900,000 statuses. The activity was produced from </w:t>
      </w:r>
      <w:r w:rsidR="00DF5C27" w:rsidRPr="00DF5C27">
        <w:rPr>
          <w:lang w:eastAsia="uz-Cyrl-UZ" w:bidi="uz-Cyrl-UZ"/>
        </w:rPr>
        <w:t>1,226,959</w:t>
      </w:r>
      <w:r w:rsidR="00DF5C27">
        <w:rPr>
          <w:lang w:eastAsia="uz-Cyrl-UZ" w:bidi="uz-Cyrl-UZ"/>
        </w:rPr>
        <w:t xml:space="preserve"> users.</w:t>
      </w:r>
      <w:r w:rsidR="0024607F">
        <w:rPr>
          <w:lang w:eastAsia="uz-Cyrl-UZ" w:bidi="uz-Cyrl-UZ"/>
        </w:rPr>
        <w:t xml:space="preserve"> Figure 1 below, shows the overall activity on Twitter.</w:t>
      </w:r>
    </w:p>
    <w:p w14:paraId="1B70B91D" w14:textId="414CC73F" w:rsidR="00DB4C33" w:rsidRDefault="00DB4C33" w:rsidP="00267343">
      <w:pPr>
        <w:pStyle w:val="Heading1"/>
        <w:numPr>
          <w:ilvl w:val="0"/>
          <w:numId w:val="0"/>
        </w:numPr>
        <w:ind w:firstLine="216"/>
        <w:jc w:val="both"/>
        <w:rPr>
          <w:lang w:val="en-GB"/>
        </w:rPr>
      </w:pPr>
    </w:p>
    <w:p w14:paraId="4E7A5504" w14:textId="28245EF0" w:rsidR="00DB4C33" w:rsidRDefault="00DB4C33" w:rsidP="000956C4">
      <w:pPr>
        <w:pStyle w:val="BodyText"/>
      </w:pPr>
    </w:p>
    <w:p w14:paraId="461C5F3B" w14:textId="77777777" w:rsidR="00914C2B" w:rsidRDefault="000956C4" w:rsidP="00914C2B">
      <w:pPr>
        <w:pStyle w:val="BodyText"/>
        <w:keepNext/>
        <w:ind w:firstLine="0"/>
        <w:jc w:val="center"/>
      </w:pPr>
      <w:r>
        <w:rPr>
          <w:noProof/>
        </w:rPr>
        <w:drawing>
          <wp:inline distT="0" distB="0" distL="0" distR="0" wp14:anchorId="6DED2A6C" wp14:editId="3E815890">
            <wp:extent cx="3008432" cy="2660073"/>
            <wp:effectExtent l="0" t="0" r="1905" b="6985"/>
            <wp:docPr id="2" name="Picture 2" descr="E:\analyses\eurovision\overall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alyses\eurovision\overallactivity.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759" r="6736" b="6890"/>
                    <a:stretch/>
                  </pic:blipFill>
                  <pic:spPr bwMode="auto">
                    <a:xfrm>
                      <a:off x="0" y="0"/>
                      <a:ext cx="3011550" cy="2662830"/>
                    </a:xfrm>
                    <a:prstGeom prst="rect">
                      <a:avLst/>
                    </a:prstGeom>
                    <a:noFill/>
                    <a:ln>
                      <a:noFill/>
                    </a:ln>
                    <a:extLst>
                      <a:ext uri="{53640926-AAD7-44d8-BBD7-CCE9431645EC}">
                        <a14:shadowObscured xmlns:a14="http://schemas.microsoft.com/office/drawing/2010/main"/>
                      </a:ext>
                    </a:extLst>
                  </pic:spPr>
                </pic:pic>
              </a:graphicData>
            </a:graphic>
          </wp:inline>
        </w:drawing>
      </w:r>
    </w:p>
    <w:p w14:paraId="497E4009" w14:textId="1437F8F6" w:rsidR="000956C4" w:rsidRPr="00DB4C33" w:rsidRDefault="00914C2B" w:rsidP="00914C2B">
      <w:pPr>
        <w:pStyle w:val="Caption"/>
        <w:jc w:val="center"/>
        <w:rPr>
          <w:lang w:val="en-US"/>
        </w:rPr>
      </w:pPr>
      <w:proofErr w:type="gramStart"/>
      <w:r>
        <w:t xml:space="preserve">Figure </w:t>
      </w:r>
      <w:fldSimple w:instr=" SEQ Figure \* ARABIC ">
        <w:r w:rsidR="008E72BA">
          <w:rPr>
            <w:noProof/>
          </w:rPr>
          <w:t>1</w:t>
        </w:r>
      </w:fldSimple>
      <w:r>
        <w:t>.</w:t>
      </w:r>
      <w:proofErr w:type="gramEnd"/>
      <w:r>
        <w:t xml:space="preserve"> Overall activity for #Eurovision</w:t>
      </w:r>
    </w:p>
    <w:p w14:paraId="7725002D" w14:textId="77777777" w:rsidR="00267343" w:rsidRPr="00267343" w:rsidRDefault="00782F7D" w:rsidP="008339D0">
      <w:pPr>
        <w:pStyle w:val="Heading1"/>
        <w:rPr>
          <w:lang w:val="en-GB"/>
        </w:rPr>
      </w:pPr>
      <w:r>
        <w:rPr>
          <w:lang w:val="en-GB"/>
        </w:rPr>
        <w:t>Language Communities</w:t>
      </w:r>
      <w:r w:rsidR="00267343" w:rsidRPr="00267343">
        <w:rPr>
          <w:lang w:eastAsia="uz-Cyrl-UZ" w:bidi="uz-Cyrl-UZ"/>
        </w:rPr>
        <w:t xml:space="preserve"> </w:t>
      </w:r>
    </w:p>
    <w:p w14:paraId="0B6B7ECD" w14:textId="69C3DA6E" w:rsidR="00782F7D" w:rsidRPr="00267343" w:rsidRDefault="00267343" w:rsidP="00267343">
      <w:pPr>
        <w:pStyle w:val="BodyText"/>
      </w:pPr>
      <w:r>
        <w:t>The preliminary analysis shows that tweets and retweets together account for ~97% from the total activity, as we can see in Figure 1. Therefore, we think these two subsets can be representative by their own, without the need to include other sets, such as replays and quotes. It is important to note that tweets and retweets are used to measure actions, and reactions, respectively.</w:t>
      </w:r>
      <w:r w:rsidRPr="000956C4">
        <w:t xml:space="preserve"> </w:t>
      </w:r>
      <w:r>
        <w:t>However, our analysis will be focusing on</w:t>
      </w:r>
      <w:r w:rsidR="006F41AE">
        <w:t xml:space="preserve"> </w:t>
      </w:r>
      <w:r>
        <w:t>original tweets</w:t>
      </w:r>
      <w:r w:rsidR="006F41AE">
        <w:t xml:space="preserve"> only and usage of different languages</w:t>
      </w:r>
      <w:r w:rsidR="00686BB6">
        <w:t xml:space="preserve"> in this set</w:t>
      </w:r>
      <w:r w:rsidR="006F41AE">
        <w:t>.</w:t>
      </w:r>
      <w:r>
        <w:t xml:space="preserve"> </w:t>
      </w:r>
      <w:r w:rsidRPr="000956C4">
        <w:t>Analysis of language communities begins with two basic</w:t>
      </w:r>
      <w:r>
        <w:t xml:space="preserve"> </w:t>
      </w:r>
      <w:r w:rsidRPr="000956C4">
        <w:t>techniques. The first is to classify statuses based on their</w:t>
      </w:r>
      <w:r>
        <w:t xml:space="preserve"> </w:t>
      </w:r>
      <w:r w:rsidRPr="000956C4">
        <w:t>languages. The status language is extracted from the ‘lang’</w:t>
      </w:r>
      <w:r>
        <w:t xml:space="preserve"> </w:t>
      </w:r>
      <w:r w:rsidRPr="000956C4">
        <w:t>entity inside status objects. Language used in posting defines</w:t>
      </w:r>
      <w:r>
        <w:t xml:space="preserve"> </w:t>
      </w:r>
      <w:r w:rsidRPr="000956C4">
        <w:t>which community the status was meant for; a tweet written</w:t>
      </w:r>
      <w:r>
        <w:t xml:space="preserve"> </w:t>
      </w:r>
      <w:r w:rsidRPr="000956C4">
        <w:t>in Turkish, for example, is meant for the Turkish-speaking</w:t>
      </w:r>
      <w:r>
        <w:t xml:space="preserve"> </w:t>
      </w:r>
      <w:r w:rsidRPr="000956C4">
        <w:t>community. Output from this will be referred to as ‘posting</w:t>
      </w:r>
      <w:r>
        <w:t xml:space="preserve"> </w:t>
      </w:r>
      <w:r w:rsidRPr="000956C4">
        <w:t>communities’. The second analysis is to classify users</w:t>
      </w:r>
      <w:r>
        <w:t xml:space="preserve"> </w:t>
      </w:r>
      <w:r w:rsidRPr="000956C4">
        <w:t>into different communities based on their profile languages,</w:t>
      </w:r>
      <w:r>
        <w:t xml:space="preserve"> </w:t>
      </w:r>
      <w:r w:rsidRPr="000956C4">
        <w:t xml:space="preserve">regardless of the posting language </w:t>
      </w:r>
      <w:r w:rsidRPr="000956C4">
        <w:lastRenderedPageBreak/>
        <w:t>they used. Output from</w:t>
      </w:r>
      <w:r>
        <w:t xml:space="preserve"> </w:t>
      </w:r>
      <w:r w:rsidRPr="000956C4">
        <w:t>this technique will be referred to as ‘profile communities’. As</w:t>
      </w:r>
      <w:r>
        <w:t xml:space="preserve"> </w:t>
      </w:r>
      <w:r w:rsidRPr="000956C4">
        <w:t>we will see in the following sections, a posting community</w:t>
      </w:r>
      <w:r>
        <w:t xml:space="preserve"> </w:t>
      </w:r>
      <w:r w:rsidRPr="000956C4">
        <w:t>does not necessarily indicate the profile community for a</w:t>
      </w:r>
      <w:r>
        <w:t xml:space="preserve"> </w:t>
      </w:r>
      <w:r w:rsidRPr="000956C4">
        <w:t>user.</w:t>
      </w:r>
    </w:p>
    <w:p w14:paraId="35EC36AB" w14:textId="77777777" w:rsidR="008339D0" w:rsidRDefault="00782F7D" w:rsidP="00782F7D">
      <w:pPr>
        <w:pStyle w:val="Heading2"/>
        <w:rPr>
          <w:lang w:val="en-GB"/>
        </w:rPr>
      </w:pPr>
      <w:r>
        <w:rPr>
          <w:lang w:val="en-GB"/>
        </w:rPr>
        <w:t>Profile and Posting Communities</w:t>
      </w:r>
    </w:p>
    <w:p w14:paraId="41FA20CD" w14:textId="0F5B3BF7" w:rsidR="00DF5C27" w:rsidRDefault="000956C4" w:rsidP="000B5518">
      <w:pPr>
        <w:pStyle w:val="BodyText"/>
        <w:rPr>
          <w:rFonts w:ascii="Calibri" w:hAnsi="Calibri"/>
          <w:lang w:val="en-GB" w:eastAsia="en-GB"/>
        </w:rPr>
      </w:pPr>
      <w:r w:rsidRPr="000956C4">
        <w:t>In the #</w:t>
      </w:r>
      <w:r>
        <w:t>Eurovision</w:t>
      </w:r>
      <w:r w:rsidRPr="000956C4">
        <w:t xml:space="preserve"> case, there were </w:t>
      </w:r>
      <w:r w:rsidR="000A4B70">
        <w:t>49</w:t>
      </w:r>
      <w:r w:rsidRPr="000956C4">
        <w:t xml:space="preserve"> posting</w:t>
      </w:r>
      <w:r>
        <w:t xml:space="preserve"> </w:t>
      </w:r>
      <w:r w:rsidRPr="000956C4">
        <w:t xml:space="preserve">languages. </w:t>
      </w:r>
      <w:r w:rsidR="00914C2B">
        <w:t>Table</w:t>
      </w:r>
      <w:r w:rsidRPr="000956C4">
        <w:t xml:space="preserve"> </w:t>
      </w:r>
      <w:r w:rsidR="00914C2B">
        <w:t xml:space="preserve">1 shows the top </w:t>
      </w:r>
      <w:r w:rsidR="002E7633">
        <w:t xml:space="preserve">posting </w:t>
      </w:r>
      <w:r w:rsidR="00914C2B">
        <w:t xml:space="preserve">languages accounted for 90% of original </w:t>
      </w:r>
      <w:r w:rsidR="000437E2">
        <w:t>posts</w:t>
      </w:r>
      <w:r w:rsidR="00914C2B">
        <w:t xml:space="preserve"> (tweets)</w:t>
      </w:r>
      <w:r w:rsidR="000437E2">
        <w:t>, out of 3,8</w:t>
      </w:r>
      <w:r w:rsidR="005C592C">
        <w:t>34,937</w:t>
      </w:r>
      <w:r w:rsidR="00914C2B">
        <w:t xml:space="preserve">. </w:t>
      </w:r>
      <w:r w:rsidR="00B930A0">
        <w:t>As might be expected, t</w:t>
      </w:r>
      <w:r w:rsidR="00914C2B">
        <w:t>he</w:t>
      </w:r>
      <w:r w:rsidRPr="000956C4">
        <w:t xml:space="preserve"> English was </w:t>
      </w:r>
      <w:r w:rsidR="005C592C">
        <w:t xml:space="preserve">the </w:t>
      </w:r>
      <w:r w:rsidR="00B930A0">
        <w:t>most used posting language</w:t>
      </w:r>
      <w:r w:rsidRPr="000956C4">
        <w:t>. Interestingly, results also show</w:t>
      </w:r>
      <w:r>
        <w:t xml:space="preserve"> </w:t>
      </w:r>
      <w:r w:rsidRPr="000956C4">
        <w:t xml:space="preserve">that language of more than </w:t>
      </w:r>
      <w:r w:rsidR="00914C2B" w:rsidRPr="00914C2B">
        <w:t>142</w:t>
      </w:r>
      <w:r w:rsidR="00914C2B">
        <w:t>,</w:t>
      </w:r>
      <w:r w:rsidR="00914C2B" w:rsidRPr="00914C2B">
        <w:t>721</w:t>
      </w:r>
      <w:r w:rsidRPr="000956C4">
        <w:t xml:space="preserve"> (3</w:t>
      </w:r>
      <w:r w:rsidR="00914C2B">
        <w:t>.72</w:t>
      </w:r>
      <w:r w:rsidRPr="000956C4">
        <w:t>%) statuses could not</w:t>
      </w:r>
      <w:r>
        <w:t xml:space="preserve"> </w:t>
      </w:r>
      <w:r w:rsidRPr="000956C4">
        <w:t xml:space="preserve">be identified. When investigated, </w:t>
      </w:r>
      <w:r w:rsidR="009B1622">
        <w:t xml:space="preserve">about 40% of </w:t>
      </w:r>
      <w:r w:rsidRPr="000956C4">
        <w:t xml:space="preserve">those statuses </w:t>
      </w:r>
      <w:r w:rsidR="009B1622">
        <w:t>do not</w:t>
      </w:r>
      <w:r>
        <w:t xml:space="preserve"> </w:t>
      </w:r>
      <w:r w:rsidRPr="000956C4">
        <w:t xml:space="preserve">contain </w:t>
      </w:r>
      <w:r w:rsidR="009B1622">
        <w:t xml:space="preserve">much </w:t>
      </w:r>
      <w:r w:rsidRPr="000956C4">
        <w:t xml:space="preserve">text other than </w:t>
      </w:r>
      <w:proofErr w:type="spellStart"/>
      <w:r w:rsidRPr="000956C4">
        <w:t>hashtags</w:t>
      </w:r>
      <w:proofErr w:type="spellEnd"/>
      <w:r w:rsidRPr="000956C4">
        <w:t xml:space="preserve">, </w:t>
      </w:r>
      <w:r w:rsidR="009B1622">
        <w:t xml:space="preserve">mentions or </w:t>
      </w:r>
      <w:r w:rsidRPr="000956C4">
        <w:t xml:space="preserve">URLs. </w:t>
      </w:r>
      <w:r w:rsidR="000B5518">
        <w:t>Although this category shows an interesting case in whic</w:t>
      </w:r>
      <w:r w:rsidR="000A4B70">
        <w:t>h qualitative content analysis c</w:t>
      </w:r>
      <w:r w:rsidR="000B5518">
        <w:t>ould be involved, it is beyond this study and will not be covered here.</w:t>
      </w:r>
      <w:r>
        <w:t xml:space="preserve">  </w:t>
      </w:r>
      <w:r w:rsidR="00DF5C27">
        <w:rPr>
          <w:lang w:val="en-GB"/>
        </w:rPr>
        <w:fldChar w:fldCharType="begin"/>
      </w:r>
      <w:r w:rsidR="00DF5C27">
        <w:rPr>
          <w:lang w:val="en-GB"/>
        </w:rPr>
        <w:instrText xml:space="preserve"> LINK Excel.Sheet.12 "https://uob-my.sharepoint.com/personal/na12306_bristol_ac_uk/Documents/analyses/all/postingLangs.xlsx" "Sheet1!R4C1:R10C2" \a \f 4 \h  \* MERGEFORMAT </w:instrText>
      </w:r>
      <w:r w:rsidR="00DF5C27">
        <w:rPr>
          <w:lang w:val="en-GB"/>
        </w:rPr>
        <w:fldChar w:fldCharType="separate"/>
      </w:r>
    </w:p>
    <w:tbl>
      <w:tblPr>
        <w:tblStyle w:val="TableGrid"/>
        <w:tblW w:w="0" w:type="auto"/>
        <w:jc w:val="center"/>
        <w:tblLook w:val="04A0" w:firstRow="1" w:lastRow="0" w:firstColumn="1" w:lastColumn="0" w:noHBand="0" w:noVBand="1"/>
      </w:tblPr>
      <w:tblGrid>
        <w:gridCol w:w="1129"/>
        <w:gridCol w:w="1107"/>
      </w:tblGrid>
      <w:tr w:rsidR="00DF5C27" w:rsidRPr="00DF5C27" w14:paraId="4FB6DB55" w14:textId="77777777" w:rsidTr="00914C2B">
        <w:trPr>
          <w:trHeight w:val="20"/>
          <w:jc w:val="center"/>
        </w:trPr>
        <w:tc>
          <w:tcPr>
            <w:tcW w:w="1129" w:type="dxa"/>
            <w:noWrap/>
          </w:tcPr>
          <w:p w14:paraId="33C93AC8" w14:textId="77777777" w:rsidR="00DF5C27" w:rsidRPr="00914C2B" w:rsidRDefault="00DF5C27" w:rsidP="00914C2B">
            <w:pPr>
              <w:pStyle w:val="BodyText"/>
              <w:spacing w:after="0" w:line="240" w:lineRule="auto"/>
              <w:ind w:firstLine="289"/>
              <w:rPr>
                <w:sz w:val="16"/>
                <w:szCs w:val="16"/>
              </w:rPr>
            </w:pPr>
            <w:r w:rsidRPr="00914C2B">
              <w:rPr>
                <w:sz w:val="16"/>
                <w:szCs w:val="16"/>
              </w:rPr>
              <w:t>Language</w:t>
            </w:r>
          </w:p>
        </w:tc>
        <w:tc>
          <w:tcPr>
            <w:tcW w:w="1107" w:type="dxa"/>
            <w:noWrap/>
          </w:tcPr>
          <w:p w14:paraId="49E0CA1F" w14:textId="77777777" w:rsidR="00DF5C27" w:rsidRPr="00914C2B" w:rsidRDefault="00DF5C27" w:rsidP="00914C2B">
            <w:pPr>
              <w:pStyle w:val="BodyText"/>
              <w:spacing w:after="0" w:line="240" w:lineRule="auto"/>
              <w:ind w:firstLine="289"/>
              <w:rPr>
                <w:sz w:val="16"/>
                <w:szCs w:val="16"/>
              </w:rPr>
            </w:pPr>
            <w:r w:rsidRPr="00914C2B">
              <w:rPr>
                <w:sz w:val="16"/>
                <w:szCs w:val="16"/>
              </w:rPr>
              <w:t>%</w:t>
            </w:r>
          </w:p>
        </w:tc>
      </w:tr>
      <w:tr w:rsidR="00454864" w:rsidRPr="00DF5C27" w14:paraId="0715D180" w14:textId="77777777" w:rsidTr="00914C2B">
        <w:trPr>
          <w:trHeight w:val="20"/>
          <w:jc w:val="center"/>
        </w:trPr>
        <w:tc>
          <w:tcPr>
            <w:tcW w:w="1129" w:type="dxa"/>
            <w:noWrap/>
            <w:vAlign w:val="bottom"/>
            <w:hideMark/>
          </w:tcPr>
          <w:p w14:paraId="35091E14" w14:textId="77777777" w:rsidR="00454864" w:rsidRPr="00914C2B" w:rsidRDefault="00454864" w:rsidP="00914C2B">
            <w:pPr>
              <w:pStyle w:val="BodyText"/>
              <w:spacing w:after="0" w:line="240" w:lineRule="auto"/>
              <w:ind w:firstLine="289"/>
              <w:rPr>
                <w:sz w:val="16"/>
                <w:szCs w:val="16"/>
              </w:rPr>
            </w:pPr>
            <w:proofErr w:type="gramStart"/>
            <w:r w:rsidRPr="00914C2B">
              <w:rPr>
                <w:sz w:val="16"/>
                <w:szCs w:val="16"/>
              </w:rPr>
              <w:t>en</w:t>
            </w:r>
            <w:proofErr w:type="gramEnd"/>
          </w:p>
        </w:tc>
        <w:tc>
          <w:tcPr>
            <w:tcW w:w="1107" w:type="dxa"/>
            <w:noWrap/>
            <w:vAlign w:val="bottom"/>
            <w:hideMark/>
          </w:tcPr>
          <w:p w14:paraId="39D3A2B5" w14:textId="77777777" w:rsidR="00454864" w:rsidRPr="00914C2B" w:rsidRDefault="00454864" w:rsidP="00914C2B">
            <w:pPr>
              <w:pStyle w:val="BodyText"/>
              <w:spacing w:after="0" w:line="240" w:lineRule="auto"/>
              <w:ind w:firstLine="289"/>
              <w:rPr>
                <w:sz w:val="16"/>
                <w:szCs w:val="16"/>
              </w:rPr>
            </w:pPr>
            <w:r w:rsidRPr="00914C2B">
              <w:rPr>
                <w:sz w:val="16"/>
                <w:szCs w:val="16"/>
              </w:rPr>
              <w:t>45.90</w:t>
            </w:r>
          </w:p>
        </w:tc>
      </w:tr>
      <w:tr w:rsidR="00454864" w:rsidRPr="00DF5C27" w14:paraId="30D857F8" w14:textId="77777777" w:rsidTr="00914C2B">
        <w:trPr>
          <w:trHeight w:val="20"/>
          <w:jc w:val="center"/>
        </w:trPr>
        <w:tc>
          <w:tcPr>
            <w:tcW w:w="1129" w:type="dxa"/>
            <w:noWrap/>
            <w:vAlign w:val="bottom"/>
            <w:hideMark/>
          </w:tcPr>
          <w:p w14:paraId="6B12C382" w14:textId="77777777" w:rsidR="00454864" w:rsidRPr="00914C2B" w:rsidRDefault="00454864" w:rsidP="00914C2B">
            <w:pPr>
              <w:pStyle w:val="BodyText"/>
              <w:spacing w:after="0" w:line="240" w:lineRule="auto"/>
              <w:ind w:firstLine="289"/>
              <w:rPr>
                <w:sz w:val="16"/>
                <w:szCs w:val="16"/>
              </w:rPr>
            </w:pPr>
            <w:proofErr w:type="spellStart"/>
            <w:proofErr w:type="gramStart"/>
            <w:r w:rsidRPr="00914C2B">
              <w:rPr>
                <w:sz w:val="16"/>
                <w:szCs w:val="16"/>
              </w:rPr>
              <w:t>es</w:t>
            </w:r>
            <w:proofErr w:type="spellEnd"/>
            <w:proofErr w:type="gramEnd"/>
          </w:p>
        </w:tc>
        <w:tc>
          <w:tcPr>
            <w:tcW w:w="1107" w:type="dxa"/>
            <w:noWrap/>
            <w:vAlign w:val="bottom"/>
            <w:hideMark/>
          </w:tcPr>
          <w:p w14:paraId="49E35247" w14:textId="77777777" w:rsidR="00454864" w:rsidRPr="00914C2B" w:rsidRDefault="00454864" w:rsidP="00914C2B">
            <w:pPr>
              <w:pStyle w:val="BodyText"/>
              <w:spacing w:after="0" w:line="240" w:lineRule="auto"/>
              <w:ind w:firstLine="289"/>
              <w:rPr>
                <w:sz w:val="16"/>
                <w:szCs w:val="16"/>
              </w:rPr>
            </w:pPr>
            <w:r w:rsidRPr="00914C2B">
              <w:rPr>
                <w:sz w:val="16"/>
                <w:szCs w:val="16"/>
              </w:rPr>
              <w:t>17.24</w:t>
            </w:r>
          </w:p>
        </w:tc>
      </w:tr>
      <w:tr w:rsidR="00454864" w:rsidRPr="00DF5C27" w14:paraId="33DF7E0B" w14:textId="77777777" w:rsidTr="00914C2B">
        <w:trPr>
          <w:trHeight w:val="20"/>
          <w:jc w:val="center"/>
        </w:trPr>
        <w:tc>
          <w:tcPr>
            <w:tcW w:w="1129" w:type="dxa"/>
            <w:noWrap/>
            <w:vAlign w:val="bottom"/>
            <w:hideMark/>
          </w:tcPr>
          <w:p w14:paraId="76B38754" w14:textId="77777777" w:rsidR="00454864" w:rsidRPr="00914C2B" w:rsidRDefault="00454864" w:rsidP="00914C2B">
            <w:pPr>
              <w:pStyle w:val="BodyText"/>
              <w:spacing w:after="0" w:line="240" w:lineRule="auto"/>
              <w:ind w:firstLine="289"/>
              <w:rPr>
                <w:sz w:val="16"/>
                <w:szCs w:val="16"/>
              </w:rPr>
            </w:pPr>
            <w:proofErr w:type="spellStart"/>
            <w:proofErr w:type="gramStart"/>
            <w:r w:rsidRPr="00914C2B">
              <w:rPr>
                <w:sz w:val="16"/>
                <w:szCs w:val="16"/>
              </w:rPr>
              <w:t>ru</w:t>
            </w:r>
            <w:proofErr w:type="spellEnd"/>
            <w:proofErr w:type="gramEnd"/>
          </w:p>
        </w:tc>
        <w:tc>
          <w:tcPr>
            <w:tcW w:w="1107" w:type="dxa"/>
            <w:noWrap/>
            <w:vAlign w:val="bottom"/>
            <w:hideMark/>
          </w:tcPr>
          <w:p w14:paraId="605B913B" w14:textId="77777777" w:rsidR="00454864" w:rsidRPr="00914C2B" w:rsidRDefault="00454864" w:rsidP="00914C2B">
            <w:pPr>
              <w:pStyle w:val="BodyText"/>
              <w:spacing w:after="0" w:line="240" w:lineRule="auto"/>
              <w:ind w:firstLine="289"/>
              <w:rPr>
                <w:sz w:val="16"/>
                <w:szCs w:val="16"/>
              </w:rPr>
            </w:pPr>
            <w:r w:rsidRPr="00914C2B">
              <w:rPr>
                <w:sz w:val="16"/>
                <w:szCs w:val="16"/>
              </w:rPr>
              <w:t>8.99</w:t>
            </w:r>
          </w:p>
        </w:tc>
      </w:tr>
      <w:tr w:rsidR="00454864" w:rsidRPr="00DF5C27" w14:paraId="4D4798F1" w14:textId="77777777" w:rsidTr="00914C2B">
        <w:trPr>
          <w:trHeight w:val="20"/>
          <w:jc w:val="center"/>
        </w:trPr>
        <w:tc>
          <w:tcPr>
            <w:tcW w:w="1129" w:type="dxa"/>
            <w:noWrap/>
            <w:vAlign w:val="bottom"/>
            <w:hideMark/>
          </w:tcPr>
          <w:p w14:paraId="1FF33E45" w14:textId="77777777" w:rsidR="00454864" w:rsidRPr="00914C2B" w:rsidRDefault="00454864" w:rsidP="00914C2B">
            <w:pPr>
              <w:pStyle w:val="BodyText"/>
              <w:spacing w:after="0" w:line="240" w:lineRule="auto"/>
              <w:ind w:firstLine="289"/>
              <w:rPr>
                <w:sz w:val="16"/>
                <w:szCs w:val="16"/>
              </w:rPr>
            </w:pPr>
            <w:proofErr w:type="spellStart"/>
            <w:proofErr w:type="gramStart"/>
            <w:r w:rsidRPr="00914C2B">
              <w:rPr>
                <w:sz w:val="16"/>
                <w:szCs w:val="16"/>
              </w:rPr>
              <w:t>fr</w:t>
            </w:r>
            <w:proofErr w:type="spellEnd"/>
            <w:proofErr w:type="gramEnd"/>
          </w:p>
        </w:tc>
        <w:tc>
          <w:tcPr>
            <w:tcW w:w="1107" w:type="dxa"/>
            <w:noWrap/>
            <w:vAlign w:val="bottom"/>
            <w:hideMark/>
          </w:tcPr>
          <w:p w14:paraId="51A8A17A" w14:textId="77777777" w:rsidR="00454864" w:rsidRPr="00914C2B" w:rsidRDefault="00454864" w:rsidP="00914C2B">
            <w:pPr>
              <w:pStyle w:val="BodyText"/>
              <w:spacing w:after="0" w:line="240" w:lineRule="auto"/>
              <w:ind w:firstLine="289"/>
              <w:rPr>
                <w:sz w:val="16"/>
                <w:szCs w:val="16"/>
              </w:rPr>
            </w:pPr>
            <w:r w:rsidRPr="00914C2B">
              <w:rPr>
                <w:sz w:val="16"/>
                <w:szCs w:val="16"/>
              </w:rPr>
              <w:t>6.20</w:t>
            </w:r>
          </w:p>
        </w:tc>
      </w:tr>
      <w:tr w:rsidR="00454864" w:rsidRPr="00DF5C27" w14:paraId="55F85E92" w14:textId="77777777" w:rsidTr="00914C2B">
        <w:trPr>
          <w:trHeight w:val="20"/>
          <w:jc w:val="center"/>
        </w:trPr>
        <w:tc>
          <w:tcPr>
            <w:tcW w:w="1129" w:type="dxa"/>
            <w:noWrap/>
            <w:vAlign w:val="bottom"/>
            <w:hideMark/>
          </w:tcPr>
          <w:p w14:paraId="4EC3244D" w14:textId="77777777" w:rsidR="00454864" w:rsidRPr="00914C2B" w:rsidRDefault="00454864" w:rsidP="00914C2B">
            <w:pPr>
              <w:pStyle w:val="BodyText"/>
              <w:spacing w:after="0" w:line="240" w:lineRule="auto"/>
              <w:ind w:firstLine="289"/>
              <w:rPr>
                <w:sz w:val="16"/>
                <w:szCs w:val="16"/>
              </w:rPr>
            </w:pPr>
            <w:proofErr w:type="gramStart"/>
            <w:r w:rsidRPr="00914C2B">
              <w:rPr>
                <w:sz w:val="16"/>
                <w:szCs w:val="16"/>
              </w:rPr>
              <w:t>und</w:t>
            </w:r>
            <w:proofErr w:type="gramEnd"/>
          </w:p>
        </w:tc>
        <w:tc>
          <w:tcPr>
            <w:tcW w:w="1107" w:type="dxa"/>
            <w:noWrap/>
            <w:vAlign w:val="bottom"/>
            <w:hideMark/>
          </w:tcPr>
          <w:p w14:paraId="2F547424" w14:textId="77777777" w:rsidR="00454864" w:rsidRPr="00914C2B" w:rsidRDefault="00454864" w:rsidP="00914C2B">
            <w:pPr>
              <w:pStyle w:val="BodyText"/>
              <w:spacing w:after="0" w:line="240" w:lineRule="auto"/>
              <w:ind w:firstLine="289"/>
              <w:rPr>
                <w:sz w:val="16"/>
                <w:szCs w:val="16"/>
              </w:rPr>
            </w:pPr>
            <w:r w:rsidRPr="00914C2B">
              <w:rPr>
                <w:sz w:val="16"/>
                <w:szCs w:val="16"/>
              </w:rPr>
              <w:t>3.72</w:t>
            </w:r>
          </w:p>
        </w:tc>
      </w:tr>
      <w:tr w:rsidR="00454864" w:rsidRPr="00DF5C27" w14:paraId="5DB5966E" w14:textId="77777777" w:rsidTr="00914C2B">
        <w:trPr>
          <w:trHeight w:val="20"/>
          <w:jc w:val="center"/>
        </w:trPr>
        <w:tc>
          <w:tcPr>
            <w:tcW w:w="1129" w:type="dxa"/>
            <w:noWrap/>
            <w:vAlign w:val="bottom"/>
            <w:hideMark/>
          </w:tcPr>
          <w:p w14:paraId="3450EA8B" w14:textId="77777777" w:rsidR="00454864" w:rsidRPr="00914C2B" w:rsidRDefault="00454864" w:rsidP="00914C2B">
            <w:pPr>
              <w:pStyle w:val="BodyText"/>
              <w:spacing w:after="0" w:line="240" w:lineRule="auto"/>
              <w:ind w:firstLine="289"/>
              <w:rPr>
                <w:sz w:val="16"/>
                <w:szCs w:val="16"/>
              </w:rPr>
            </w:pPr>
            <w:proofErr w:type="spellStart"/>
            <w:proofErr w:type="gramStart"/>
            <w:r w:rsidRPr="00914C2B">
              <w:rPr>
                <w:sz w:val="16"/>
                <w:szCs w:val="16"/>
              </w:rPr>
              <w:t>nl</w:t>
            </w:r>
            <w:proofErr w:type="spellEnd"/>
            <w:proofErr w:type="gramEnd"/>
          </w:p>
        </w:tc>
        <w:tc>
          <w:tcPr>
            <w:tcW w:w="1107" w:type="dxa"/>
            <w:noWrap/>
            <w:vAlign w:val="bottom"/>
            <w:hideMark/>
          </w:tcPr>
          <w:p w14:paraId="1F42B8BB" w14:textId="77777777" w:rsidR="00454864" w:rsidRPr="00914C2B" w:rsidRDefault="00454864" w:rsidP="00914C2B">
            <w:pPr>
              <w:pStyle w:val="BodyText"/>
              <w:spacing w:after="0" w:line="240" w:lineRule="auto"/>
              <w:ind w:firstLine="289"/>
              <w:rPr>
                <w:sz w:val="16"/>
                <w:szCs w:val="16"/>
              </w:rPr>
            </w:pPr>
            <w:r w:rsidRPr="00914C2B">
              <w:rPr>
                <w:sz w:val="16"/>
                <w:szCs w:val="16"/>
              </w:rPr>
              <w:t>3.71</w:t>
            </w:r>
          </w:p>
        </w:tc>
      </w:tr>
      <w:tr w:rsidR="00454864" w:rsidRPr="00DF5C27" w14:paraId="26D7183D" w14:textId="77777777" w:rsidTr="00914C2B">
        <w:trPr>
          <w:trHeight w:val="20"/>
          <w:jc w:val="center"/>
        </w:trPr>
        <w:tc>
          <w:tcPr>
            <w:tcW w:w="1129" w:type="dxa"/>
            <w:noWrap/>
            <w:vAlign w:val="bottom"/>
            <w:hideMark/>
          </w:tcPr>
          <w:p w14:paraId="1A58D227" w14:textId="77777777" w:rsidR="00454864" w:rsidRPr="00914C2B" w:rsidRDefault="00454864" w:rsidP="00914C2B">
            <w:pPr>
              <w:pStyle w:val="BodyText"/>
              <w:spacing w:after="0" w:line="240" w:lineRule="auto"/>
              <w:ind w:firstLine="289"/>
              <w:rPr>
                <w:sz w:val="16"/>
                <w:szCs w:val="16"/>
              </w:rPr>
            </w:pPr>
            <w:proofErr w:type="gramStart"/>
            <w:r w:rsidRPr="00914C2B">
              <w:rPr>
                <w:sz w:val="16"/>
                <w:szCs w:val="16"/>
              </w:rPr>
              <w:t>de</w:t>
            </w:r>
            <w:proofErr w:type="gramEnd"/>
          </w:p>
        </w:tc>
        <w:tc>
          <w:tcPr>
            <w:tcW w:w="1107" w:type="dxa"/>
            <w:noWrap/>
            <w:vAlign w:val="bottom"/>
            <w:hideMark/>
          </w:tcPr>
          <w:p w14:paraId="5C82F3FD" w14:textId="77777777" w:rsidR="00454864" w:rsidRPr="00914C2B" w:rsidRDefault="00454864" w:rsidP="00914C2B">
            <w:pPr>
              <w:pStyle w:val="BodyText"/>
              <w:spacing w:after="0" w:line="240" w:lineRule="auto"/>
              <w:ind w:firstLine="289"/>
              <w:rPr>
                <w:sz w:val="16"/>
                <w:szCs w:val="16"/>
              </w:rPr>
            </w:pPr>
            <w:r w:rsidRPr="00914C2B">
              <w:rPr>
                <w:sz w:val="16"/>
                <w:szCs w:val="16"/>
              </w:rPr>
              <w:t>3.19</w:t>
            </w:r>
          </w:p>
        </w:tc>
      </w:tr>
      <w:tr w:rsidR="00454864" w:rsidRPr="00DF5C27" w14:paraId="46AED5D9" w14:textId="77777777" w:rsidTr="00914C2B">
        <w:trPr>
          <w:trHeight w:val="20"/>
          <w:jc w:val="center"/>
        </w:trPr>
        <w:tc>
          <w:tcPr>
            <w:tcW w:w="1129" w:type="dxa"/>
            <w:noWrap/>
            <w:vAlign w:val="bottom"/>
          </w:tcPr>
          <w:p w14:paraId="24C9A225" w14:textId="77777777" w:rsidR="00454864" w:rsidRPr="00914C2B" w:rsidRDefault="00454864" w:rsidP="00914C2B">
            <w:pPr>
              <w:pStyle w:val="BodyText"/>
              <w:spacing w:after="0" w:line="240" w:lineRule="auto"/>
              <w:ind w:firstLine="289"/>
              <w:rPr>
                <w:sz w:val="16"/>
                <w:szCs w:val="16"/>
              </w:rPr>
            </w:pPr>
            <w:proofErr w:type="gramStart"/>
            <w:r w:rsidRPr="00914C2B">
              <w:rPr>
                <w:sz w:val="16"/>
                <w:szCs w:val="16"/>
              </w:rPr>
              <w:t>it</w:t>
            </w:r>
            <w:proofErr w:type="gramEnd"/>
          </w:p>
        </w:tc>
        <w:tc>
          <w:tcPr>
            <w:tcW w:w="1107" w:type="dxa"/>
            <w:noWrap/>
            <w:vAlign w:val="bottom"/>
          </w:tcPr>
          <w:p w14:paraId="665E31F1" w14:textId="77777777" w:rsidR="00454864" w:rsidRPr="00914C2B" w:rsidRDefault="00454864" w:rsidP="00914C2B">
            <w:pPr>
              <w:pStyle w:val="BodyText"/>
              <w:keepNext/>
              <w:spacing w:after="0" w:line="240" w:lineRule="auto"/>
              <w:ind w:firstLine="289"/>
              <w:rPr>
                <w:sz w:val="16"/>
                <w:szCs w:val="16"/>
              </w:rPr>
            </w:pPr>
            <w:r w:rsidRPr="00914C2B">
              <w:rPr>
                <w:sz w:val="16"/>
                <w:szCs w:val="16"/>
              </w:rPr>
              <w:t>2.85</w:t>
            </w:r>
          </w:p>
        </w:tc>
      </w:tr>
    </w:tbl>
    <w:p w14:paraId="3C4EC3DE" w14:textId="7A2F48C8" w:rsidR="00914C2B" w:rsidRDefault="00914C2B">
      <w:pPr>
        <w:pStyle w:val="Caption"/>
      </w:pPr>
      <w:r>
        <w:t xml:space="preserve">Table </w:t>
      </w:r>
      <w:fldSimple w:instr=" SEQ Table \* ARABIC ">
        <w:r w:rsidR="004C3FC4">
          <w:rPr>
            <w:noProof/>
          </w:rPr>
          <w:t>1</w:t>
        </w:r>
      </w:fldSimple>
      <w:r>
        <w:t xml:space="preserve">: </w:t>
      </w:r>
      <w:r w:rsidRPr="00806497">
        <w:t>Posting languages accounted for 90% of original activities (tweets)</w:t>
      </w:r>
    </w:p>
    <w:p w14:paraId="4FE630CC" w14:textId="20C6D77B" w:rsidR="00B2210B" w:rsidRDefault="00DF5C27" w:rsidP="00E14692">
      <w:pPr>
        <w:ind w:firstLine="284"/>
        <w:jc w:val="both"/>
      </w:pPr>
      <w:r>
        <w:rPr>
          <w:lang w:val="en-GB"/>
        </w:rPr>
        <w:fldChar w:fldCharType="end"/>
      </w:r>
      <w:r w:rsidR="005C592C">
        <w:rPr>
          <w:lang w:val="en-GB"/>
        </w:rPr>
        <w:t xml:space="preserve">In total, we there were </w:t>
      </w:r>
      <w:r w:rsidR="005C592C" w:rsidRPr="005C592C">
        <w:rPr>
          <w:lang w:val="en-GB"/>
        </w:rPr>
        <w:t xml:space="preserve">1,226,959 </w:t>
      </w:r>
      <w:r w:rsidR="005C592C">
        <w:rPr>
          <w:lang w:val="en-GB"/>
        </w:rPr>
        <w:t xml:space="preserve">users participated in the #Eurovision topic. </w:t>
      </w:r>
      <w:r w:rsidR="00C65666">
        <w:t xml:space="preserve">In terms of </w:t>
      </w:r>
      <w:r w:rsidR="005C592C">
        <w:t>their profile</w:t>
      </w:r>
      <w:r w:rsidR="00C65666">
        <w:t xml:space="preserve"> languages, </w:t>
      </w:r>
      <w:r w:rsidR="0099061C">
        <w:t>they</w:t>
      </w:r>
      <w:r w:rsidR="005C592C">
        <w:t xml:space="preserve"> form</w:t>
      </w:r>
      <w:r w:rsidR="000A4B70">
        <w:t xml:space="preserve"> 50</w:t>
      </w:r>
      <w:r w:rsidR="00A806A0">
        <w:t xml:space="preserve"> communities. </w:t>
      </w:r>
      <w:r w:rsidR="004B1277">
        <w:t xml:space="preserve">Table 2 shows </w:t>
      </w:r>
      <w:r w:rsidR="00C65666">
        <w:t>the profile</w:t>
      </w:r>
      <w:r w:rsidR="00AA050E">
        <w:t xml:space="preserve"> communities</w:t>
      </w:r>
      <w:r w:rsidR="00C65666">
        <w:t xml:space="preserve"> that accumulate 90% of all users</w:t>
      </w:r>
      <w:r w:rsidR="00A806A0">
        <w:t>.</w:t>
      </w:r>
      <w:r w:rsidR="00AA050E">
        <w:t xml:space="preserve"> </w:t>
      </w:r>
      <w:r w:rsidR="00A806A0">
        <w:t xml:space="preserve">Unlike status language, profile language relies on the user to pick a language </w:t>
      </w:r>
      <w:r w:rsidR="00A806A0" w:rsidRPr="00A806A0">
        <w:t>for their Twitter profile settings.</w:t>
      </w:r>
      <w:r w:rsidR="00C65666">
        <w:t xml:space="preserve"> In general, the default value of this option is </w:t>
      </w:r>
      <w:r w:rsidR="00C65666" w:rsidRPr="00C65666">
        <w:t>the initial placeholder text “Select Language...” or a</w:t>
      </w:r>
      <w:r w:rsidR="00C65666">
        <w:t xml:space="preserve"> </w:t>
      </w:r>
      <w:r w:rsidR="00C65666" w:rsidRPr="00C65666">
        <w:t>translated version that might provide hints regarding the user</w:t>
      </w:r>
      <w:r w:rsidR="00C65666">
        <w:t xml:space="preserve"> </w:t>
      </w:r>
      <w:r w:rsidR="00C65666" w:rsidRPr="00C65666">
        <w:t>language community.</w:t>
      </w:r>
      <w:r w:rsidR="00C65666">
        <w:t xml:space="preserve"> In our dataset, we found that all users chose a language and no users left it to the default value.</w:t>
      </w:r>
    </w:p>
    <w:p w14:paraId="54DEF25D" w14:textId="77777777" w:rsidR="005C592C" w:rsidRPr="00E14692" w:rsidRDefault="005C592C" w:rsidP="00E14692">
      <w:pPr>
        <w:ind w:firstLine="284"/>
        <w:jc w:val="both"/>
        <w:rPr>
          <w:lang w:val="en-GB"/>
        </w:rPr>
      </w:pPr>
    </w:p>
    <w:tbl>
      <w:tblPr>
        <w:tblStyle w:val="TableGrid"/>
        <w:tblW w:w="2273" w:type="dxa"/>
        <w:jc w:val="center"/>
        <w:tblLook w:val="04A0" w:firstRow="1" w:lastRow="0" w:firstColumn="1" w:lastColumn="0" w:noHBand="0" w:noVBand="1"/>
      </w:tblPr>
      <w:tblGrid>
        <w:gridCol w:w="1413"/>
        <w:gridCol w:w="860"/>
      </w:tblGrid>
      <w:tr w:rsidR="00B2210B" w:rsidRPr="00DF5C27" w14:paraId="504C5A00" w14:textId="77777777" w:rsidTr="00AA050E">
        <w:trPr>
          <w:trHeight w:val="77"/>
          <w:jc w:val="center"/>
        </w:trPr>
        <w:tc>
          <w:tcPr>
            <w:tcW w:w="1413" w:type="dxa"/>
            <w:noWrap/>
          </w:tcPr>
          <w:p w14:paraId="4CEAE550" w14:textId="77777777" w:rsidR="00B2210B" w:rsidRPr="000B5518" w:rsidRDefault="00B2210B" w:rsidP="000B5518">
            <w:pPr>
              <w:pStyle w:val="BodyText"/>
              <w:spacing w:after="0" w:line="240" w:lineRule="auto"/>
              <w:ind w:firstLine="289"/>
              <w:rPr>
                <w:sz w:val="16"/>
                <w:szCs w:val="16"/>
              </w:rPr>
            </w:pPr>
            <w:r w:rsidRPr="000B5518">
              <w:rPr>
                <w:sz w:val="16"/>
                <w:szCs w:val="16"/>
              </w:rPr>
              <w:t>Community</w:t>
            </w:r>
          </w:p>
        </w:tc>
        <w:tc>
          <w:tcPr>
            <w:tcW w:w="860" w:type="dxa"/>
            <w:noWrap/>
          </w:tcPr>
          <w:p w14:paraId="6A6C1AC8" w14:textId="77777777" w:rsidR="00B2210B" w:rsidRPr="000B5518" w:rsidRDefault="00B2210B" w:rsidP="000B5518">
            <w:pPr>
              <w:pStyle w:val="BodyText"/>
              <w:spacing w:after="0" w:line="240" w:lineRule="auto"/>
              <w:ind w:firstLine="289"/>
              <w:rPr>
                <w:sz w:val="16"/>
                <w:szCs w:val="16"/>
              </w:rPr>
            </w:pPr>
            <w:r w:rsidRPr="000B5518">
              <w:rPr>
                <w:sz w:val="16"/>
                <w:szCs w:val="16"/>
              </w:rPr>
              <w:t>%</w:t>
            </w:r>
          </w:p>
        </w:tc>
      </w:tr>
      <w:tr w:rsidR="00454864" w:rsidRPr="00DF5C27" w14:paraId="1868B447" w14:textId="77777777" w:rsidTr="00AA050E">
        <w:trPr>
          <w:trHeight w:val="165"/>
          <w:jc w:val="center"/>
        </w:trPr>
        <w:tc>
          <w:tcPr>
            <w:tcW w:w="1413" w:type="dxa"/>
            <w:noWrap/>
            <w:hideMark/>
          </w:tcPr>
          <w:p w14:paraId="1C2588B2" w14:textId="77777777" w:rsidR="00454864" w:rsidRPr="000B5518" w:rsidRDefault="00454864" w:rsidP="000B5518">
            <w:pPr>
              <w:pStyle w:val="BodyText"/>
              <w:spacing w:after="0" w:line="240" w:lineRule="auto"/>
              <w:ind w:firstLine="289"/>
              <w:rPr>
                <w:sz w:val="16"/>
                <w:szCs w:val="16"/>
              </w:rPr>
            </w:pPr>
            <w:proofErr w:type="gramStart"/>
            <w:r w:rsidRPr="000B5518">
              <w:rPr>
                <w:sz w:val="16"/>
                <w:szCs w:val="16"/>
              </w:rPr>
              <w:t>en</w:t>
            </w:r>
            <w:proofErr w:type="gramEnd"/>
          </w:p>
        </w:tc>
        <w:tc>
          <w:tcPr>
            <w:tcW w:w="860" w:type="dxa"/>
            <w:noWrap/>
            <w:hideMark/>
          </w:tcPr>
          <w:p w14:paraId="66F9CE35" w14:textId="77777777" w:rsidR="00454864" w:rsidRPr="000B5518" w:rsidRDefault="00454864" w:rsidP="000B5518">
            <w:pPr>
              <w:pStyle w:val="BodyText"/>
              <w:spacing w:after="0" w:line="240" w:lineRule="auto"/>
              <w:ind w:firstLine="289"/>
              <w:rPr>
                <w:sz w:val="16"/>
                <w:szCs w:val="16"/>
              </w:rPr>
            </w:pPr>
            <w:r w:rsidRPr="000B5518">
              <w:rPr>
                <w:sz w:val="16"/>
                <w:szCs w:val="16"/>
              </w:rPr>
              <w:t>47.06</w:t>
            </w:r>
          </w:p>
        </w:tc>
      </w:tr>
      <w:tr w:rsidR="00454864" w:rsidRPr="00DF5C27" w14:paraId="412B54FA" w14:textId="77777777" w:rsidTr="00AA050E">
        <w:trPr>
          <w:trHeight w:val="111"/>
          <w:jc w:val="center"/>
        </w:trPr>
        <w:tc>
          <w:tcPr>
            <w:tcW w:w="1413" w:type="dxa"/>
            <w:noWrap/>
            <w:hideMark/>
          </w:tcPr>
          <w:p w14:paraId="03D8C64A" w14:textId="77777777" w:rsidR="00454864" w:rsidRPr="000B5518" w:rsidRDefault="00454864" w:rsidP="000B5518">
            <w:pPr>
              <w:pStyle w:val="BodyText"/>
              <w:spacing w:after="0" w:line="240" w:lineRule="auto"/>
              <w:ind w:firstLine="289"/>
              <w:rPr>
                <w:sz w:val="16"/>
                <w:szCs w:val="16"/>
              </w:rPr>
            </w:pPr>
            <w:proofErr w:type="spellStart"/>
            <w:proofErr w:type="gramStart"/>
            <w:r w:rsidRPr="000B5518">
              <w:rPr>
                <w:sz w:val="16"/>
                <w:szCs w:val="16"/>
              </w:rPr>
              <w:t>es</w:t>
            </w:r>
            <w:proofErr w:type="spellEnd"/>
            <w:proofErr w:type="gramEnd"/>
          </w:p>
        </w:tc>
        <w:tc>
          <w:tcPr>
            <w:tcW w:w="860" w:type="dxa"/>
            <w:noWrap/>
            <w:hideMark/>
          </w:tcPr>
          <w:p w14:paraId="2E3BA4BB" w14:textId="77777777" w:rsidR="00454864" w:rsidRPr="000B5518" w:rsidRDefault="00454864" w:rsidP="000B5518">
            <w:pPr>
              <w:pStyle w:val="BodyText"/>
              <w:spacing w:after="0" w:line="240" w:lineRule="auto"/>
              <w:ind w:firstLine="289"/>
              <w:rPr>
                <w:sz w:val="16"/>
                <w:szCs w:val="16"/>
              </w:rPr>
            </w:pPr>
            <w:r w:rsidRPr="000B5518">
              <w:rPr>
                <w:sz w:val="16"/>
                <w:szCs w:val="16"/>
              </w:rPr>
              <w:t>20.37</w:t>
            </w:r>
          </w:p>
        </w:tc>
      </w:tr>
      <w:tr w:rsidR="00454864" w:rsidRPr="00DF5C27" w14:paraId="77266B21" w14:textId="77777777" w:rsidTr="00AA050E">
        <w:trPr>
          <w:trHeight w:val="57"/>
          <w:jc w:val="center"/>
        </w:trPr>
        <w:tc>
          <w:tcPr>
            <w:tcW w:w="1413" w:type="dxa"/>
            <w:noWrap/>
            <w:hideMark/>
          </w:tcPr>
          <w:p w14:paraId="3667D9C1" w14:textId="77777777" w:rsidR="00454864" w:rsidRPr="000B5518" w:rsidRDefault="00454864" w:rsidP="000B5518">
            <w:pPr>
              <w:pStyle w:val="BodyText"/>
              <w:spacing w:after="0" w:line="240" w:lineRule="auto"/>
              <w:ind w:firstLine="289"/>
              <w:rPr>
                <w:sz w:val="16"/>
                <w:szCs w:val="16"/>
              </w:rPr>
            </w:pPr>
            <w:proofErr w:type="spellStart"/>
            <w:proofErr w:type="gramStart"/>
            <w:r w:rsidRPr="000B5518">
              <w:rPr>
                <w:sz w:val="16"/>
                <w:szCs w:val="16"/>
              </w:rPr>
              <w:t>fr</w:t>
            </w:r>
            <w:proofErr w:type="spellEnd"/>
            <w:proofErr w:type="gramEnd"/>
          </w:p>
        </w:tc>
        <w:tc>
          <w:tcPr>
            <w:tcW w:w="860" w:type="dxa"/>
            <w:noWrap/>
            <w:hideMark/>
          </w:tcPr>
          <w:p w14:paraId="4919A046" w14:textId="77777777" w:rsidR="00454864" w:rsidRPr="000B5518" w:rsidRDefault="00454864" w:rsidP="000B5518">
            <w:pPr>
              <w:pStyle w:val="BodyText"/>
              <w:spacing w:after="0" w:line="240" w:lineRule="auto"/>
              <w:ind w:firstLine="289"/>
              <w:rPr>
                <w:sz w:val="16"/>
                <w:szCs w:val="16"/>
              </w:rPr>
            </w:pPr>
            <w:r w:rsidRPr="000B5518">
              <w:rPr>
                <w:sz w:val="16"/>
                <w:szCs w:val="16"/>
              </w:rPr>
              <w:t>8.00</w:t>
            </w:r>
          </w:p>
        </w:tc>
      </w:tr>
      <w:tr w:rsidR="00454864" w:rsidRPr="00DF5C27" w14:paraId="2AAFB71A" w14:textId="77777777" w:rsidTr="00AA050E">
        <w:trPr>
          <w:trHeight w:val="144"/>
          <w:jc w:val="center"/>
        </w:trPr>
        <w:tc>
          <w:tcPr>
            <w:tcW w:w="1413" w:type="dxa"/>
            <w:noWrap/>
            <w:hideMark/>
          </w:tcPr>
          <w:p w14:paraId="17E8B8B1" w14:textId="77777777" w:rsidR="00454864" w:rsidRPr="000B5518" w:rsidRDefault="00454864" w:rsidP="000B5518">
            <w:pPr>
              <w:pStyle w:val="BodyText"/>
              <w:spacing w:after="0" w:line="240" w:lineRule="auto"/>
              <w:ind w:firstLine="289"/>
              <w:rPr>
                <w:sz w:val="16"/>
                <w:szCs w:val="16"/>
              </w:rPr>
            </w:pPr>
            <w:proofErr w:type="spellStart"/>
            <w:proofErr w:type="gramStart"/>
            <w:r w:rsidRPr="000B5518">
              <w:rPr>
                <w:sz w:val="16"/>
                <w:szCs w:val="16"/>
              </w:rPr>
              <w:t>ru</w:t>
            </w:r>
            <w:proofErr w:type="spellEnd"/>
            <w:proofErr w:type="gramEnd"/>
          </w:p>
        </w:tc>
        <w:tc>
          <w:tcPr>
            <w:tcW w:w="860" w:type="dxa"/>
            <w:noWrap/>
            <w:hideMark/>
          </w:tcPr>
          <w:p w14:paraId="560220C3" w14:textId="77777777" w:rsidR="00454864" w:rsidRPr="000B5518" w:rsidRDefault="00454864" w:rsidP="000B5518">
            <w:pPr>
              <w:pStyle w:val="BodyText"/>
              <w:spacing w:after="0" w:line="240" w:lineRule="auto"/>
              <w:ind w:firstLine="289"/>
              <w:rPr>
                <w:sz w:val="16"/>
                <w:szCs w:val="16"/>
              </w:rPr>
            </w:pPr>
            <w:r w:rsidRPr="000B5518">
              <w:rPr>
                <w:sz w:val="16"/>
                <w:szCs w:val="16"/>
              </w:rPr>
              <w:t>7.07</w:t>
            </w:r>
          </w:p>
        </w:tc>
      </w:tr>
      <w:tr w:rsidR="00454864" w:rsidRPr="00DF5C27" w14:paraId="1F3424F7" w14:textId="77777777" w:rsidTr="00AA050E">
        <w:trPr>
          <w:trHeight w:val="90"/>
          <w:jc w:val="center"/>
        </w:trPr>
        <w:tc>
          <w:tcPr>
            <w:tcW w:w="1413" w:type="dxa"/>
            <w:noWrap/>
            <w:hideMark/>
          </w:tcPr>
          <w:p w14:paraId="32102741" w14:textId="77777777" w:rsidR="00454864" w:rsidRPr="000B5518" w:rsidRDefault="00454864" w:rsidP="000B5518">
            <w:pPr>
              <w:pStyle w:val="BodyText"/>
              <w:spacing w:after="0" w:line="240" w:lineRule="auto"/>
              <w:ind w:firstLine="289"/>
              <w:rPr>
                <w:sz w:val="16"/>
                <w:szCs w:val="16"/>
              </w:rPr>
            </w:pPr>
            <w:proofErr w:type="gramStart"/>
            <w:r w:rsidRPr="000B5518">
              <w:rPr>
                <w:sz w:val="16"/>
                <w:szCs w:val="16"/>
              </w:rPr>
              <w:t>de</w:t>
            </w:r>
            <w:proofErr w:type="gramEnd"/>
          </w:p>
        </w:tc>
        <w:tc>
          <w:tcPr>
            <w:tcW w:w="860" w:type="dxa"/>
            <w:noWrap/>
            <w:hideMark/>
          </w:tcPr>
          <w:p w14:paraId="30BEB50B" w14:textId="77777777" w:rsidR="00454864" w:rsidRPr="000B5518" w:rsidRDefault="00454864" w:rsidP="000B5518">
            <w:pPr>
              <w:pStyle w:val="BodyText"/>
              <w:spacing w:after="0" w:line="240" w:lineRule="auto"/>
              <w:ind w:firstLine="289"/>
              <w:rPr>
                <w:sz w:val="16"/>
                <w:szCs w:val="16"/>
              </w:rPr>
            </w:pPr>
            <w:r w:rsidRPr="000B5518">
              <w:rPr>
                <w:sz w:val="16"/>
                <w:szCs w:val="16"/>
              </w:rPr>
              <w:t>3.53</w:t>
            </w:r>
          </w:p>
        </w:tc>
      </w:tr>
      <w:tr w:rsidR="00454864" w:rsidRPr="00DF5C27" w14:paraId="72572459" w14:textId="77777777" w:rsidTr="00AA050E">
        <w:trPr>
          <w:trHeight w:val="192"/>
          <w:jc w:val="center"/>
        </w:trPr>
        <w:tc>
          <w:tcPr>
            <w:tcW w:w="1413" w:type="dxa"/>
            <w:noWrap/>
            <w:hideMark/>
          </w:tcPr>
          <w:p w14:paraId="2E7AD386" w14:textId="77777777" w:rsidR="00454864" w:rsidRPr="000B5518" w:rsidRDefault="00454864" w:rsidP="000B5518">
            <w:pPr>
              <w:pStyle w:val="BodyText"/>
              <w:spacing w:after="0" w:line="240" w:lineRule="auto"/>
              <w:ind w:firstLine="289"/>
              <w:rPr>
                <w:sz w:val="16"/>
                <w:szCs w:val="16"/>
              </w:rPr>
            </w:pPr>
            <w:proofErr w:type="spellStart"/>
            <w:proofErr w:type="gramStart"/>
            <w:r w:rsidRPr="000B5518">
              <w:rPr>
                <w:sz w:val="16"/>
                <w:szCs w:val="16"/>
              </w:rPr>
              <w:t>nl</w:t>
            </w:r>
            <w:proofErr w:type="spellEnd"/>
            <w:proofErr w:type="gramEnd"/>
          </w:p>
        </w:tc>
        <w:tc>
          <w:tcPr>
            <w:tcW w:w="860" w:type="dxa"/>
            <w:noWrap/>
            <w:hideMark/>
          </w:tcPr>
          <w:p w14:paraId="39119392" w14:textId="77777777" w:rsidR="00454864" w:rsidRPr="000B5518" w:rsidRDefault="00454864" w:rsidP="000B5518">
            <w:pPr>
              <w:pStyle w:val="BodyText"/>
              <w:spacing w:after="0" w:line="240" w:lineRule="auto"/>
              <w:ind w:firstLine="289"/>
              <w:rPr>
                <w:sz w:val="16"/>
                <w:szCs w:val="16"/>
              </w:rPr>
            </w:pPr>
            <w:r w:rsidRPr="000B5518">
              <w:rPr>
                <w:sz w:val="16"/>
                <w:szCs w:val="16"/>
              </w:rPr>
              <w:t>3.31</w:t>
            </w:r>
          </w:p>
        </w:tc>
      </w:tr>
      <w:tr w:rsidR="00454864" w:rsidRPr="00DF5C27" w14:paraId="09A4E38F" w14:textId="77777777" w:rsidTr="00AA050E">
        <w:trPr>
          <w:trHeight w:val="124"/>
          <w:jc w:val="center"/>
        </w:trPr>
        <w:tc>
          <w:tcPr>
            <w:tcW w:w="1413" w:type="dxa"/>
            <w:noWrap/>
            <w:hideMark/>
          </w:tcPr>
          <w:p w14:paraId="141A6225" w14:textId="77777777" w:rsidR="00454864" w:rsidRPr="000B5518" w:rsidRDefault="00454864" w:rsidP="000B5518">
            <w:pPr>
              <w:pStyle w:val="BodyText"/>
              <w:spacing w:after="0" w:line="240" w:lineRule="auto"/>
              <w:ind w:firstLine="289"/>
              <w:rPr>
                <w:sz w:val="16"/>
                <w:szCs w:val="16"/>
              </w:rPr>
            </w:pPr>
            <w:proofErr w:type="gramStart"/>
            <w:r w:rsidRPr="000B5518">
              <w:rPr>
                <w:sz w:val="16"/>
                <w:szCs w:val="16"/>
              </w:rPr>
              <w:t>it</w:t>
            </w:r>
            <w:proofErr w:type="gramEnd"/>
          </w:p>
        </w:tc>
        <w:tc>
          <w:tcPr>
            <w:tcW w:w="860" w:type="dxa"/>
            <w:noWrap/>
            <w:hideMark/>
          </w:tcPr>
          <w:p w14:paraId="5333EA00" w14:textId="77777777" w:rsidR="00454864" w:rsidRPr="000B5518" w:rsidRDefault="00454864" w:rsidP="000B5518">
            <w:pPr>
              <w:pStyle w:val="BodyText"/>
              <w:keepNext/>
              <w:spacing w:after="0" w:line="240" w:lineRule="auto"/>
              <w:ind w:firstLine="289"/>
              <w:rPr>
                <w:sz w:val="16"/>
                <w:szCs w:val="16"/>
              </w:rPr>
            </w:pPr>
            <w:r w:rsidRPr="000B5518">
              <w:rPr>
                <w:sz w:val="16"/>
                <w:szCs w:val="16"/>
              </w:rPr>
              <w:t>2.25</w:t>
            </w:r>
          </w:p>
        </w:tc>
      </w:tr>
    </w:tbl>
    <w:p w14:paraId="15BAAB76" w14:textId="4A722283" w:rsidR="00CA55F8" w:rsidRDefault="000B5518" w:rsidP="004B1277">
      <w:pPr>
        <w:pStyle w:val="Caption"/>
      </w:pPr>
      <w:r>
        <w:t xml:space="preserve">Table </w:t>
      </w:r>
      <w:fldSimple w:instr=" SEQ Table \* ARABIC ">
        <w:r w:rsidR="004C3FC4">
          <w:rPr>
            <w:noProof/>
          </w:rPr>
          <w:t>2</w:t>
        </w:r>
      </w:fldSimple>
      <w:r>
        <w:t xml:space="preserve">: </w:t>
      </w:r>
      <w:r w:rsidRPr="00200E15">
        <w:t>Profile communities (top 90% of the total users)</w:t>
      </w:r>
    </w:p>
    <w:p w14:paraId="35507E6C" w14:textId="77777777" w:rsidR="009A631B" w:rsidRPr="0047741A" w:rsidRDefault="00FB50F3" w:rsidP="00FB50F3">
      <w:pPr>
        <w:pStyle w:val="Heading2"/>
        <w:rPr>
          <w:lang w:val="en-GB"/>
        </w:rPr>
      </w:pPr>
      <w:r w:rsidRPr="00FB50F3">
        <w:rPr>
          <w:lang w:val="en-GB"/>
        </w:rPr>
        <w:t>Profile-Posting</w:t>
      </w:r>
      <w:r>
        <w:rPr>
          <w:lang w:val="en-GB"/>
        </w:rPr>
        <w:t xml:space="preserve"> Analysis</w:t>
      </w:r>
    </w:p>
    <w:p w14:paraId="6C0EC3AF" w14:textId="1DA766B5" w:rsidR="00117BFC" w:rsidRDefault="005C592C" w:rsidP="007526BC">
      <w:pPr>
        <w:pStyle w:val="BodyText"/>
      </w:pPr>
      <w:r>
        <w:t>From the two tables above, w</w:t>
      </w:r>
      <w:r w:rsidR="00117BFC">
        <w:t xml:space="preserve">e can see some consistency in the posting and profile communities. </w:t>
      </w:r>
      <w:r w:rsidR="00686BB6">
        <w:t>Taking an exceptional case a</w:t>
      </w:r>
      <w:r w:rsidR="000A4B70">
        <w:t xml:space="preserve">s an example, </w:t>
      </w:r>
      <w:r w:rsidR="00117BFC">
        <w:t xml:space="preserve">we can see that although French profile community had more presence, Russian posting community </w:t>
      </w:r>
      <w:r>
        <w:t>is</w:t>
      </w:r>
      <w:r w:rsidR="00117BFC">
        <w:t xml:space="preserve"> higher by 2.79%. Simple explanation would be that Russian profile community was relatively more active than French. </w:t>
      </w:r>
      <w:r w:rsidR="007A55D3">
        <w:t>Another reason could be the participation of</w:t>
      </w:r>
      <w:r w:rsidR="00117BFC">
        <w:t xml:space="preserve"> non-Russian profiles </w:t>
      </w:r>
      <w:r w:rsidR="007A55D3">
        <w:t xml:space="preserve">using Russian language </w:t>
      </w:r>
      <w:r w:rsidR="007A55D3">
        <w:lastRenderedPageBreak/>
        <w:t>for posting. To investigate th</w:t>
      </w:r>
      <w:r w:rsidR="00A52E53">
        <w:t>is, we took a closer look at contribution of profile communities to</w:t>
      </w:r>
      <w:r w:rsidR="007A55D3">
        <w:t xml:space="preserve"> </w:t>
      </w:r>
      <w:r w:rsidR="00A52E53">
        <w:t xml:space="preserve">the </w:t>
      </w:r>
      <w:r w:rsidR="007A55D3">
        <w:t>Rus</w:t>
      </w:r>
      <w:r w:rsidR="00A52E53">
        <w:t>sian posting community</w:t>
      </w:r>
      <w:r w:rsidR="007A55D3">
        <w:t xml:space="preserve">. </w:t>
      </w:r>
      <w:r w:rsidR="004506AF">
        <w:t>The r</w:t>
      </w:r>
      <w:r w:rsidR="007A55D3">
        <w:t>esult in Table 3 shows profile communities</w:t>
      </w:r>
      <w:r w:rsidR="00A52E53">
        <w:t xml:space="preserve"> that resulted in more than 95% of activity in this posting community.</w:t>
      </w:r>
      <w:r w:rsidR="007A55D3">
        <w:t xml:space="preserve"> </w:t>
      </w:r>
    </w:p>
    <w:tbl>
      <w:tblPr>
        <w:tblStyle w:val="TableGrid"/>
        <w:tblpPr w:leftFromText="180" w:rightFromText="180" w:vertAnchor="text" w:horzAnchor="page" w:tblpX="7584" w:tblpY="197"/>
        <w:tblW w:w="2093" w:type="dxa"/>
        <w:tblLayout w:type="fixed"/>
        <w:tblLook w:val="04A0" w:firstRow="1" w:lastRow="0" w:firstColumn="1" w:lastColumn="0" w:noHBand="0" w:noVBand="1"/>
      </w:tblPr>
      <w:tblGrid>
        <w:gridCol w:w="1101"/>
        <w:gridCol w:w="992"/>
      </w:tblGrid>
      <w:tr w:rsidR="00B37CDB" w:rsidRPr="00DF5C27" w14:paraId="1F9D3FE5" w14:textId="77777777" w:rsidTr="00842D80">
        <w:trPr>
          <w:trHeight w:val="77"/>
        </w:trPr>
        <w:tc>
          <w:tcPr>
            <w:tcW w:w="1101" w:type="dxa"/>
            <w:noWrap/>
          </w:tcPr>
          <w:p w14:paraId="0D75F13C" w14:textId="77777777" w:rsidR="00B37CDB" w:rsidRPr="000B5518" w:rsidRDefault="00B37CDB" w:rsidP="00842D80">
            <w:pPr>
              <w:pStyle w:val="BodyText"/>
              <w:spacing w:after="0" w:line="240" w:lineRule="auto"/>
              <w:ind w:firstLine="0"/>
              <w:rPr>
                <w:sz w:val="16"/>
                <w:szCs w:val="16"/>
              </w:rPr>
            </w:pPr>
            <w:r w:rsidRPr="000B5518">
              <w:rPr>
                <w:sz w:val="16"/>
                <w:szCs w:val="16"/>
              </w:rPr>
              <w:t>Community</w:t>
            </w:r>
          </w:p>
        </w:tc>
        <w:tc>
          <w:tcPr>
            <w:tcW w:w="992" w:type="dxa"/>
            <w:noWrap/>
          </w:tcPr>
          <w:p w14:paraId="00B44A91" w14:textId="77777777" w:rsidR="00B37CDB" w:rsidRPr="000B5518" w:rsidRDefault="00B37CDB" w:rsidP="00B37CDB">
            <w:pPr>
              <w:pStyle w:val="BodyText"/>
              <w:spacing w:after="0" w:line="240" w:lineRule="auto"/>
              <w:ind w:firstLine="289"/>
              <w:rPr>
                <w:sz w:val="16"/>
                <w:szCs w:val="16"/>
              </w:rPr>
            </w:pPr>
            <w:r w:rsidRPr="000B5518">
              <w:rPr>
                <w:sz w:val="16"/>
                <w:szCs w:val="16"/>
              </w:rPr>
              <w:t>%</w:t>
            </w:r>
          </w:p>
        </w:tc>
      </w:tr>
      <w:tr w:rsidR="00B37CDB" w:rsidRPr="00DF5C27" w14:paraId="750C848B" w14:textId="77777777" w:rsidTr="00842D80">
        <w:trPr>
          <w:trHeight w:val="165"/>
        </w:trPr>
        <w:tc>
          <w:tcPr>
            <w:tcW w:w="1101" w:type="dxa"/>
            <w:noWrap/>
            <w:hideMark/>
          </w:tcPr>
          <w:p w14:paraId="6EA8F5E7" w14:textId="77777777" w:rsidR="00B37CDB" w:rsidRPr="007A55D3" w:rsidRDefault="00B37CDB" w:rsidP="00842D80">
            <w:pPr>
              <w:pStyle w:val="BodyText"/>
              <w:spacing w:after="0" w:line="240" w:lineRule="auto"/>
              <w:ind w:firstLine="0"/>
              <w:rPr>
                <w:sz w:val="16"/>
                <w:szCs w:val="16"/>
              </w:rPr>
            </w:pPr>
            <w:proofErr w:type="spellStart"/>
            <w:proofErr w:type="gramStart"/>
            <w:r w:rsidRPr="007A55D3">
              <w:rPr>
                <w:sz w:val="16"/>
                <w:szCs w:val="16"/>
              </w:rPr>
              <w:t>ru</w:t>
            </w:r>
            <w:proofErr w:type="spellEnd"/>
            <w:proofErr w:type="gramEnd"/>
          </w:p>
        </w:tc>
        <w:tc>
          <w:tcPr>
            <w:tcW w:w="992" w:type="dxa"/>
            <w:noWrap/>
            <w:hideMark/>
          </w:tcPr>
          <w:p w14:paraId="62EE8FB9" w14:textId="77777777" w:rsidR="00B37CDB" w:rsidRPr="007A55D3" w:rsidRDefault="00B37CDB" w:rsidP="00B37CDB">
            <w:pPr>
              <w:pStyle w:val="BodyText"/>
              <w:spacing w:after="0" w:line="240" w:lineRule="auto"/>
              <w:ind w:firstLine="289"/>
              <w:rPr>
                <w:sz w:val="16"/>
                <w:szCs w:val="16"/>
              </w:rPr>
            </w:pPr>
            <w:r w:rsidRPr="007A55D3">
              <w:rPr>
                <w:sz w:val="16"/>
                <w:szCs w:val="16"/>
              </w:rPr>
              <w:t>91.25</w:t>
            </w:r>
          </w:p>
        </w:tc>
      </w:tr>
      <w:tr w:rsidR="00B37CDB" w:rsidRPr="00DF5C27" w14:paraId="3218B599" w14:textId="77777777" w:rsidTr="00842D80">
        <w:trPr>
          <w:trHeight w:val="111"/>
        </w:trPr>
        <w:tc>
          <w:tcPr>
            <w:tcW w:w="1101" w:type="dxa"/>
            <w:noWrap/>
            <w:hideMark/>
          </w:tcPr>
          <w:p w14:paraId="7C45CE9D" w14:textId="77777777" w:rsidR="00B37CDB" w:rsidRPr="007A55D3" w:rsidRDefault="00B37CDB" w:rsidP="00842D80">
            <w:pPr>
              <w:pStyle w:val="BodyText"/>
              <w:spacing w:after="0" w:line="240" w:lineRule="auto"/>
              <w:ind w:firstLine="0"/>
              <w:rPr>
                <w:sz w:val="16"/>
                <w:szCs w:val="16"/>
              </w:rPr>
            </w:pPr>
            <w:proofErr w:type="gramStart"/>
            <w:r w:rsidRPr="007A55D3">
              <w:rPr>
                <w:sz w:val="16"/>
                <w:szCs w:val="16"/>
              </w:rPr>
              <w:t>en</w:t>
            </w:r>
            <w:proofErr w:type="gramEnd"/>
          </w:p>
        </w:tc>
        <w:tc>
          <w:tcPr>
            <w:tcW w:w="992" w:type="dxa"/>
            <w:noWrap/>
            <w:hideMark/>
          </w:tcPr>
          <w:p w14:paraId="1D1462A2" w14:textId="77777777" w:rsidR="00B37CDB" w:rsidRPr="007A55D3" w:rsidRDefault="00B37CDB" w:rsidP="00B37CDB">
            <w:pPr>
              <w:pStyle w:val="BodyText"/>
              <w:spacing w:after="0" w:line="240" w:lineRule="auto"/>
              <w:ind w:firstLine="289"/>
              <w:rPr>
                <w:sz w:val="16"/>
                <w:szCs w:val="16"/>
              </w:rPr>
            </w:pPr>
            <w:r w:rsidRPr="007A55D3">
              <w:rPr>
                <w:sz w:val="16"/>
                <w:szCs w:val="16"/>
              </w:rPr>
              <w:t>7.26</w:t>
            </w:r>
          </w:p>
        </w:tc>
      </w:tr>
    </w:tbl>
    <w:p w14:paraId="7D8B9AFA" w14:textId="77777777" w:rsidR="00B37CDB" w:rsidRDefault="00B37CDB" w:rsidP="007526BC">
      <w:pPr>
        <w:pStyle w:val="BodyText"/>
      </w:pPr>
    </w:p>
    <w:p w14:paraId="6FC56B1E" w14:textId="77777777" w:rsidR="00B37CDB" w:rsidRDefault="00B37CDB" w:rsidP="007526BC">
      <w:pPr>
        <w:pStyle w:val="BodyText"/>
      </w:pPr>
    </w:p>
    <w:p w14:paraId="03AB594F" w14:textId="77777777" w:rsidR="00B37CDB" w:rsidRDefault="00B37CDB" w:rsidP="007526BC">
      <w:pPr>
        <w:pStyle w:val="BodyText"/>
      </w:pPr>
    </w:p>
    <w:p w14:paraId="5F8DE578" w14:textId="7EDA2E13" w:rsidR="00B37CDB" w:rsidRDefault="00B37CDB" w:rsidP="00B37CDB">
      <w:pPr>
        <w:pStyle w:val="Caption"/>
        <w:framePr w:w="4858" w:hSpace="180" w:wrap="around" w:vAnchor="text" w:hAnchor="page" w:x="6292" w:y="134"/>
      </w:pPr>
      <w:r>
        <w:t xml:space="preserve">Table </w:t>
      </w:r>
      <w:fldSimple w:instr=" SEQ Table \* ARABIC ">
        <w:r w:rsidR="004C3FC4">
          <w:rPr>
            <w:noProof/>
          </w:rPr>
          <w:t>3</w:t>
        </w:r>
      </w:fldSimple>
      <w:r>
        <w:t xml:space="preserve">: </w:t>
      </w:r>
      <w:r w:rsidR="00A52E53">
        <w:t>A</w:t>
      </w:r>
      <w:r w:rsidR="00A2225A">
        <w:t>ctive</w:t>
      </w:r>
      <w:r>
        <w:t xml:space="preserve"> profile communit</w:t>
      </w:r>
      <w:r w:rsidR="00C24E97">
        <w:t>i</w:t>
      </w:r>
      <w:r>
        <w:t>es within Russian posting community</w:t>
      </w:r>
    </w:p>
    <w:p w14:paraId="2CAABF06" w14:textId="03C56B15" w:rsidR="00C9498D" w:rsidRDefault="00FB50F3" w:rsidP="007526BC">
      <w:pPr>
        <w:pStyle w:val="BodyText"/>
      </w:pPr>
      <w:r>
        <w:t xml:space="preserve">As we saw in this example, </w:t>
      </w:r>
      <w:r w:rsidR="0071362F">
        <w:t xml:space="preserve">posts </w:t>
      </w:r>
      <w:r w:rsidR="00345269">
        <w:t xml:space="preserve">in </w:t>
      </w:r>
      <w:proofErr w:type="spellStart"/>
      <w:r w:rsidR="00345269">
        <w:t>Russain</w:t>
      </w:r>
      <w:proofErr w:type="spellEnd"/>
      <w:r w:rsidR="00345269">
        <w:t xml:space="preserve"> were not merely from Russian profile community. This simple illustrative example show one way of exploring relationships</w:t>
      </w:r>
      <w:r>
        <w:t xml:space="preserve"> between profile and posting communities, </w:t>
      </w:r>
      <w:r w:rsidR="00345269">
        <w:t xml:space="preserve">especially if we are interested in particular communities. </w:t>
      </w:r>
    </w:p>
    <w:p w14:paraId="26392F00" w14:textId="5BC198EA" w:rsidR="00A22390" w:rsidRDefault="00A52E53" w:rsidP="00A52E53">
      <w:pPr>
        <w:widowControl w:val="0"/>
        <w:autoSpaceDE w:val="0"/>
        <w:autoSpaceDN w:val="0"/>
        <w:adjustRightInd w:val="0"/>
        <w:ind w:firstLine="288"/>
        <w:jc w:val="both"/>
        <w:rPr>
          <w:color w:val="000000"/>
          <w:lang w:eastAsia="en-GB"/>
        </w:rPr>
      </w:pPr>
      <w:r>
        <w:rPr>
          <w:color w:val="000000"/>
          <w:lang w:eastAsia="en-GB"/>
        </w:rPr>
        <w:t xml:space="preserve">Another perspective is to explore the posting behavior of one particular community. </w:t>
      </w:r>
      <w:r w:rsidR="00551346">
        <w:rPr>
          <w:color w:val="000000"/>
          <w:lang w:eastAsia="en-GB"/>
        </w:rPr>
        <w:t xml:space="preserve">When </w:t>
      </w:r>
      <w:r w:rsidR="004506AF">
        <w:rPr>
          <w:color w:val="000000"/>
          <w:lang w:eastAsia="en-GB"/>
        </w:rPr>
        <w:t>considering</w:t>
      </w:r>
      <w:r w:rsidR="00551346">
        <w:rPr>
          <w:color w:val="000000"/>
          <w:lang w:eastAsia="en-GB"/>
        </w:rPr>
        <w:t xml:space="preserve"> </w:t>
      </w:r>
      <w:r w:rsidR="004506AF">
        <w:rPr>
          <w:color w:val="000000"/>
          <w:lang w:eastAsia="en-GB"/>
        </w:rPr>
        <w:t>some profile communities, there is</w:t>
      </w:r>
      <w:r w:rsidR="00551346">
        <w:rPr>
          <w:color w:val="000000"/>
          <w:lang w:eastAsia="en-GB"/>
        </w:rPr>
        <w:t xml:space="preserve"> </w:t>
      </w:r>
      <w:r w:rsidR="004506AF">
        <w:rPr>
          <w:color w:val="000000"/>
          <w:lang w:eastAsia="en-GB"/>
        </w:rPr>
        <w:t xml:space="preserve">a </w:t>
      </w:r>
      <w:r w:rsidR="00551346">
        <w:rPr>
          <w:color w:val="000000"/>
          <w:lang w:eastAsia="en-GB"/>
        </w:rPr>
        <w:t>tendency to assume</w:t>
      </w:r>
      <w:r>
        <w:rPr>
          <w:color w:val="000000"/>
          <w:lang w:eastAsia="en-GB"/>
        </w:rPr>
        <w:t xml:space="preserve"> that c</w:t>
      </w:r>
      <w:r w:rsidR="00072C13">
        <w:rPr>
          <w:color w:val="000000"/>
          <w:lang w:eastAsia="en-GB"/>
        </w:rPr>
        <w:t xml:space="preserve">ommunities </w:t>
      </w:r>
      <w:r w:rsidR="00BA3E2D">
        <w:rPr>
          <w:color w:val="000000"/>
          <w:lang w:eastAsia="en-GB"/>
        </w:rPr>
        <w:t xml:space="preserve">post in languages that are </w:t>
      </w:r>
      <w:r>
        <w:rPr>
          <w:color w:val="000000"/>
          <w:lang w:eastAsia="en-GB"/>
        </w:rPr>
        <w:t>same as their profile language.</w:t>
      </w:r>
      <w:r w:rsidR="00BA3E2D">
        <w:rPr>
          <w:color w:val="000000"/>
          <w:lang w:eastAsia="en-GB"/>
        </w:rPr>
        <w:t xml:space="preserve"> </w:t>
      </w:r>
      <w:r w:rsidR="00A22390">
        <w:rPr>
          <w:color w:val="000000"/>
          <w:lang w:eastAsia="en-GB"/>
        </w:rPr>
        <w:t>To examine this assumption, we investigated participation of ‘en’ profiles</w:t>
      </w:r>
      <w:r w:rsidR="00551346">
        <w:rPr>
          <w:color w:val="000000"/>
          <w:lang w:eastAsia="en-GB"/>
        </w:rPr>
        <w:t>, as it forms nearly 50% of users</w:t>
      </w:r>
      <w:r w:rsidR="00A22390">
        <w:rPr>
          <w:color w:val="000000"/>
          <w:lang w:eastAsia="en-GB"/>
        </w:rPr>
        <w:t xml:space="preserve">. In total, </w:t>
      </w:r>
      <w:r w:rsidR="00D0123F">
        <w:rPr>
          <w:color w:val="000000"/>
          <w:lang w:eastAsia="en-GB"/>
        </w:rPr>
        <w:t xml:space="preserve">there were 1,841,205 </w:t>
      </w:r>
      <w:r w:rsidR="00A22390">
        <w:rPr>
          <w:color w:val="000000"/>
          <w:lang w:eastAsia="en-GB"/>
        </w:rPr>
        <w:t>posts from this community</w:t>
      </w:r>
      <w:r w:rsidR="00D0123F">
        <w:rPr>
          <w:color w:val="000000"/>
          <w:lang w:eastAsia="en-GB"/>
        </w:rPr>
        <w:t>, 81% of which were post</w:t>
      </w:r>
      <w:r w:rsidR="00551346">
        <w:rPr>
          <w:color w:val="000000"/>
          <w:lang w:eastAsia="en-GB"/>
        </w:rPr>
        <w:t>ed in ‘en’, 15.4% in other languages, and 3.62% were not identified.</w:t>
      </w:r>
      <w:r w:rsidR="00D0123F">
        <w:rPr>
          <w:color w:val="000000"/>
          <w:lang w:eastAsia="en-GB"/>
        </w:rPr>
        <w:t xml:space="preserve"> Table 4 below lists the top</w:t>
      </w:r>
      <w:r w:rsidR="00BB10E0">
        <w:rPr>
          <w:color w:val="000000"/>
          <w:lang w:eastAsia="en-GB"/>
        </w:rPr>
        <w:t xml:space="preserve"> 95% posting languages used by this profile community</w:t>
      </w:r>
      <w:r w:rsidR="00A22390">
        <w:rPr>
          <w:color w:val="000000"/>
          <w:lang w:eastAsia="en-GB"/>
        </w:rPr>
        <w:t xml:space="preserve">. </w:t>
      </w:r>
    </w:p>
    <w:p w14:paraId="2517E59A" w14:textId="77777777" w:rsidR="00A22390" w:rsidRDefault="00A22390" w:rsidP="00B930A0">
      <w:pPr>
        <w:widowControl w:val="0"/>
        <w:autoSpaceDE w:val="0"/>
        <w:autoSpaceDN w:val="0"/>
        <w:adjustRightInd w:val="0"/>
        <w:jc w:val="both"/>
        <w:rPr>
          <w:color w:val="000000"/>
          <w:lang w:eastAsia="en-GB"/>
        </w:rPr>
      </w:pPr>
    </w:p>
    <w:tbl>
      <w:tblPr>
        <w:tblStyle w:val="TableGrid"/>
        <w:tblW w:w="0" w:type="auto"/>
        <w:tblInd w:w="1101" w:type="dxa"/>
        <w:tblLook w:val="04A0" w:firstRow="1" w:lastRow="0" w:firstColumn="1" w:lastColumn="0" w:noHBand="0" w:noVBand="1"/>
      </w:tblPr>
      <w:tblGrid>
        <w:gridCol w:w="1275"/>
        <w:gridCol w:w="851"/>
      </w:tblGrid>
      <w:tr w:rsidR="00E64419" w14:paraId="2D2367AD" w14:textId="77777777" w:rsidTr="00E64419">
        <w:tc>
          <w:tcPr>
            <w:tcW w:w="1275" w:type="dxa"/>
            <w:vAlign w:val="bottom"/>
          </w:tcPr>
          <w:p w14:paraId="7B9D6CDD" w14:textId="424D192F" w:rsidR="00E64419" w:rsidRPr="00E64419" w:rsidRDefault="00E64419" w:rsidP="00E64419">
            <w:pPr>
              <w:pStyle w:val="BodyText"/>
              <w:spacing w:after="0" w:line="240" w:lineRule="auto"/>
              <w:ind w:firstLine="33"/>
              <w:rPr>
                <w:sz w:val="16"/>
                <w:szCs w:val="16"/>
              </w:rPr>
            </w:pPr>
            <w:r w:rsidRPr="00E64419">
              <w:rPr>
                <w:sz w:val="16"/>
                <w:szCs w:val="16"/>
              </w:rPr>
              <w:t>Posting Lang</w:t>
            </w:r>
          </w:p>
        </w:tc>
        <w:tc>
          <w:tcPr>
            <w:tcW w:w="851" w:type="dxa"/>
            <w:vAlign w:val="bottom"/>
          </w:tcPr>
          <w:p w14:paraId="6166504C" w14:textId="22CC08E7" w:rsidR="00E64419" w:rsidRPr="00E64419" w:rsidRDefault="00E64419" w:rsidP="00E64419">
            <w:pPr>
              <w:pStyle w:val="BodyText"/>
              <w:spacing w:after="0" w:line="240" w:lineRule="auto"/>
              <w:ind w:firstLine="289"/>
              <w:rPr>
                <w:sz w:val="16"/>
                <w:szCs w:val="16"/>
              </w:rPr>
            </w:pPr>
            <w:r w:rsidRPr="00E64419">
              <w:rPr>
                <w:sz w:val="16"/>
                <w:szCs w:val="16"/>
              </w:rPr>
              <w:t>%</w:t>
            </w:r>
          </w:p>
        </w:tc>
      </w:tr>
      <w:tr w:rsidR="00E64419" w14:paraId="54EA97F1" w14:textId="77777777" w:rsidTr="00E64419">
        <w:tc>
          <w:tcPr>
            <w:tcW w:w="1275" w:type="dxa"/>
            <w:vAlign w:val="bottom"/>
          </w:tcPr>
          <w:p w14:paraId="5AF48C46" w14:textId="1D4090A2" w:rsidR="00E64419" w:rsidRPr="00E64419" w:rsidRDefault="00E64419" w:rsidP="00E64419">
            <w:pPr>
              <w:pStyle w:val="BodyText"/>
              <w:spacing w:after="0" w:line="240" w:lineRule="auto"/>
              <w:ind w:firstLine="33"/>
              <w:rPr>
                <w:sz w:val="16"/>
                <w:szCs w:val="16"/>
              </w:rPr>
            </w:pPr>
            <w:proofErr w:type="gramStart"/>
            <w:r w:rsidRPr="00E64419">
              <w:rPr>
                <w:sz w:val="16"/>
                <w:szCs w:val="16"/>
              </w:rPr>
              <w:t>en</w:t>
            </w:r>
            <w:proofErr w:type="gramEnd"/>
          </w:p>
        </w:tc>
        <w:tc>
          <w:tcPr>
            <w:tcW w:w="851" w:type="dxa"/>
            <w:vAlign w:val="bottom"/>
          </w:tcPr>
          <w:p w14:paraId="72B6410E" w14:textId="64F03BCB" w:rsidR="00E64419" w:rsidRPr="00E64419" w:rsidRDefault="00E64419" w:rsidP="00E64419">
            <w:pPr>
              <w:pStyle w:val="BodyText"/>
              <w:spacing w:after="0" w:line="240" w:lineRule="auto"/>
              <w:ind w:firstLine="33"/>
              <w:rPr>
                <w:sz w:val="16"/>
                <w:szCs w:val="16"/>
              </w:rPr>
            </w:pPr>
            <w:r w:rsidRPr="00E64419">
              <w:rPr>
                <w:sz w:val="16"/>
                <w:szCs w:val="16"/>
              </w:rPr>
              <w:t>80.99</w:t>
            </w:r>
          </w:p>
        </w:tc>
      </w:tr>
      <w:tr w:rsidR="00E64419" w14:paraId="38FC8CB5" w14:textId="77777777" w:rsidTr="00E64419">
        <w:tc>
          <w:tcPr>
            <w:tcW w:w="1275" w:type="dxa"/>
            <w:vAlign w:val="bottom"/>
          </w:tcPr>
          <w:p w14:paraId="46D3DB15" w14:textId="616E8664" w:rsidR="00E64419" w:rsidRPr="00E64419" w:rsidRDefault="00E64419" w:rsidP="00E64419">
            <w:pPr>
              <w:pStyle w:val="BodyText"/>
              <w:spacing w:after="0" w:line="240" w:lineRule="auto"/>
              <w:ind w:firstLine="33"/>
              <w:rPr>
                <w:sz w:val="16"/>
                <w:szCs w:val="16"/>
              </w:rPr>
            </w:pPr>
            <w:proofErr w:type="gramStart"/>
            <w:r w:rsidRPr="00E64419">
              <w:rPr>
                <w:sz w:val="16"/>
                <w:szCs w:val="16"/>
              </w:rPr>
              <w:t>und</w:t>
            </w:r>
            <w:proofErr w:type="gramEnd"/>
          </w:p>
        </w:tc>
        <w:tc>
          <w:tcPr>
            <w:tcW w:w="851" w:type="dxa"/>
            <w:vAlign w:val="bottom"/>
          </w:tcPr>
          <w:p w14:paraId="488888FF" w14:textId="6F32CA16" w:rsidR="00E64419" w:rsidRPr="00E64419" w:rsidRDefault="00E64419" w:rsidP="00E64419">
            <w:pPr>
              <w:pStyle w:val="BodyText"/>
              <w:spacing w:after="0" w:line="240" w:lineRule="auto"/>
              <w:ind w:firstLine="33"/>
              <w:rPr>
                <w:sz w:val="16"/>
                <w:szCs w:val="16"/>
              </w:rPr>
            </w:pPr>
            <w:r w:rsidRPr="00E64419">
              <w:rPr>
                <w:sz w:val="16"/>
                <w:szCs w:val="16"/>
              </w:rPr>
              <w:t>3.62</w:t>
            </w:r>
          </w:p>
        </w:tc>
      </w:tr>
      <w:tr w:rsidR="00E64419" w14:paraId="30457CBB" w14:textId="77777777" w:rsidTr="00E64419">
        <w:tc>
          <w:tcPr>
            <w:tcW w:w="1275" w:type="dxa"/>
            <w:vAlign w:val="bottom"/>
          </w:tcPr>
          <w:p w14:paraId="4BAECF13" w14:textId="4AFAED61" w:rsidR="00E64419" w:rsidRPr="00E64419" w:rsidRDefault="00E64419" w:rsidP="00E64419">
            <w:pPr>
              <w:pStyle w:val="BodyText"/>
              <w:spacing w:after="0" w:line="240" w:lineRule="auto"/>
              <w:ind w:firstLine="33"/>
              <w:rPr>
                <w:sz w:val="16"/>
                <w:szCs w:val="16"/>
              </w:rPr>
            </w:pPr>
            <w:proofErr w:type="spellStart"/>
            <w:proofErr w:type="gramStart"/>
            <w:r w:rsidRPr="00E64419">
              <w:rPr>
                <w:sz w:val="16"/>
                <w:szCs w:val="16"/>
              </w:rPr>
              <w:t>es</w:t>
            </w:r>
            <w:proofErr w:type="spellEnd"/>
            <w:proofErr w:type="gramEnd"/>
          </w:p>
        </w:tc>
        <w:tc>
          <w:tcPr>
            <w:tcW w:w="851" w:type="dxa"/>
            <w:vAlign w:val="bottom"/>
          </w:tcPr>
          <w:p w14:paraId="0C4AE525" w14:textId="0A7FAB0D" w:rsidR="00E64419" w:rsidRPr="00E64419" w:rsidRDefault="00E64419" w:rsidP="00E64419">
            <w:pPr>
              <w:pStyle w:val="BodyText"/>
              <w:spacing w:after="0" w:line="240" w:lineRule="auto"/>
              <w:ind w:firstLine="33"/>
              <w:rPr>
                <w:sz w:val="16"/>
                <w:szCs w:val="16"/>
              </w:rPr>
            </w:pPr>
            <w:r w:rsidRPr="00E64419">
              <w:rPr>
                <w:sz w:val="16"/>
                <w:szCs w:val="16"/>
              </w:rPr>
              <w:t>2.69</w:t>
            </w:r>
          </w:p>
        </w:tc>
      </w:tr>
      <w:tr w:rsidR="00E64419" w14:paraId="7DA295DC" w14:textId="77777777" w:rsidTr="00E64419">
        <w:tc>
          <w:tcPr>
            <w:tcW w:w="1275" w:type="dxa"/>
            <w:vAlign w:val="bottom"/>
          </w:tcPr>
          <w:p w14:paraId="74CEE5ED" w14:textId="7133F3DC" w:rsidR="00E64419" w:rsidRPr="00E64419" w:rsidRDefault="00E64419" w:rsidP="00E64419">
            <w:pPr>
              <w:pStyle w:val="BodyText"/>
              <w:spacing w:after="0" w:line="240" w:lineRule="auto"/>
              <w:ind w:firstLine="33"/>
              <w:rPr>
                <w:sz w:val="16"/>
                <w:szCs w:val="16"/>
              </w:rPr>
            </w:pPr>
            <w:proofErr w:type="spellStart"/>
            <w:proofErr w:type="gramStart"/>
            <w:r w:rsidRPr="00E64419">
              <w:rPr>
                <w:sz w:val="16"/>
                <w:szCs w:val="16"/>
              </w:rPr>
              <w:t>nl</w:t>
            </w:r>
            <w:proofErr w:type="spellEnd"/>
            <w:proofErr w:type="gramEnd"/>
          </w:p>
        </w:tc>
        <w:tc>
          <w:tcPr>
            <w:tcW w:w="851" w:type="dxa"/>
            <w:vAlign w:val="bottom"/>
          </w:tcPr>
          <w:p w14:paraId="4057A6B0" w14:textId="5ED1CB57" w:rsidR="00E64419" w:rsidRPr="00E64419" w:rsidRDefault="00E64419" w:rsidP="00E64419">
            <w:pPr>
              <w:pStyle w:val="BodyText"/>
              <w:spacing w:after="0" w:line="240" w:lineRule="auto"/>
              <w:ind w:firstLine="33"/>
              <w:rPr>
                <w:sz w:val="16"/>
                <w:szCs w:val="16"/>
              </w:rPr>
            </w:pPr>
            <w:r w:rsidRPr="00E64419">
              <w:rPr>
                <w:sz w:val="16"/>
                <w:szCs w:val="16"/>
              </w:rPr>
              <w:t>2.39</w:t>
            </w:r>
          </w:p>
        </w:tc>
      </w:tr>
      <w:tr w:rsidR="00E64419" w14:paraId="6D830059" w14:textId="77777777" w:rsidTr="00E64419">
        <w:tc>
          <w:tcPr>
            <w:tcW w:w="1275" w:type="dxa"/>
            <w:vAlign w:val="bottom"/>
          </w:tcPr>
          <w:p w14:paraId="615C16A6" w14:textId="656725AD" w:rsidR="00E64419" w:rsidRPr="00E64419" w:rsidRDefault="00E64419" w:rsidP="00E64419">
            <w:pPr>
              <w:pStyle w:val="BodyText"/>
              <w:spacing w:after="0" w:line="240" w:lineRule="auto"/>
              <w:ind w:firstLine="33"/>
              <w:rPr>
                <w:sz w:val="16"/>
                <w:szCs w:val="16"/>
              </w:rPr>
            </w:pPr>
            <w:proofErr w:type="spellStart"/>
            <w:proofErr w:type="gramStart"/>
            <w:r w:rsidRPr="00E64419">
              <w:rPr>
                <w:sz w:val="16"/>
                <w:szCs w:val="16"/>
              </w:rPr>
              <w:t>fr</w:t>
            </w:r>
            <w:proofErr w:type="spellEnd"/>
            <w:proofErr w:type="gramEnd"/>
          </w:p>
        </w:tc>
        <w:tc>
          <w:tcPr>
            <w:tcW w:w="851" w:type="dxa"/>
            <w:vAlign w:val="bottom"/>
          </w:tcPr>
          <w:p w14:paraId="24DDD6B7" w14:textId="3172BC98" w:rsidR="00E64419" w:rsidRPr="00E64419" w:rsidRDefault="00E64419" w:rsidP="00E64419">
            <w:pPr>
              <w:pStyle w:val="BodyText"/>
              <w:spacing w:after="0" w:line="240" w:lineRule="auto"/>
              <w:ind w:firstLine="33"/>
              <w:rPr>
                <w:sz w:val="16"/>
                <w:szCs w:val="16"/>
              </w:rPr>
            </w:pPr>
            <w:r w:rsidRPr="00E64419">
              <w:rPr>
                <w:sz w:val="16"/>
                <w:szCs w:val="16"/>
              </w:rPr>
              <w:t>1.39</w:t>
            </w:r>
          </w:p>
        </w:tc>
      </w:tr>
      <w:tr w:rsidR="00E64419" w14:paraId="0DE8A654" w14:textId="77777777" w:rsidTr="00E64419">
        <w:tc>
          <w:tcPr>
            <w:tcW w:w="1275" w:type="dxa"/>
            <w:vAlign w:val="bottom"/>
          </w:tcPr>
          <w:p w14:paraId="55B13650" w14:textId="378C63E2" w:rsidR="00E64419" w:rsidRPr="00E64419" w:rsidRDefault="00E64419" w:rsidP="00E64419">
            <w:pPr>
              <w:pStyle w:val="BodyText"/>
              <w:spacing w:after="0" w:line="240" w:lineRule="auto"/>
              <w:ind w:firstLine="33"/>
              <w:rPr>
                <w:sz w:val="16"/>
                <w:szCs w:val="16"/>
              </w:rPr>
            </w:pPr>
            <w:proofErr w:type="spellStart"/>
            <w:proofErr w:type="gramStart"/>
            <w:r w:rsidRPr="00E64419">
              <w:rPr>
                <w:sz w:val="16"/>
                <w:szCs w:val="16"/>
              </w:rPr>
              <w:t>ru</w:t>
            </w:r>
            <w:proofErr w:type="spellEnd"/>
            <w:proofErr w:type="gramEnd"/>
          </w:p>
        </w:tc>
        <w:tc>
          <w:tcPr>
            <w:tcW w:w="851" w:type="dxa"/>
            <w:vAlign w:val="bottom"/>
          </w:tcPr>
          <w:p w14:paraId="0A7D8F21" w14:textId="19B9F3F4" w:rsidR="00E64419" w:rsidRPr="00E64419" w:rsidRDefault="00E64419" w:rsidP="00E64419">
            <w:pPr>
              <w:pStyle w:val="BodyText"/>
              <w:spacing w:after="0" w:line="240" w:lineRule="auto"/>
              <w:ind w:firstLine="33"/>
              <w:rPr>
                <w:sz w:val="16"/>
                <w:szCs w:val="16"/>
              </w:rPr>
            </w:pPr>
            <w:r w:rsidRPr="00E64419">
              <w:rPr>
                <w:sz w:val="16"/>
                <w:szCs w:val="16"/>
              </w:rPr>
              <w:t>1.36</w:t>
            </w:r>
          </w:p>
        </w:tc>
      </w:tr>
      <w:tr w:rsidR="00E64419" w14:paraId="7310236F" w14:textId="77777777" w:rsidTr="00E64419">
        <w:tc>
          <w:tcPr>
            <w:tcW w:w="1275" w:type="dxa"/>
            <w:vAlign w:val="bottom"/>
          </w:tcPr>
          <w:p w14:paraId="3141A6FA" w14:textId="0AE88014" w:rsidR="00E64419" w:rsidRPr="00E64419" w:rsidRDefault="00E64419" w:rsidP="00E64419">
            <w:pPr>
              <w:pStyle w:val="BodyText"/>
              <w:spacing w:after="0" w:line="240" w:lineRule="auto"/>
              <w:ind w:firstLine="33"/>
              <w:rPr>
                <w:sz w:val="16"/>
                <w:szCs w:val="16"/>
              </w:rPr>
            </w:pPr>
            <w:proofErr w:type="gramStart"/>
            <w:r w:rsidRPr="00E64419">
              <w:rPr>
                <w:sz w:val="16"/>
                <w:szCs w:val="16"/>
              </w:rPr>
              <w:t>de</w:t>
            </w:r>
            <w:proofErr w:type="gramEnd"/>
          </w:p>
        </w:tc>
        <w:tc>
          <w:tcPr>
            <w:tcW w:w="851" w:type="dxa"/>
            <w:vAlign w:val="bottom"/>
          </w:tcPr>
          <w:p w14:paraId="3EAFA315" w14:textId="0DD09E3A" w:rsidR="00E64419" w:rsidRPr="00E64419" w:rsidRDefault="00E64419" w:rsidP="00E64419">
            <w:pPr>
              <w:pStyle w:val="BodyText"/>
              <w:spacing w:after="0" w:line="240" w:lineRule="auto"/>
              <w:ind w:firstLine="33"/>
              <w:rPr>
                <w:sz w:val="16"/>
                <w:szCs w:val="16"/>
              </w:rPr>
            </w:pPr>
            <w:r w:rsidRPr="00E64419">
              <w:rPr>
                <w:sz w:val="16"/>
                <w:szCs w:val="16"/>
              </w:rPr>
              <w:t>0.97</w:t>
            </w:r>
          </w:p>
        </w:tc>
      </w:tr>
      <w:tr w:rsidR="00E64419" w14:paraId="7F3C7870" w14:textId="77777777" w:rsidTr="00E64419">
        <w:tc>
          <w:tcPr>
            <w:tcW w:w="1275" w:type="dxa"/>
            <w:vAlign w:val="bottom"/>
          </w:tcPr>
          <w:p w14:paraId="4D2C4C1D" w14:textId="04E4E3C9" w:rsidR="00E64419" w:rsidRPr="00E64419" w:rsidRDefault="00E64419" w:rsidP="00E64419">
            <w:pPr>
              <w:pStyle w:val="BodyText"/>
              <w:spacing w:after="0" w:line="240" w:lineRule="auto"/>
              <w:ind w:firstLine="33"/>
              <w:rPr>
                <w:sz w:val="16"/>
                <w:szCs w:val="16"/>
              </w:rPr>
            </w:pPr>
            <w:proofErr w:type="gramStart"/>
            <w:r w:rsidRPr="00E64419">
              <w:rPr>
                <w:sz w:val="16"/>
                <w:szCs w:val="16"/>
              </w:rPr>
              <w:t>it</w:t>
            </w:r>
            <w:proofErr w:type="gramEnd"/>
          </w:p>
        </w:tc>
        <w:tc>
          <w:tcPr>
            <w:tcW w:w="851" w:type="dxa"/>
            <w:vAlign w:val="bottom"/>
          </w:tcPr>
          <w:p w14:paraId="3770D8DD" w14:textId="1752CE98" w:rsidR="00E64419" w:rsidRPr="00E64419" w:rsidRDefault="00E64419" w:rsidP="00E64419">
            <w:pPr>
              <w:pStyle w:val="BodyText"/>
              <w:spacing w:after="0" w:line="240" w:lineRule="auto"/>
              <w:ind w:firstLine="33"/>
              <w:rPr>
                <w:sz w:val="16"/>
                <w:szCs w:val="16"/>
              </w:rPr>
            </w:pPr>
            <w:r w:rsidRPr="00E64419">
              <w:rPr>
                <w:sz w:val="16"/>
                <w:szCs w:val="16"/>
              </w:rPr>
              <w:t>0.87</w:t>
            </w:r>
          </w:p>
        </w:tc>
      </w:tr>
      <w:tr w:rsidR="00E64419" w14:paraId="480A9572" w14:textId="77777777" w:rsidTr="00E64419">
        <w:tc>
          <w:tcPr>
            <w:tcW w:w="1275" w:type="dxa"/>
            <w:vAlign w:val="bottom"/>
          </w:tcPr>
          <w:p w14:paraId="626E129A" w14:textId="37DE5A37" w:rsidR="00E64419" w:rsidRPr="00E64419" w:rsidRDefault="00E64419" w:rsidP="00E64419">
            <w:pPr>
              <w:pStyle w:val="BodyText"/>
              <w:spacing w:after="0" w:line="240" w:lineRule="auto"/>
              <w:ind w:firstLine="33"/>
              <w:rPr>
                <w:sz w:val="16"/>
                <w:szCs w:val="16"/>
              </w:rPr>
            </w:pPr>
            <w:proofErr w:type="gramStart"/>
            <w:r w:rsidRPr="00E64419">
              <w:rPr>
                <w:sz w:val="16"/>
                <w:szCs w:val="16"/>
              </w:rPr>
              <w:t>el</w:t>
            </w:r>
            <w:proofErr w:type="gramEnd"/>
          </w:p>
        </w:tc>
        <w:tc>
          <w:tcPr>
            <w:tcW w:w="851" w:type="dxa"/>
            <w:vAlign w:val="bottom"/>
          </w:tcPr>
          <w:p w14:paraId="33CC84AC" w14:textId="5ECC678C" w:rsidR="00E64419" w:rsidRPr="00E64419" w:rsidRDefault="00E64419" w:rsidP="00E64419">
            <w:pPr>
              <w:pStyle w:val="BodyText"/>
              <w:spacing w:after="0" w:line="240" w:lineRule="auto"/>
              <w:ind w:firstLine="33"/>
              <w:rPr>
                <w:sz w:val="16"/>
                <w:szCs w:val="16"/>
              </w:rPr>
            </w:pPr>
            <w:r w:rsidRPr="00E64419">
              <w:rPr>
                <w:sz w:val="16"/>
                <w:szCs w:val="16"/>
              </w:rPr>
              <w:t>0.86</w:t>
            </w:r>
          </w:p>
        </w:tc>
      </w:tr>
    </w:tbl>
    <w:p w14:paraId="62BC91CE" w14:textId="2C6D500D" w:rsidR="007526BC" w:rsidRPr="0079228E" w:rsidRDefault="00A22390" w:rsidP="0079228E">
      <w:pPr>
        <w:pStyle w:val="Caption"/>
        <w:rPr>
          <w:color w:val="000000"/>
          <w:lang w:eastAsia="en-GB"/>
        </w:rPr>
      </w:pPr>
      <w:r>
        <w:t xml:space="preserve">Table </w:t>
      </w:r>
      <w:fldSimple w:instr=" SEQ Table \* ARABIC ">
        <w:r w:rsidR="004C3FC4">
          <w:rPr>
            <w:noProof/>
          </w:rPr>
          <w:t>4</w:t>
        </w:r>
      </w:fldSimple>
      <w:r w:rsidR="00F9054A">
        <w:t>: Top 95</w:t>
      </w:r>
      <w:r>
        <w:t>% participation languages from 'en' profiles</w:t>
      </w:r>
    </w:p>
    <w:p w14:paraId="64240056" w14:textId="542DDD99" w:rsidR="00784839" w:rsidRDefault="00784839" w:rsidP="00684129">
      <w:pPr>
        <w:pStyle w:val="Heading2"/>
        <w:rPr>
          <w:lang w:val="en-GB"/>
        </w:rPr>
      </w:pPr>
      <w:r>
        <w:rPr>
          <w:lang w:val="en-GB"/>
        </w:rPr>
        <w:t>Language Diversity</w:t>
      </w:r>
    </w:p>
    <w:p w14:paraId="01183268" w14:textId="3153FAB3" w:rsidR="0079228E" w:rsidRDefault="0079228E" w:rsidP="0079228E">
      <w:pPr>
        <w:pStyle w:val="BodyText"/>
      </w:pPr>
      <w:r>
        <w:t>By observing language diversity of profile communities we aim to measure language diversity of the topic in general, as well as investigating which community plays more in bridging different profile communities. Diversity here means how many posting languages were used from each profile community</w:t>
      </w:r>
      <w:r w:rsidR="00540D74">
        <w:t>, and to what extent they used their own language, as well as other languages.</w:t>
      </w:r>
      <w:r>
        <w:t xml:space="preserve"> </w:t>
      </w:r>
    </w:p>
    <w:p w14:paraId="0EAC8B61" w14:textId="7AF48966" w:rsidR="00DE0A7B" w:rsidRDefault="00E72439" w:rsidP="00293A75">
      <w:pPr>
        <w:pStyle w:val="BodyText"/>
      </w:pPr>
      <w:r>
        <w:t>The general language diversity of the topic is about 17%, w</w:t>
      </w:r>
      <w:r w:rsidR="00E0418A">
        <w:t xml:space="preserve">hile 3.72% were not identified. </w:t>
      </w:r>
      <w:r w:rsidR="006C3772">
        <w:t>All of the 50 profile communities used different language in posting. Interestingly, 16 out of those communities did not use their own language</w:t>
      </w:r>
      <w:r w:rsidR="000D3075">
        <w:t xml:space="preserve">, they were low in participation </w:t>
      </w:r>
      <w:r w:rsidR="00DE0A7B">
        <w:t>though</w:t>
      </w:r>
      <w:r w:rsidR="006C3772">
        <w:t xml:space="preserve">. Moreover, </w:t>
      </w:r>
      <w:r w:rsidR="000D3075">
        <w:t xml:space="preserve">in terms of using different languages, </w:t>
      </w:r>
      <w:r w:rsidR="006C3772">
        <w:t xml:space="preserve">we found that </w:t>
      </w:r>
      <w:r w:rsidR="000D3075">
        <w:t>32 communities scored at least 50% out of their tweets.</w:t>
      </w:r>
      <w:r w:rsidR="00E0418A">
        <w:t xml:space="preserve"> We noticed that</w:t>
      </w:r>
      <w:r>
        <w:t xml:space="preserve"> </w:t>
      </w:r>
      <w:r w:rsidR="00E0418A">
        <w:t xml:space="preserve">posting from </w:t>
      </w:r>
      <w:r>
        <w:t>small profile communities</w:t>
      </w:r>
      <w:r w:rsidR="00E0418A">
        <w:t xml:space="preserve"> </w:t>
      </w:r>
      <w:proofErr w:type="gramStart"/>
      <w:r w:rsidR="00E0418A">
        <w:t>may</w:t>
      </w:r>
      <w:proofErr w:type="gramEnd"/>
      <w:r w:rsidR="00E0418A">
        <w:t xml:space="preserve"> </w:t>
      </w:r>
      <w:r w:rsidR="00E0418A">
        <w:lastRenderedPageBreak/>
        <w:t xml:space="preserve">affect the overall language diversity of the topic. </w:t>
      </w:r>
      <w:r w:rsidR="001378B6">
        <w:t>Referring to</w:t>
      </w:r>
      <w:r w:rsidR="00DE0A7B">
        <w:t xml:space="preserve"> </w:t>
      </w:r>
      <w:r w:rsidR="001378B6">
        <w:t xml:space="preserve">the </w:t>
      </w:r>
      <w:r w:rsidR="00DE0A7B">
        <w:t xml:space="preserve">top profile communities mentioned in section </w:t>
      </w:r>
      <w:r w:rsidR="00E0418A">
        <w:t>III</w:t>
      </w:r>
      <w:r w:rsidR="00DE0A7B">
        <w:t xml:space="preserve">.A, </w:t>
      </w:r>
      <w:r w:rsidR="004C3FC4">
        <w:t xml:space="preserve">Table 5 below shows their diversity in percentage. </w:t>
      </w:r>
      <w:proofErr w:type="spellStart"/>
      <w:r w:rsidR="004C3FC4">
        <w:t>Russain</w:t>
      </w:r>
      <w:proofErr w:type="spellEnd"/>
      <w:r w:rsidR="004C3FC4">
        <w:t xml:space="preserve"> profile community shows very interesting case as it scored the least diverse profile amongst all </w:t>
      </w:r>
      <w:r w:rsidR="001378B6">
        <w:t xml:space="preserve">the 50 </w:t>
      </w:r>
      <w:r w:rsidR="00CD4185">
        <w:t>communities although it comes fourth in number of users.</w:t>
      </w:r>
      <w:r>
        <w:t xml:space="preserve"> </w:t>
      </w:r>
    </w:p>
    <w:p w14:paraId="02C4410F" w14:textId="77777777" w:rsidR="00293A75" w:rsidRPr="00DE0A7B" w:rsidRDefault="00293A75" w:rsidP="00293A75">
      <w:pPr>
        <w:pStyle w:val="BodyText"/>
      </w:pPr>
    </w:p>
    <w:tbl>
      <w:tblPr>
        <w:tblStyle w:val="TableGrid"/>
        <w:tblW w:w="2273" w:type="dxa"/>
        <w:jc w:val="center"/>
        <w:tblLook w:val="04A0" w:firstRow="1" w:lastRow="0" w:firstColumn="1" w:lastColumn="0" w:noHBand="0" w:noVBand="1"/>
      </w:tblPr>
      <w:tblGrid>
        <w:gridCol w:w="1302"/>
        <w:gridCol w:w="971"/>
      </w:tblGrid>
      <w:tr w:rsidR="001378B6" w:rsidRPr="00DF5C27" w14:paraId="116EB962" w14:textId="01609B07" w:rsidTr="001378B6">
        <w:trPr>
          <w:trHeight w:val="77"/>
          <w:jc w:val="center"/>
        </w:trPr>
        <w:tc>
          <w:tcPr>
            <w:tcW w:w="1302" w:type="dxa"/>
            <w:noWrap/>
            <w:vAlign w:val="center"/>
          </w:tcPr>
          <w:p w14:paraId="2845E9A3" w14:textId="1C215C0C" w:rsidR="001378B6" w:rsidRPr="000B5518" w:rsidRDefault="001378B6" w:rsidP="00DE0A7B">
            <w:pPr>
              <w:pStyle w:val="BodyText"/>
              <w:spacing w:after="0" w:line="240" w:lineRule="auto"/>
              <w:ind w:firstLine="163"/>
              <w:rPr>
                <w:sz w:val="16"/>
                <w:szCs w:val="16"/>
              </w:rPr>
            </w:pPr>
            <w:r>
              <w:rPr>
                <w:color w:val="000000"/>
                <w:sz w:val="16"/>
                <w:szCs w:val="16"/>
              </w:rPr>
              <w:t>Community</w:t>
            </w:r>
          </w:p>
        </w:tc>
        <w:tc>
          <w:tcPr>
            <w:tcW w:w="971" w:type="dxa"/>
            <w:vAlign w:val="center"/>
          </w:tcPr>
          <w:p w14:paraId="72281203" w14:textId="1A2410A2" w:rsidR="001378B6" w:rsidRPr="000B5518" w:rsidRDefault="001378B6" w:rsidP="00DE0A7B">
            <w:pPr>
              <w:pStyle w:val="BodyText"/>
              <w:spacing w:after="0" w:line="240" w:lineRule="auto"/>
              <w:ind w:firstLine="17"/>
              <w:rPr>
                <w:sz w:val="16"/>
                <w:szCs w:val="16"/>
              </w:rPr>
            </w:pPr>
            <w:r>
              <w:rPr>
                <w:color w:val="000000"/>
                <w:sz w:val="16"/>
                <w:szCs w:val="16"/>
              </w:rPr>
              <w:t>Diversity (%)</w:t>
            </w:r>
          </w:p>
        </w:tc>
      </w:tr>
      <w:tr w:rsidR="001378B6" w:rsidRPr="00DF5C27" w14:paraId="457582FE" w14:textId="0647FF52" w:rsidTr="001378B6">
        <w:trPr>
          <w:trHeight w:val="165"/>
          <w:jc w:val="center"/>
        </w:trPr>
        <w:tc>
          <w:tcPr>
            <w:tcW w:w="1302" w:type="dxa"/>
            <w:noWrap/>
            <w:vAlign w:val="center"/>
            <w:hideMark/>
          </w:tcPr>
          <w:p w14:paraId="5FCAA99C" w14:textId="4233DEC3" w:rsidR="001378B6" w:rsidRPr="000B5518" w:rsidRDefault="001378B6" w:rsidP="00DE0A7B">
            <w:pPr>
              <w:pStyle w:val="BodyText"/>
              <w:spacing w:after="0" w:line="240" w:lineRule="auto"/>
              <w:ind w:firstLine="163"/>
              <w:rPr>
                <w:sz w:val="16"/>
                <w:szCs w:val="16"/>
              </w:rPr>
            </w:pPr>
            <w:proofErr w:type="gramStart"/>
            <w:r>
              <w:rPr>
                <w:color w:val="000000"/>
                <w:sz w:val="16"/>
                <w:szCs w:val="16"/>
              </w:rPr>
              <w:t>de</w:t>
            </w:r>
            <w:proofErr w:type="gramEnd"/>
          </w:p>
        </w:tc>
        <w:tc>
          <w:tcPr>
            <w:tcW w:w="971" w:type="dxa"/>
            <w:vAlign w:val="center"/>
          </w:tcPr>
          <w:p w14:paraId="131A9FF8" w14:textId="2873A659" w:rsidR="001378B6" w:rsidRPr="000B5518" w:rsidRDefault="001378B6" w:rsidP="00DE0A7B">
            <w:pPr>
              <w:pStyle w:val="BodyText"/>
              <w:spacing w:after="0" w:line="240" w:lineRule="auto"/>
              <w:ind w:firstLine="289"/>
              <w:rPr>
                <w:sz w:val="16"/>
                <w:szCs w:val="16"/>
              </w:rPr>
            </w:pPr>
            <w:r>
              <w:rPr>
                <w:color w:val="000000"/>
                <w:sz w:val="16"/>
                <w:szCs w:val="16"/>
              </w:rPr>
              <w:t>34.27</w:t>
            </w:r>
          </w:p>
        </w:tc>
      </w:tr>
      <w:tr w:rsidR="001378B6" w:rsidRPr="00DF5C27" w14:paraId="60F10184" w14:textId="7F77A2E4" w:rsidTr="001378B6">
        <w:trPr>
          <w:trHeight w:val="111"/>
          <w:jc w:val="center"/>
        </w:trPr>
        <w:tc>
          <w:tcPr>
            <w:tcW w:w="1302" w:type="dxa"/>
            <w:noWrap/>
            <w:vAlign w:val="center"/>
            <w:hideMark/>
          </w:tcPr>
          <w:p w14:paraId="482F2383" w14:textId="379FCDCF" w:rsidR="001378B6" w:rsidRPr="000B5518" w:rsidRDefault="001378B6" w:rsidP="00DE0A7B">
            <w:pPr>
              <w:pStyle w:val="BodyText"/>
              <w:spacing w:after="0" w:line="240" w:lineRule="auto"/>
              <w:ind w:firstLine="163"/>
              <w:rPr>
                <w:sz w:val="16"/>
                <w:szCs w:val="16"/>
              </w:rPr>
            </w:pPr>
            <w:proofErr w:type="spellStart"/>
            <w:proofErr w:type="gramStart"/>
            <w:r>
              <w:rPr>
                <w:color w:val="000000"/>
                <w:sz w:val="16"/>
                <w:szCs w:val="16"/>
              </w:rPr>
              <w:t>nl</w:t>
            </w:r>
            <w:proofErr w:type="spellEnd"/>
            <w:proofErr w:type="gramEnd"/>
          </w:p>
        </w:tc>
        <w:tc>
          <w:tcPr>
            <w:tcW w:w="971" w:type="dxa"/>
            <w:vAlign w:val="center"/>
          </w:tcPr>
          <w:p w14:paraId="2BB0EEB4" w14:textId="56E74275" w:rsidR="001378B6" w:rsidRPr="000B5518" w:rsidRDefault="001378B6" w:rsidP="00DE0A7B">
            <w:pPr>
              <w:pStyle w:val="BodyText"/>
              <w:spacing w:after="0" w:line="240" w:lineRule="auto"/>
              <w:ind w:firstLine="289"/>
              <w:rPr>
                <w:sz w:val="16"/>
                <w:szCs w:val="16"/>
              </w:rPr>
            </w:pPr>
            <w:r>
              <w:rPr>
                <w:color w:val="000000"/>
                <w:sz w:val="16"/>
                <w:szCs w:val="16"/>
              </w:rPr>
              <w:t>32.78</w:t>
            </w:r>
          </w:p>
        </w:tc>
      </w:tr>
      <w:tr w:rsidR="001378B6" w:rsidRPr="00DF5C27" w14:paraId="75099899" w14:textId="3DC23C31" w:rsidTr="001378B6">
        <w:trPr>
          <w:trHeight w:val="57"/>
          <w:jc w:val="center"/>
        </w:trPr>
        <w:tc>
          <w:tcPr>
            <w:tcW w:w="1302" w:type="dxa"/>
            <w:noWrap/>
            <w:vAlign w:val="center"/>
            <w:hideMark/>
          </w:tcPr>
          <w:p w14:paraId="18D4168C" w14:textId="51BD3133" w:rsidR="001378B6" w:rsidRPr="000B5518" w:rsidRDefault="001378B6" w:rsidP="00DE0A7B">
            <w:pPr>
              <w:pStyle w:val="BodyText"/>
              <w:spacing w:after="0" w:line="240" w:lineRule="auto"/>
              <w:ind w:firstLine="163"/>
              <w:rPr>
                <w:sz w:val="16"/>
                <w:szCs w:val="16"/>
              </w:rPr>
            </w:pPr>
            <w:proofErr w:type="gramStart"/>
            <w:r>
              <w:rPr>
                <w:color w:val="000000"/>
                <w:sz w:val="16"/>
                <w:szCs w:val="16"/>
              </w:rPr>
              <w:t>it</w:t>
            </w:r>
            <w:proofErr w:type="gramEnd"/>
          </w:p>
        </w:tc>
        <w:tc>
          <w:tcPr>
            <w:tcW w:w="971" w:type="dxa"/>
            <w:vAlign w:val="center"/>
          </w:tcPr>
          <w:p w14:paraId="5F8C049B" w14:textId="2F86106A" w:rsidR="001378B6" w:rsidRPr="000B5518" w:rsidRDefault="001378B6" w:rsidP="00DE0A7B">
            <w:pPr>
              <w:pStyle w:val="BodyText"/>
              <w:spacing w:after="0" w:line="240" w:lineRule="auto"/>
              <w:ind w:firstLine="289"/>
              <w:rPr>
                <w:sz w:val="16"/>
                <w:szCs w:val="16"/>
              </w:rPr>
            </w:pPr>
            <w:r>
              <w:rPr>
                <w:color w:val="000000"/>
                <w:sz w:val="16"/>
                <w:szCs w:val="16"/>
              </w:rPr>
              <w:t>18.49</w:t>
            </w:r>
          </w:p>
        </w:tc>
      </w:tr>
      <w:tr w:rsidR="001378B6" w:rsidRPr="00DF5C27" w14:paraId="6859A426" w14:textId="1999A23A" w:rsidTr="001378B6">
        <w:trPr>
          <w:trHeight w:val="144"/>
          <w:jc w:val="center"/>
        </w:trPr>
        <w:tc>
          <w:tcPr>
            <w:tcW w:w="1302" w:type="dxa"/>
            <w:noWrap/>
            <w:vAlign w:val="center"/>
            <w:hideMark/>
          </w:tcPr>
          <w:p w14:paraId="0C301DD8" w14:textId="47FEFDA0" w:rsidR="001378B6" w:rsidRPr="000B5518" w:rsidRDefault="001378B6" w:rsidP="00DE0A7B">
            <w:pPr>
              <w:pStyle w:val="BodyText"/>
              <w:spacing w:after="0" w:line="240" w:lineRule="auto"/>
              <w:ind w:firstLine="163"/>
              <w:rPr>
                <w:sz w:val="16"/>
                <w:szCs w:val="16"/>
              </w:rPr>
            </w:pPr>
            <w:proofErr w:type="spellStart"/>
            <w:proofErr w:type="gramStart"/>
            <w:r>
              <w:rPr>
                <w:color w:val="000000"/>
                <w:sz w:val="16"/>
                <w:szCs w:val="16"/>
              </w:rPr>
              <w:t>fr</w:t>
            </w:r>
            <w:proofErr w:type="spellEnd"/>
            <w:proofErr w:type="gramEnd"/>
          </w:p>
        </w:tc>
        <w:tc>
          <w:tcPr>
            <w:tcW w:w="971" w:type="dxa"/>
            <w:vAlign w:val="center"/>
          </w:tcPr>
          <w:p w14:paraId="35F13E79" w14:textId="70DBA2A5" w:rsidR="001378B6" w:rsidRPr="000B5518" w:rsidRDefault="001378B6" w:rsidP="00DE0A7B">
            <w:pPr>
              <w:pStyle w:val="BodyText"/>
              <w:spacing w:after="0" w:line="240" w:lineRule="auto"/>
              <w:ind w:firstLine="289"/>
              <w:rPr>
                <w:sz w:val="16"/>
                <w:szCs w:val="16"/>
              </w:rPr>
            </w:pPr>
            <w:r>
              <w:rPr>
                <w:color w:val="000000"/>
                <w:sz w:val="16"/>
                <w:szCs w:val="16"/>
              </w:rPr>
              <w:t>16.65</w:t>
            </w:r>
          </w:p>
        </w:tc>
      </w:tr>
      <w:tr w:rsidR="001378B6" w:rsidRPr="00DF5C27" w14:paraId="4595AF5F" w14:textId="02F672AA" w:rsidTr="001378B6">
        <w:trPr>
          <w:trHeight w:val="90"/>
          <w:jc w:val="center"/>
        </w:trPr>
        <w:tc>
          <w:tcPr>
            <w:tcW w:w="1302" w:type="dxa"/>
            <w:noWrap/>
            <w:vAlign w:val="center"/>
            <w:hideMark/>
          </w:tcPr>
          <w:p w14:paraId="51FB34EC" w14:textId="1F0EAE56" w:rsidR="001378B6" w:rsidRPr="000B5518" w:rsidRDefault="001378B6" w:rsidP="00DE0A7B">
            <w:pPr>
              <w:pStyle w:val="BodyText"/>
              <w:spacing w:after="0" w:line="240" w:lineRule="auto"/>
              <w:ind w:firstLine="163"/>
              <w:rPr>
                <w:sz w:val="16"/>
                <w:szCs w:val="16"/>
              </w:rPr>
            </w:pPr>
            <w:proofErr w:type="gramStart"/>
            <w:r>
              <w:rPr>
                <w:color w:val="000000"/>
                <w:sz w:val="16"/>
                <w:szCs w:val="16"/>
              </w:rPr>
              <w:t>en</w:t>
            </w:r>
            <w:proofErr w:type="gramEnd"/>
          </w:p>
        </w:tc>
        <w:tc>
          <w:tcPr>
            <w:tcW w:w="971" w:type="dxa"/>
            <w:vAlign w:val="center"/>
          </w:tcPr>
          <w:p w14:paraId="43999AE8" w14:textId="34FB780C" w:rsidR="001378B6" w:rsidRPr="000B5518" w:rsidRDefault="001378B6" w:rsidP="00DE0A7B">
            <w:pPr>
              <w:pStyle w:val="BodyText"/>
              <w:spacing w:after="0" w:line="240" w:lineRule="auto"/>
              <w:ind w:firstLine="289"/>
              <w:rPr>
                <w:sz w:val="16"/>
                <w:szCs w:val="16"/>
              </w:rPr>
            </w:pPr>
            <w:r>
              <w:rPr>
                <w:color w:val="000000"/>
                <w:sz w:val="16"/>
                <w:szCs w:val="16"/>
              </w:rPr>
              <w:t>15.39</w:t>
            </w:r>
          </w:p>
        </w:tc>
      </w:tr>
      <w:tr w:rsidR="001378B6" w:rsidRPr="00DF5C27" w14:paraId="66ADA630" w14:textId="76D88422" w:rsidTr="001378B6">
        <w:trPr>
          <w:trHeight w:val="192"/>
          <w:jc w:val="center"/>
        </w:trPr>
        <w:tc>
          <w:tcPr>
            <w:tcW w:w="1302" w:type="dxa"/>
            <w:noWrap/>
            <w:vAlign w:val="center"/>
            <w:hideMark/>
          </w:tcPr>
          <w:p w14:paraId="1A75BB69" w14:textId="73E7F4EA" w:rsidR="001378B6" w:rsidRPr="000B5518" w:rsidRDefault="001378B6" w:rsidP="00DE0A7B">
            <w:pPr>
              <w:pStyle w:val="BodyText"/>
              <w:spacing w:after="0" w:line="240" w:lineRule="auto"/>
              <w:ind w:firstLine="163"/>
              <w:rPr>
                <w:sz w:val="16"/>
                <w:szCs w:val="16"/>
              </w:rPr>
            </w:pPr>
            <w:proofErr w:type="spellStart"/>
            <w:proofErr w:type="gramStart"/>
            <w:r>
              <w:rPr>
                <w:color w:val="000000"/>
                <w:sz w:val="16"/>
                <w:szCs w:val="16"/>
              </w:rPr>
              <w:t>es</w:t>
            </w:r>
            <w:proofErr w:type="spellEnd"/>
            <w:proofErr w:type="gramEnd"/>
          </w:p>
        </w:tc>
        <w:tc>
          <w:tcPr>
            <w:tcW w:w="971" w:type="dxa"/>
            <w:vAlign w:val="center"/>
          </w:tcPr>
          <w:p w14:paraId="6B51F2A0" w14:textId="6C898C48" w:rsidR="001378B6" w:rsidRPr="000B5518" w:rsidRDefault="001378B6" w:rsidP="00DE0A7B">
            <w:pPr>
              <w:pStyle w:val="BodyText"/>
              <w:spacing w:after="0" w:line="240" w:lineRule="auto"/>
              <w:ind w:firstLine="289"/>
              <w:rPr>
                <w:sz w:val="16"/>
                <w:szCs w:val="16"/>
              </w:rPr>
            </w:pPr>
            <w:r>
              <w:rPr>
                <w:color w:val="000000"/>
                <w:sz w:val="16"/>
                <w:szCs w:val="16"/>
              </w:rPr>
              <w:t>10.13</w:t>
            </w:r>
          </w:p>
        </w:tc>
      </w:tr>
      <w:tr w:rsidR="001378B6" w:rsidRPr="00DF5C27" w14:paraId="6218D1C7" w14:textId="41D5E214" w:rsidTr="001378B6">
        <w:trPr>
          <w:trHeight w:val="124"/>
          <w:jc w:val="center"/>
        </w:trPr>
        <w:tc>
          <w:tcPr>
            <w:tcW w:w="1302" w:type="dxa"/>
            <w:noWrap/>
            <w:vAlign w:val="center"/>
            <w:hideMark/>
          </w:tcPr>
          <w:p w14:paraId="2ECD5B3A" w14:textId="574BC3CF" w:rsidR="001378B6" w:rsidRPr="000B5518" w:rsidRDefault="001378B6" w:rsidP="00DE0A7B">
            <w:pPr>
              <w:pStyle w:val="BodyText"/>
              <w:spacing w:after="0" w:line="240" w:lineRule="auto"/>
              <w:ind w:firstLine="163"/>
              <w:rPr>
                <w:sz w:val="16"/>
                <w:szCs w:val="16"/>
              </w:rPr>
            </w:pPr>
            <w:proofErr w:type="spellStart"/>
            <w:proofErr w:type="gramStart"/>
            <w:r>
              <w:rPr>
                <w:color w:val="000000"/>
                <w:sz w:val="16"/>
                <w:szCs w:val="16"/>
              </w:rPr>
              <w:t>ru</w:t>
            </w:r>
            <w:proofErr w:type="spellEnd"/>
            <w:proofErr w:type="gramEnd"/>
          </w:p>
        </w:tc>
        <w:tc>
          <w:tcPr>
            <w:tcW w:w="971" w:type="dxa"/>
            <w:vAlign w:val="center"/>
          </w:tcPr>
          <w:p w14:paraId="454F0024" w14:textId="33694558" w:rsidR="001378B6" w:rsidRPr="000B5518" w:rsidRDefault="001378B6" w:rsidP="004C3FC4">
            <w:pPr>
              <w:pStyle w:val="BodyText"/>
              <w:keepNext/>
              <w:spacing w:after="0" w:line="240" w:lineRule="auto"/>
              <w:ind w:firstLine="289"/>
              <w:rPr>
                <w:sz w:val="16"/>
                <w:szCs w:val="16"/>
              </w:rPr>
            </w:pPr>
            <w:r>
              <w:rPr>
                <w:color w:val="000000"/>
                <w:sz w:val="16"/>
                <w:szCs w:val="16"/>
              </w:rPr>
              <w:t>7.93</w:t>
            </w:r>
          </w:p>
        </w:tc>
      </w:tr>
    </w:tbl>
    <w:p w14:paraId="677944BB" w14:textId="5E22C19B" w:rsidR="0079228E" w:rsidRPr="0079228E" w:rsidRDefault="004C3FC4" w:rsidP="004C3FC4">
      <w:pPr>
        <w:pStyle w:val="Caption"/>
        <w:jc w:val="center"/>
      </w:pPr>
      <w:r>
        <w:t xml:space="preserve">Table </w:t>
      </w:r>
      <w:fldSimple w:instr=" SEQ Table \* ARABIC ">
        <w:r>
          <w:rPr>
            <w:noProof/>
          </w:rPr>
          <w:t>5</w:t>
        </w:r>
      </w:fldSimple>
      <w:r>
        <w:t>: Diversity of top profile communities</w:t>
      </w:r>
    </w:p>
    <w:p w14:paraId="42B27EBE" w14:textId="77777777" w:rsidR="00A22C27" w:rsidRDefault="00A22C27" w:rsidP="00684129">
      <w:pPr>
        <w:pStyle w:val="Heading2"/>
        <w:rPr>
          <w:lang w:val="en-GB"/>
        </w:rPr>
      </w:pPr>
      <w:r>
        <w:rPr>
          <w:lang w:val="en-GB"/>
        </w:rPr>
        <w:t>Multilingual communities</w:t>
      </w:r>
    </w:p>
    <w:p w14:paraId="3DD7EE49" w14:textId="77777777" w:rsidR="002E4F82" w:rsidRDefault="00784839" w:rsidP="00784839">
      <w:pPr>
        <w:pStyle w:val="BodyText"/>
        <w:ind w:firstLine="0"/>
      </w:pPr>
      <w:r>
        <w:tab/>
      </w:r>
      <w:r w:rsidR="0005629D">
        <w:t xml:space="preserve">In this section, we group users based on their relationship with posting communities, regardless of their profile language. </w:t>
      </w:r>
      <w:r>
        <w:t>For exampl</w:t>
      </w:r>
      <w:r w:rsidR="00CC2DF8">
        <w:t>e, a user posted in ‘en’ and ‘</w:t>
      </w:r>
      <w:proofErr w:type="spellStart"/>
      <w:r w:rsidR="00CC2DF8">
        <w:t>fr</w:t>
      </w:r>
      <w:proofErr w:type="spellEnd"/>
      <w:r>
        <w:t xml:space="preserve">’ will be classified as bilingual, and so on. </w:t>
      </w:r>
      <w:r w:rsidR="006B2963">
        <w:t xml:space="preserve">Based on this grouping technique, </w:t>
      </w:r>
      <w:r w:rsidR="00BA3E2D">
        <w:t xml:space="preserve">with the ‘und’ </w:t>
      </w:r>
      <w:proofErr w:type="spellStart"/>
      <w:proofErr w:type="gramStart"/>
      <w:r w:rsidR="00BA3E2D">
        <w:t>lang</w:t>
      </w:r>
      <w:proofErr w:type="spellEnd"/>
      <w:proofErr w:type="gramEnd"/>
      <w:r w:rsidR="00BA3E2D">
        <w:t xml:space="preserve"> eliminated, we identified 20</w:t>
      </w:r>
      <w:r w:rsidR="006B2963">
        <w:t xml:space="preserve"> sets. The smallest </w:t>
      </w:r>
      <w:r>
        <w:t xml:space="preserve">two </w:t>
      </w:r>
      <w:r w:rsidR="006B2963">
        <w:t>group</w:t>
      </w:r>
      <w:r>
        <w:t>s consist</w:t>
      </w:r>
      <w:r w:rsidR="006B2963">
        <w:t xml:space="preserve"> of one user</w:t>
      </w:r>
      <w:r>
        <w:t xml:space="preserve"> each</w:t>
      </w:r>
      <w:r w:rsidR="006B2963">
        <w:t xml:space="preserve">, who posted in </w:t>
      </w:r>
      <w:r>
        <w:t xml:space="preserve">22 and </w:t>
      </w:r>
      <w:r w:rsidR="006B2963">
        <w:t>25 different languages.</w:t>
      </w:r>
    </w:p>
    <w:p w14:paraId="1BA6BCB6" w14:textId="16ED37A7" w:rsidR="00A335F4" w:rsidRPr="00A335F4" w:rsidRDefault="002E4F82" w:rsidP="007F53C8">
      <w:pPr>
        <w:pStyle w:val="BodyText"/>
        <w:ind w:firstLine="0"/>
      </w:pPr>
      <w:r>
        <w:tab/>
        <w:t>As we can see in Figure 2, monolingual users scored a</w:t>
      </w:r>
      <w:r w:rsidR="007F53C8">
        <w:t xml:space="preserve">bout 85% of all users causing 47% of the total original posts. The figure also shows that </w:t>
      </w:r>
      <w:bookmarkStart w:id="2" w:name="_GoBack"/>
      <w:bookmarkEnd w:id="2"/>
      <w:r w:rsidR="007F53C8">
        <w:t xml:space="preserve">users and </w:t>
      </w:r>
      <w:r>
        <w:t>their activity decrease as number of languages used increase.</w:t>
      </w:r>
    </w:p>
    <w:p w14:paraId="14A146BD" w14:textId="77777777" w:rsidR="00544703" w:rsidRDefault="00544703" w:rsidP="00A335F4">
      <w:pPr>
        <w:pStyle w:val="BodyText"/>
      </w:pPr>
    </w:p>
    <w:p w14:paraId="10A6C302" w14:textId="77777777" w:rsidR="002E4F82" w:rsidRDefault="00072C13" w:rsidP="002E4F82">
      <w:pPr>
        <w:pStyle w:val="BodyText"/>
        <w:keepNext/>
      </w:pPr>
      <w:r>
        <w:rPr>
          <w:noProof/>
        </w:rPr>
        <w:drawing>
          <wp:inline distT="0" distB="0" distL="0" distR="0" wp14:anchorId="6440CD35" wp14:editId="13396B51">
            <wp:extent cx="3086100" cy="231838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ingual_communities_2.PNG"/>
                    <pic:cNvPicPr/>
                  </pic:nvPicPr>
                  <pic:blipFill>
                    <a:blip r:embed="rId10">
                      <a:extLst>
                        <a:ext uri="{28A0092B-C50C-407E-A947-70E740481C1C}">
                          <a14:useLocalDpi xmlns:a14="http://schemas.microsoft.com/office/drawing/2010/main" val="0"/>
                        </a:ext>
                      </a:extLst>
                    </a:blip>
                    <a:stretch>
                      <a:fillRect/>
                    </a:stretch>
                  </pic:blipFill>
                  <pic:spPr>
                    <a:xfrm>
                      <a:off x="0" y="0"/>
                      <a:ext cx="3086100" cy="2318385"/>
                    </a:xfrm>
                    <a:prstGeom prst="rect">
                      <a:avLst/>
                    </a:prstGeom>
                  </pic:spPr>
                </pic:pic>
              </a:graphicData>
            </a:graphic>
          </wp:inline>
        </w:drawing>
      </w:r>
    </w:p>
    <w:p w14:paraId="3FBEF5C4" w14:textId="77777777" w:rsidR="007F53C8" w:rsidRDefault="002E4F82" w:rsidP="007F53C8">
      <w:pPr>
        <w:pStyle w:val="Caption"/>
        <w:jc w:val="center"/>
      </w:pPr>
      <w:r>
        <w:t xml:space="preserve">Figure </w:t>
      </w:r>
      <w:fldSimple w:instr=" SEQ Figure \* ARABIC ">
        <w:r w:rsidR="008E72BA">
          <w:rPr>
            <w:noProof/>
          </w:rPr>
          <w:t>2</w:t>
        </w:r>
      </w:fldSimple>
      <w:r>
        <w:t>: Multilingual communities and their activity</w:t>
      </w:r>
    </w:p>
    <w:p w14:paraId="0DA26C97" w14:textId="5A604632" w:rsidR="007F53C8" w:rsidRDefault="007F53C8" w:rsidP="007F53C8">
      <w:pPr>
        <w:pStyle w:val="BodyText"/>
        <w:ind w:firstLine="0"/>
      </w:pPr>
      <w:r>
        <w:tab/>
      </w:r>
      <w:r w:rsidR="008E72BA">
        <w:t xml:space="preserve">A closer look at the behavior of these communities shows that, </w:t>
      </w:r>
      <w:r w:rsidR="003751EF">
        <w:t>in general</w:t>
      </w:r>
      <w:r w:rsidR="008E72BA">
        <w:t>, activity per user increases as num</w:t>
      </w:r>
      <w:r w:rsidR="003751EF">
        <w:t xml:space="preserve">ber of used languages increase, as </w:t>
      </w:r>
      <w:r w:rsidR="00684129">
        <w:t xml:space="preserve">shown in Figure 3 below. </w:t>
      </w:r>
      <w:r w:rsidR="008E72BA">
        <w:t xml:space="preserve"> </w:t>
      </w:r>
    </w:p>
    <w:p w14:paraId="4C343D40" w14:textId="2875BBD5" w:rsidR="00267343" w:rsidRDefault="00267343" w:rsidP="007F53C8">
      <w:pPr>
        <w:pStyle w:val="BodyText"/>
        <w:ind w:firstLine="0"/>
      </w:pPr>
      <w:r>
        <w:tab/>
      </w:r>
      <w:r w:rsidR="00E3086A">
        <w:t xml:space="preserve">Although we cannot conclude that there is a correlation between </w:t>
      </w:r>
      <w:r>
        <w:t xml:space="preserve">high multilingualism </w:t>
      </w:r>
      <w:r w:rsidR="00E3086A">
        <w:t xml:space="preserve">and illegitimacy of accounts, this </w:t>
      </w:r>
      <w:r>
        <w:t>would be an interesting further research to consider</w:t>
      </w:r>
      <w:r w:rsidR="00E3086A">
        <w:t>.</w:t>
      </w:r>
      <w:r>
        <w:t xml:space="preserve"> </w:t>
      </w:r>
    </w:p>
    <w:p w14:paraId="77106D0B" w14:textId="77777777" w:rsidR="00267343" w:rsidRPr="007F53C8" w:rsidRDefault="00267343" w:rsidP="007F53C8">
      <w:pPr>
        <w:pStyle w:val="BodyText"/>
        <w:ind w:firstLine="0"/>
      </w:pPr>
    </w:p>
    <w:p w14:paraId="4091B559" w14:textId="77777777" w:rsidR="008E72BA" w:rsidRDefault="00072C13" w:rsidP="008E72BA">
      <w:pPr>
        <w:pStyle w:val="Caption"/>
        <w:keepNext/>
        <w:jc w:val="center"/>
      </w:pPr>
      <w:r>
        <w:rPr>
          <w:noProof/>
          <w:lang w:val="en-US"/>
        </w:rPr>
        <w:lastRenderedPageBreak/>
        <w:drawing>
          <wp:inline distT="0" distB="0" distL="0" distR="0" wp14:anchorId="4BE7AA6A" wp14:editId="1E188853">
            <wp:extent cx="3086100" cy="2174875"/>
            <wp:effectExtent l="0" t="0" r="1270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of_multilingual_users.PNG"/>
                    <pic:cNvPicPr/>
                  </pic:nvPicPr>
                  <pic:blipFill>
                    <a:blip r:embed="rId11">
                      <a:extLst>
                        <a:ext uri="{28A0092B-C50C-407E-A947-70E740481C1C}">
                          <a14:useLocalDpi xmlns:a14="http://schemas.microsoft.com/office/drawing/2010/main" val="0"/>
                        </a:ext>
                      </a:extLst>
                    </a:blip>
                    <a:stretch>
                      <a:fillRect/>
                    </a:stretch>
                  </pic:blipFill>
                  <pic:spPr>
                    <a:xfrm>
                      <a:off x="0" y="0"/>
                      <a:ext cx="3086100" cy="2174875"/>
                    </a:xfrm>
                    <a:prstGeom prst="rect">
                      <a:avLst/>
                    </a:prstGeom>
                  </pic:spPr>
                </pic:pic>
              </a:graphicData>
            </a:graphic>
          </wp:inline>
        </w:drawing>
      </w:r>
    </w:p>
    <w:p w14:paraId="6BAF990F" w14:textId="37976776" w:rsidR="00435010" w:rsidRPr="0099061C" w:rsidRDefault="008E72BA" w:rsidP="008E72BA">
      <w:pPr>
        <w:pStyle w:val="Caption"/>
        <w:jc w:val="center"/>
      </w:pPr>
      <w:r>
        <w:t xml:space="preserve">Figure </w:t>
      </w:r>
      <w:fldSimple w:instr=" SEQ Figure \* ARABIC ">
        <w:r>
          <w:rPr>
            <w:noProof/>
          </w:rPr>
          <w:t>3</w:t>
        </w:r>
      </w:fldSimple>
      <w:r>
        <w:t>: Average of posts per user for multilingual communities</w:t>
      </w:r>
    </w:p>
    <w:p w14:paraId="4A8FC90A" w14:textId="77777777" w:rsidR="008339D0" w:rsidRDefault="008339D0" w:rsidP="008339D0">
      <w:pPr>
        <w:pStyle w:val="Heading1"/>
        <w:rPr>
          <w:lang w:val="en-GB"/>
        </w:rPr>
      </w:pPr>
      <w:bookmarkStart w:id="3" w:name="_Toc452425916"/>
      <w:bookmarkStart w:id="4" w:name="_Toc452426123"/>
      <w:r>
        <w:t>Conclusion</w:t>
      </w:r>
      <w:bookmarkEnd w:id="3"/>
      <w:bookmarkEnd w:id="4"/>
    </w:p>
    <w:p w14:paraId="6EF40AEB" w14:textId="77777777" w:rsidR="004D0D88" w:rsidRDefault="00E72439" w:rsidP="00E72439">
      <w:pPr>
        <w:pStyle w:val="BodyText"/>
      </w:pPr>
      <w:bookmarkStart w:id="5" w:name="_Toc452426124"/>
      <w:r>
        <w:t xml:space="preserve">This paper presented a study in identifying languages used, language </w:t>
      </w:r>
      <w:r w:rsidR="001473C8">
        <w:t xml:space="preserve">and multilingual </w:t>
      </w:r>
      <w:r>
        <w:t>communities</w:t>
      </w:r>
      <w:r w:rsidR="004D0D88">
        <w:t>,</w:t>
      </w:r>
      <w:r>
        <w:t xml:space="preserve"> and their engagement and interactions on the Twitter platform with respect to real world events, in this instance using the </w:t>
      </w:r>
      <w:r w:rsidR="001473C8">
        <w:t xml:space="preserve">Eurovision Song Contest </w:t>
      </w:r>
      <w:r w:rsidR="004D0D88">
        <w:t xml:space="preserve">happened in early </w:t>
      </w:r>
      <w:r w:rsidR="001473C8">
        <w:t xml:space="preserve">May </w:t>
      </w:r>
      <w:r>
        <w:t>201</w:t>
      </w:r>
      <w:r w:rsidR="001473C8">
        <w:t xml:space="preserve">6. </w:t>
      </w:r>
    </w:p>
    <w:p w14:paraId="3A71E28D" w14:textId="2353DF0C" w:rsidR="003751EF" w:rsidRDefault="001473C8" w:rsidP="00E72439">
      <w:pPr>
        <w:pStyle w:val="BodyText"/>
      </w:pPr>
      <w:r>
        <w:t xml:space="preserve">As we discussed in section III, there is a positive relationship between size of profile and posting communities. We also </w:t>
      </w:r>
      <w:r w:rsidR="00B93108">
        <w:t>showed</w:t>
      </w:r>
      <w:r>
        <w:t xml:space="preserve"> that a big number in participating profile community does not necessarily imply high</w:t>
      </w:r>
      <w:r w:rsidR="00E0418A">
        <w:t xml:space="preserve"> </w:t>
      </w:r>
      <w:r w:rsidR="00B93108">
        <w:t>language diversity</w:t>
      </w:r>
      <w:r w:rsidR="00E0418A">
        <w:t xml:space="preserve">, and that diversity may </w:t>
      </w:r>
      <w:r w:rsidR="00B93108">
        <w:t>results</w:t>
      </w:r>
      <w:r w:rsidR="00E0418A">
        <w:t xml:space="preserve"> from small profile </w:t>
      </w:r>
      <w:r w:rsidR="002E7197">
        <w:t>community</w:t>
      </w:r>
      <w:r w:rsidR="00E0418A">
        <w:t xml:space="preserve">. </w:t>
      </w:r>
    </w:p>
    <w:p w14:paraId="0851D2D5" w14:textId="2C0E517E" w:rsidR="00B93108" w:rsidRDefault="00E0418A" w:rsidP="00EE6621">
      <w:pPr>
        <w:pStyle w:val="BodyText"/>
      </w:pPr>
      <w:r>
        <w:t xml:space="preserve">We also </w:t>
      </w:r>
      <w:r w:rsidR="00B93108">
        <w:t xml:space="preserve">presented </w:t>
      </w:r>
      <w:r w:rsidR="00EE6621">
        <w:t>structure</w:t>
      </w:r>
      <w:r w:rsidR="00B93108">
        <w:t xml:space="preserve"> of multilingual communities </w:t>
      </w:r>
      <w:r w:rsidR="00EE6621">
        <w:t xml:space="preserve">and their activity. </w:t>
      </w:r>
      <w:r w:rsidR="00FB127A">
        <w:t>Although most users may use their own profile language</w:t>
      </w:r>
      <w:r w:rsidR="00B65C0F">
        <w:t xml:space="preserve"> in posting</w:t>
      </w:r>
      <w:r w:rsidR="00FB127A">
        <w:t>, most of the activity came from multilingual users. In few cases, users may use a questionable number of languages</w:t>
      </w:r>
      <w:r w:rsidR="00B65C0F">
        <w:t xml:space="preserve">, up to </w:t>
      </w:r>
      <w:r w:rsidR="00FB127A">
        <w:t>25</w:t>
      </w:r>
      <w:r w:rsidR="00B65C0F">
        <w:t xml:space="preserve"> different languages</w:t>
      </w:r>
      <w:r w:rsidR="00FB127A">
        <w:t>. These extreme cases may be very interesting to</w:t>
      </w:r>
      <w:r w:rsidR="00EF0A77">
        <w:t xml:space="preserve"> inv</w:t>
      </w:r>
      <w:r w:rsidR="00935CC1">
        <w:t xml:space="preserve">estigate for possible spammers detection or for sociolinguistics in moderate cases. </w:t>
      </w:r>
    </w:p>
    <w:p w14:paraId="4611F91D" w14:textId="5388E67E" w:rsidR="00B93108" w:rsidRDefault="00B93108" w:rsidP="00003A96">
      <w:pPr>
        <w:widowControl w:val="0"/>
        <w:autoSpaceDE w:val="0"/>
        <w:autoSpaceDN w:val="0"/>
        <w:adjustRightInd w:val="0"/>
        <w:ind w:firstLine="288"/>
        <w:jc w:val="both"/>
        <w:rPr>
          <w:lang w:eastAsia="en-GB"/>
        </w:rPr>
      </w:pPr>
      <w:r>
        <w:rPr>
          <w:lang w:eastAsia="en-GB"/>
        </w:rPr>
        <w:t>The method we presented here can be used in identifying how communities interact with one another, which ones are most active, which languages are mostly used, and at what time. Moreover, within certain contexts, the order of applying these two classifications (posting and profile) will generate results</w:t>
      </w:r>
      <w:r w:rsidR="00C913C1">
        <w:rPr>
          <w:lang w:eastAsia="en-GB"/>
        </w:rPr>
        <w:t xml:space="preserve"> in different perspectives</w:t>
      </w:r>
      <w:r>
        <w:rPr>
          <w:lang w:eastAsia="en-GB"/>
        </w:rPr>
        <w:t xml:space="preserve">. For example, taking one profile community and dividing it into different posting communities shows the number of languages this community may use, and hence degree of openness and reachability. </w:t>
      </w:r>
      <w:proofErr w:type="gramStart"/>
      <w:r>
        <w:rPr>
          <w:lang w:eastAsia="en-GB"/>
        </w:rPr>
        <w:t>A possible scenario for</w:t>
      </w:r>
      <w:r w:rsidR="00EE6621">
        <w:rPr>
          <w:lang w:eastAsia="en-GB"/>
        </w:rPr>
        <w:t xml:space="preserve"> governments, </w:t>
      </w:r>
      <w:r>
        <w:rPr>
          <w:lang w:eastAsia="en-GB"/>
        </w:rPr>
        <w:t>politicians or campaigners would be to use this method to measure to what extent other languages are</w:t>
      </w:r>
      <w:proofErr w:type="gramEnd"/>
      <w:r>
        <w:rPr>
          <w:lang w:eastAsia="en-GB"/>
        </w:rPr>
        <w:t xml:space="preserve"> used within a profile community. It may also show how users associate themselves with one community in their profile while using other languages. Monitoring unusual activity for secondary languages</w:t>
      </w:r>
      <w:r w:rsidR="00C913C1">
        <w:rPr>
          <w:lang w:eastAsia="en-GB"/>
        </w:rPr>
        <w:t>, in multilingual communities,</w:t>
      </w:r>
      <w:r>
        <w:rPr>
          <w:lang w:eastAsia="en-GB"/>
        </w:rPr>
        <w:t xml:space="preserve"> may help to uncover important messages or opinions that could not be openly expressed, for a variety of reasons, to the rest of the </w:t>
      </w:r>
      <w:r>
        <w:rPr>
          <w:lang w:eastAsia="en-GB"/>
        </w:rPr>
        <w:lastRenderedPageBreak/>
        <w:t>profile community.</w:t>
      </w:r>
    </w:p>
    <w:p w14:paraId="4092E4AA" w14:textId="77777777" w:rsidR="002E7197" w:rsidRDefault="002E7197" w:rsidP="00003A96">
      <w:pPr>
        <w:widowControl w:val="0"/>
        <w:autoSpaceDE w:val="0"/>
        <w:autoSpaceDN w:val="0"/>
        <w:adjustRightInd w:val="0"/>
        <w:ind w:firstLine="288"/>
        <w:jc w:val="both"/>
        <w:rPr>
          <w:lang w:eastAsia="en-GB"/>
        </w:rPr>
      </w:pPr>
    </w:p>
    <w:p w14:paraId="5E5B287F" w14:textId="7A9B1749" w:rsidR="002E7197" w:rsidRPr="001764F4" w:rsidRDefault="002E7197" w:rsidP="001764F4">
      <w:pPr>
        <w:widowControl w:val="0"/>
        <w:autoSpaceDE w:val="0"/>
        <w:autoSpaceDN w:val="0"/>
        <w:adjustRightInd w:val="0"/>
        <w:ind w:firstLine="288"/>
        <w:jc w:val="both"/>
        <w:rPr>
          <w:color w:val="000000"/>
          <w:lang w:eastAsia="en-GB"/>
        </w:rPr>
      </w:pPr>
      <w:r>
        <w:rPr>
          <w:color w:val="000000"/>
          <w:lang w:eastAsia="en-GB"/>
        </w:rPr>
        <w:t xml:space="preserve">For future work, we plan to </w:t>
      </w:r>
      <w:r w:rsidR="001764F4">
        <w:rPr>
          <w:color w:val="000000"/>
          <w:lang w:eastAsia="en-GB"/>
        </w:rPr>
        <w:t xml:space="preserve">have a deeper </w:t>
      </w:r>
      <w:r>
        <w:rPr>
          <w:color w:val="000000"/>
          <w:lang w:eastAsia="en-GB"/>
        </w:rPr>
        <w:t xml:space="preserve">look at </w:t>
      </w:r>
      <w:r w:rsidR="001764F4">
        <w:rPr>
          <w:color w:val="000000"/>
          <w:lang w:eastAsia="en-GB"/>
        </w:rPr>
        <w:t xml:space="preserve">how multilingual communities participate and their </w:t>
      </w:r>
      <w:r>
        <w:rPr>
          <w:color w:val="000000"/>
          <w:lang w:eastAsia="en-GB"/>
        </w:rPr>
        <w:t>reactions</w:t>
      </w:r>
      <w:r w:rsidR="001764F4">
        <w:rPr>
          <w:color w:val="000000"/>
          <w:lang w:eastAsia="en-GB"/>
        </w:rPr>
        <w:t xml:space="preserve"> </w:t>
      </w:r>
      <w:r w:rsidR="00C913C1">
        <w:rPr>
          <w:color w:val="000000"/>
          <w:lang w:eastAsia="en-GB"/>
        </w:rPr>
        <w:t>network</w:t>
      </w:r>
      <w:r>
        <w:rPr>
          <w:color w:val="000000"/>
          <w:lang w:eastAsia="en-GB"/>
        </w:rPr>
        <w:t>. We believe</w:t>
      </w:r>
      <w:r w:rsidR="001764F4">
        <w:rPr>
          <w:color w:val="000000"/>
          <w:lang w:eastAsia="en-GB"/>
        </w:rPr>
        <w:t xml:space="preserve"> </w:t>
      </w:r>
      <w:r>
        <w:rPr>
          <w:color w:val="000000"/>
          <w:lang w:eastAsia="en-GB"/>
        </w:rPr>
        <w:t xml:space="preserve">that differentiation between endorsements (e.g. </w:t>
      </w:r>
      <w:proofErr w:type="spellStart"/>
      <w:r>
        <w:rPr>
          <w:color w:val="000000"/>
          <w:lang w:eastAsia="en-GB"/>
        </w:rPr>
        <w:t>retweets</w:t>
      </w:r>
      <w:proofErr w:type="spellEnd"/>
      <w:r>
        <w:rPr>
          <w:color w:val="000000"/>
          <w:lang w:eastAsia="en-GB"/>
        </w:rPr>
        <w:t>) and</w:t>
      </w:r>
      <w:r>
        <w:rPr>
          <w:lang w:eastAsia="en-GB"/>
        </w:rPr>
        <w:t xml:space="preserve"> other reactions may provide further insight into the networks and communities. Furthermore, we will apply the methods presented in this paper on othe</w:t>
      </w:r>
      <w:r w:rsidR="00C913C1">
        <w:rPr>
          <w:lang w:eastAsia="en-GB"/>
        </w:rPr>
        <w:t>r high-profile event/discussion</w:t>
      </w:r>
      <w:r>
        <w:rPr>
          <w:lang w:eastAsia="en-GB"/>
        </w:rPr>
        <w:t xml:space="preserve"> datasets in different domains o</w:t>
      </w:r>
      <w:r w:rsidR="00C913C1">
        <w:rPr>
          <w:lang w:eastAsia="en-GB"/>
        </w:rPr>
        <w:t xml:space="preserve">r contexts, such as for sports </w:t>
      </w:r>
      <w:r>
        <w:rPr>
          <w:lang w:eastAsia="en-GB"/>
        </w:rPr>
        <w:t>and humanitarian actions.</w:t>
      </w:r>
    </w:p>
    <w:p w14:paraId="6782B6D8" w14:textId="77777777" w:rsidR="008339D0" w:rsidRDefault="008339D0" w:rsidP="008339D0">
      <w:pPr>
        <w:pStyle w:val="Heading5"/>
      </w:pPr>
      <w:r>
        <w:t>Acknowledgment</w:t>
      </w:r>
      <w:bookmarkEnd w:id="5"/>
      <w:r>
        <w:t xml:space="preserve"> </w:t>
      </w:r>
    </w:p>
    <w:p w14:paraId="1CAD7328" w14:textId="77777777" w:rsidR="008339D0" w:rsidRPr="00D37BDC" w:rsidRDefault="008339D0" w:rsidP="008339D0">
      <w:pPr>
        <w:pStyle w:val="Heading5"/>
        <w:rPr>
          <w:b/>
          <w:bCs/>
          <w:color w:val="000000"/>
          <w:sz w:val="32"/>
          <w:szCs w:val="32"/>
        </w:rPr>
      </w:pPr>
      <w:bookmarkStart w:id="6" w:name="_Toc452426125"/>
      <w:r>
        <w:t>References</w:t>
      </w:r>
      <w:bookmarkEnd w:id="6"/>
    </w:p>
    <w:p w14:paraId="45279495" w14:textId="77777777" w:rsidR="007C579A" w:rsidRPr="007C579A" w:rsidRDefault="008339D0" w:rsidP="007C579A">
      <w:pPr>
        <w:pStyle w:val="references"/>
      </w:pPr>
      <w:r>
        <w:fldChar w:fldCharType="begin" w:fldLock="1"/>
      </w:r>
      <w:r w:rsidRPr="000D6558">
        <w:instrText xml:space="preserve">ADDIN Mendeley Bibliography CSL_BIBLIOGRAPHY </w:instrText>
      </w:r>
      <w:r>
        <w:fldChar w:fldCharType="separate"/>
      </w:r>
      <w:r w:rsidR="007C579A" w:rsidRPr="007C579A">
        <w:t>[1]</w:t>
      </w:r>
      <w:r w:rsidR="007C579A" w:rsidRPr="007C579A">
        <w:tab/>
        <w:t xml:space="preserve">G. Lotan, E. Graeff, M. Ananny, D. Gaffney, I. Pearce, and D. Boyd, “The Revolutions Were Tweeted: Information Flows during the 2011 Tunisian and Egyptian Revolutions,” </w:t>
      </w:r>
      <w:r w:rsidR="007C579A" w:rsidRPr="007C579A">
        <w:rPr>
          <w:i/>
          <w:iCs/>
        </w:rPr>
        <w:t>Int. J. Commun.</w:t>
      </w:r>
      <w:r w:rsidR="007C579A" w:rsidRPr="007C579A">
        <w:t>, vol. 5, p. 31, 2011.</w:t>
      </w:r>
    </w:p>
    <w:p w14:paraId="1A7BE3CF" w14:textId="77777777" w:rsidR="007C579A" w:rsidRPr="007C579A" w:rsidRDefault="007C579A" w:rsidP="007C579A">
      <w:pPr>
        <w:pStyle w:val="references"/>
      </w:pPr>
      <w:r w:rsidRPr="007C579A">
        <w:t>[2]</w:t>
      </w:r>
      <w:r w:rsidRPr="007C579A">
        <w:tab/>
        <w:t>P. N. Howard, A. Duffy, D. Freelon, M. Hussain, W. Mari, and M. Mazaid, “Opening Closed Regimes. What Was the Role of Social Media During the Arab Spring?,” 2011.</w:t>
      </w:r>
    </w:p>
    <w:p w14:paraId="1DDF4136" w14:textId="77777777" w:rsidR="007C579A" w:rsidRPr="007C579A" w:rsidRDefault="007C579A" w:rsidP="007C579A">
      <w:pPr>
        <w:pStyle w:val="references"/>
      </w:pPr>
      <w:r w:rsidRPr="007C579A">
        <w:t>[3]</w:t>
      </w:r>
      <w:r w:rsidRPr="007C579A">
        <w:tab/>
        <w:t xml:space="preserve">A. Tumasjan, T. O. Sprenger, P. G. Sandner, and I. M. Welpe, “Predicting Elections with Twitter,” in </w:t>
      </w:r>
      <w:r w:rsidRPr="007C579A">
        <w:rPr>
          <w:i/>
          <w:iCs/>
        </w:rPr>
        <w:t>Proceedings of the Fourth International AAAI Conference on Weblogs and Social Media</w:t>
      </w:r>
      <w:r w:rsidRPr="007C579A">
        <w:t>, 2010, pp. 178–185.</w:t>
      </w:r>
    </w:p>
    <w:p w14:paraId="18D57343" w14:textId="77777777" w:rsidR="007C579A" w:rsidRPr="007C579A" w:rsidRDefault="007C579A" w:rsidP="007C579A">
      <w:pPr>
        <w:pStyle w:val="references"/>
      </w:pPr>
      <w:r w:rsidRPr="007C579A">
        <w:t>[4]</w:t>
      </w:r>
      <w:r w:rsidRPr="007C579A">
        <w:tab/>
        <w:t xml:space="preserve">M. S. Gerber, “Predicting crime using Twitter and kernel density estimation,” </w:t>
      </w:r>
      <w:r w:rsidRPr="007C579A">
        <w:rPr>
          <w:i/>
          <w:iCs/>
        </w:rPr>
        <w:t>Decis. Support Syst.</w:t>
      </w:r>
      <w:r w:rsidRPr="007C579A">
        <w:t>, vol. 61, pp. 115–125, 2014.</w:t>
      </w:r>
    </w:p>
    <w:p w14:paraId="4FB37F1F" w14:textId="77777777" w:rsidR="007C579A" w:rsidRPr="007C579A" w:rsidRDefault="007C579A" w:rsidP="007C579A">
      <w:pPr>
        <w:pStyle w:val="references"/>
      </w:pPr>
      <w:r w:rsidRPr="007C579A">
        <w:t>[5]</w:t>
      </w:r>
      <w:r w:rsidRPr="007C579A">
        <w:tab/>
        <w:t xml:space="preserve">X. Zhang, H. Fuehres, and P. A. Gloor, “Predicting Stock Market Indicators Through Twitter ‘I hope it is not as bad as I fear,’” </w:t>
      </w:r>
      <w:r w:rsidRPr="007C579A">
        <w:rPr>
          <w:i/>
          <w:iCs/>
        </w:rPr>
        <w:t>Procedia - Social and Behavioral Sciences</w:t>
      </w:r>
      <w:r w:rsidRPr="007C579A">
        <w:t>, vol. 26. pp. 55–62, 2011.</w:t>
      </w:r>
    </w:p>
    <w:p w14:paraId="3420A16D" w14:textId="77777777" w:rsidR="007C579A" w:rsidRPr="007C579A" w:rsidRDefault="007C579A" w:rsidP="007C579A">
      <w:pPr>
        <w:pStyle w:val="references"/>
      </w:pPr>
      <w:r w:rsidRPr="007C579A">
        <w:t>[6]</w:t>
      </w:r>
      <w:r w:rsidRPr="007C579A">
        <w:tab/>
        <w:t xml:space="preserve">A. Willis, A. Fisher, and I. Lvov, “Mapping networks of influence : Tracking Twitter conversations through time and space,” </w:t>
      </w:r>
      <w:r w:rsidRPr="007C579A">
        <w:rPr>
          <w:i/>
          <w:iCs/>
        </w:rPr>
        <w:t>J. Audience Recept. Stud.</w:t>
      </w:r>
      <w:r w:rsidRPr="007C579A">
        <w:t>, vol. 12, no. 1, pp. 494–530, 2015.</w:t>
      </w:r>
    </w:p>
    <w:p w14:paraId="62DDB247" w14:textId="77777777" w:rsidR="007C579A" w:rsidRPr="007C579A" w:rsidRDefault="007C579A" w:rsidP="007C579A">
      <w:pPr>
        <w:pStyle w:val="references"/>
      </w:pPr>
      <w:r w:rsidRPr="007C579A">
        <w:t>[7]</w:t>
      </w:r>
      <w:r w:rsidRPr="007C579A">
        <w:tab/>
        <w:t xml:space="preserve">G. Oatley and T. Crick, “Measuring UK crime gangs,” </w:t>
      </w:r>
      <w:r w:rsidRPr="007C579A">
        <w:rPr>
          <w:i/>
          <w:iCs/>
        </w:rPr>
        <w:t>ASONAM 2014 - Proc. 2014 IEEE/ACM Int. Conf. Adv. Soc. Networks Anal. Min.</w:t>
      </w:r>
      <w:r w:rsidRPr="007C579A">
        <w:t>, no. Asonam, pp. 253–256, 2014.</w:t>
      </w:r>
    </w:p>
    <w:p w14:paraId="6E0D4C45" w14:textId="77777777" w:rsidR="007C579A" w:rsidRPr="007C579A" w:rsidRDefault="007C579A" w:rsidP="007C579A">
      <w:pPr>
        <w:pStyle w:val="references"/>
      </w:pPr>
      <w:r w:rsidRPr="007C579A">
        <w:t>[8]</w:t>
      </w:r>
      <w:r w:rsidRPr="007C579A">
        <w:tab/>
        <w:t xml:space="preserve">R. Kang, S. Brown, and S. Kiesler, “Why do people seek anonymity on the internet?,” </w:t>
      </w:r>
      <w:r w:rsidRPr="007C579A">
        <w:rPr>
          <w:i/>
          <w:iCs/>
        </w:rPr>
        <w:t>Proc. SIGCHI Conf. Hum. Factors Comput. Syst. - CHI ’13</w:t>
      </w:r>
      <w:r w:rsidRPr="007C579A">
        <w:t>, p. 2657, 2013.</w:t>
      </w:r>
    </w:p>
    <w:p w14:paraId="0F33E449" w14:textId="77777777" w:rsidR="007C579A" w:rsidRPr="007C579A" w:rsidRDefault="007C579A" w:rsidP="007C579A">
      <w:pPr>
        <w:pStyle w:val="references"/>
      </w:pPr>
      <w:r w:rsidRPr="007C579A">
        <w:t>[9]</w:t>
      </w:r>
      <w:r w:rsidRPr="007C579A">
        <w:tab/>
        <w:t xml:space="preserve">F. Morstatter, J. Pfeffer, H. Liu, and K. Carley, “Is the sample good enough? Comparing data from Twitter’s streaming API with Twitter's firehose,” </w:t>
      </w:r>
      <w:r w:rsidRPr="007C579A">
        <w:rPr>
          <w:i/>
          <w:iCs/>
        </w:rPr>
        <w:t>Proc. ICWSM</w:t>
      </w:r>
      <w:r w:rsidRPr="007C579A">
        <w:t>, pp. 400–408, 2013.</w:t>
      </w:r>
    </w:p>
    <w:p w14:paraId="54C989AD" w14:textId="77777777" w:rsidR="007C579A" w:rsidRPr="007C579A" w:rsidRDefault="007C579A" w:rsidP="007C579A">
      <w:pPr>
        <w:pStyle w:val="references"/>
      </w:pPr>
      <w:r w:rsidRPr="007C579A">
        <w:t>[10]</w:t>
      </w:r>
      <w:r w:rsidRPr="007C579A">
        <w:tab/>
        <w:t>S. Kumar, F. Morstatter, and H. Liu, “Twitter Data Analytics,” p. 89, 2013.</w:t>
      </w:r>
    </w:p>
    <w:p w14:paraId="52B3A4C9" w14:textId="77777777" w:rsidR="007C579A" w:rsidRPr="007C579A" w:rsidRDefault="007C579A" w:rsidP="007C579A">
      <w:pPr>
        <w:pStyle w:val="references"/>
      </w:pPr>
      <w:r w:rsidRPr="007C579A">
        <w:t>[11]</w:t>
      </w:r>
      <w:r w:rsidRPr="007C579A">
        <w:tab/>
        <w:t xml:space="preserve">L. Tan, S. Ponnam, P. Gillham, B. Edwards, and E. Johnson, “Analyzing the impact of social media on social movements: a computational study on Twitter and the Occupy Wall Street movement,” in </w:t>
      </w:r>
      <w:r w:rsidRPr="007C579A">
        <w:rPr>
          <w:i/>
          <w:iCs/>
        </w:rPr>
        <w:t>Advances in Social Networks Analysis and Mining (ASONAM), 2013 IEEE/ACM International Conference on</w:t>
      </w:r>
      <w:r w:rsidRPr="007C579A">
        <w:t>, 2013, pp. 1259–1266.</w:t>
      </w:r>
    </w:p>
    <w:p w14:paraId="50C5A549" w14:textId="77777777" w:rsidR="007C579A" w:rsidRPr="007C579A" w:rsidRDefault="007C579A" w:rsidP="007C579A">
      <w:pPr>
        <w:pStyle w:val="references"/>
      </w:pPr>
      <w:r w:rsidRPr="007C579A">
        <w:t>[12]</w:t>
      </w:r>
      <w:r w:rsidRPr="007C579A">
        <w:tab/>
        <w:t>Twitter, “Twitter API Documentation.” .</w:t>
      </w:r>
    </w:p>
    <w:p w14:paraId="4962BB6F" w14:textId="77777777" w:rsidR="007C579A" w:rsidRPr="007C579A" w:rsidRDefault="007C579A" w:rsidP="007C579A">
      <w:pPr>
        <w:pStyle w:val="references"/>
      </w:pPr>
      <w:r w:rsidRPr="007C579A">
        <w:t>[13]</w:t>
      </w:r>
      <w:r w:rsidRPr="007C579A">
        <w:tab/>
        <w:t>M. Graham, S. Hale, and Gaffney</w:t>
      </w:r>
      <w:r w:rsidRPr="007C579A">
        <w:rPr>
          <w:rFonts w:ascii="MS Mincho" w:eastAsia="MS Mincho" w:hAnsi="MS Mincho" w:cs="MS Mincho" w:hint="eastAsia"/>
        </w:rPr>
        <w:t>，</w:t>
      </w:r>
      <w:r w:rsidRPr="007C579A">
        <w:t xml:space="preserve">Devin, “Where in the world are you ? Geolocation and language identification in Twitter,” </w:t>
      </w:r>
      <w:r w:rsidRPr="007C579A">
        <w:rPr>
          <w:i/>
          <w:iCs/>
        </w:rPr>
        <w:t>Prof. Geogr.</w:t>
      </w:r>
      <w:r w:rsidRPr="007C579A">
        <w:t>, vol. 00, no. 2013, p. 00, 2014.</w:t>
      </w:r>
    </w:p>
    <w:p w14:paraId="6BBD69F6" w14:textId="77777777" w:rsidR="007C579A" w:rsidRPr="007C579A" w:rsidRDefault="007C579A" w:rsidP="007C579A">
      <w:pPr>
        <w:pStyle w:val="references"/>
      </w:pPr>
      <w:r w:rsidRPr="007C579A">
        <w:t>[14]</w:t>
      </w:r>
      <w:r w:rsidRPr="007C579A">
        <w:tab/>
        <w:t>“Eurovision Song Contest website.” [Online]. Available: www.eurovision.tv. [Accessed: 25-May-2016].</w:t>
      </w:r>
    </w:p>
    <w:p w14:paraId="5C96FDFF" w14:textId="77777777" w:rsidR="007C579A" w:rsidRPr="007C579A" w:rsidRDefault="007C579A" w:rsidP="007C579A">
      <w:pPr>
        <w:pStyle w:val="references"/>
      </w:pPr>
      <w:r w:rsidRPr="007C579A">
        <w:t>[15]</w:t>
      </w:r>
      <w:r w:rsidRPr="007C579A">
        <w:tab/>
        <w:t xml:space="preserve">J. Berlinger, “Baltimore riots: A timeline,” </w:t>
      </w:r>
      <w:r w:rsidRPr="007C579A">
        <w:rPr>
          <w:i/>
          <w:iCs/>
        </w:rPr>
        <w:t>CNN</w:t>
      </w:r>
      <w:r w:rsidRPr="007C579A">
        <w:t>, 2015. [Online]. Available: http://edition.cnn.com/2015/04/27/us/baltimore-riots-timeline/index.html. [Accessed: 20-Sep-2015].</w:t>
      </w:r>
    </w:p>
    <w:p w14:paraId="279B14C0" w14:textId="77777777" w:rsidR="007C579A" w:rsidRPr="007C579A" w:rsidRDefault="007C579A" w:rsidP="007C579A">
      <w:pPr>
        <w:pStyle w:val="references"/>
      </w:pPr>
      <w:r w:rsidRPr="007C579A">
        <w:t>[16]</w:t>
      </w:r>
      <w:r w:rsidRPr="007C579A">
        <w:tab/>
        <w:t xml:space="preserve">A. Withnall, “Russian officials threaten to boycott next Eurovision after victory for ‘political’ Ukraine entry,” </w:t>
      </w:r>
      <w:r w:rsidRPr="007C579A">
        <w:rPr>
          <w:i/>
          <w:iCs/>
        </w:rPr>
        <w:t>The Independent</w:t>
      </w:r>
      <w:r w:rsidRPr="007C579A">
        <w:t>, 15-May-2016.</w:t>
      </w:r>
    </w:p>
    <w:p w14:paraId="0377DFEC" w14:textId="77777777" w:rsidR="007C579A" w:rsidRPr="007C579A" w:rsidRDefault="007C579A" w:rsidP="007C579A">
      <w:pPr>
        <w:pStyle w:val="references"/>
      </w:pPr>
      <w:r w:rsidRPr="007C579A">
        <w:lastRenderedPageBreak/>
        <w:t>[17]</w:t>
      </w:r>
      <w:r w:rsidRPr="007C579A">
        <w:tab/>
        <w:t xml:space="preserve">V. Ginsburgh and A. G. Noury, “The Eurovision Song Contest. Is voting political or cultural?,” </w:t>
      </w:r>
      <w:r w:rsidRPr="007C579A">
        <w:rPr>
          <w:i/>
          <w:iCs/>
        </w:rPr>
        <w:t>Eur. J. Polit. Econ.</w:t>
      </w:r>
      <w:r w:rsidRPr="007C579A">
        <w:t>, vol. 24, no. 1, pp. 41–52, 2008.</w:t>
      </w:r>
    </w:p>
    <w:p w14:paraId="28D60FDE" w14:textId="77777777" w:rsidR="007C579A" w:rsidRPr="007C579A" w:rsidRDefault="007C579A" w:rsidP="007C579A">
      <w:pPr>
        <w:pStyle w:val="references"/>
      </w:pPr>
      <w:r w:rsidRPr="007C579A">
        <w:t>[18]</w:t>
      </w:r>
      <w:r w:rsidRPr="007C579A">
        <w:tab/>
        <w:t xml:space="preserve">M. Blangiardo and G. Baio, “Evidence of bias in the Eurovision song contest: modelling the votes using Bayesian hierarchical models,” </w:t>
      </w:r>
      <w:r w:rsidRPr="007C579A">
        <w:rPr>
          <w:i/>
          <w:iCs/>
        </w:rPr>
        <w:t>J. Appl. Stat.</w:t>
      </w:r>
      <w:r w:rsidRPr="007C579A">
        <w:t>, no. January 2015, pp. 1–11, 2014.</w:t>
      </w:r>
    </w:p>
    <w:p w14:paraId="372B74CA" w14:textId="77777777" w:rsidR="007C579A" w:rsidRPr="007C579A" w:rsidRDefault="007C579A" w:rsidP="007C579A">
      <w:pPr>
        <w:pStyle w:val="references"/>
      </w:pPr>
      <w:r w:rsidRPr="007C579A">
        <w:t>[19]</w:t>
      </w:r>
      <w:r w:rsidRPr="007C579A">
        <w:tab/>
        <w:t xml:space="preserve">A. Kirk, J. Kempster, and S. Franco, “Eurovision 2016: How does country bias affect the result?,” </w:t>
      </w:r>
      <w:r w:rsidRPr="007C579A">
        <w:rPr>
          <w:i/>
          <w:iCs/>
        </w:rPr>
        <w:t>The Telegraph</w:t>
      </w:r>
      <w:r w:rsidRPr="007C579A">
        <w:t>, 23-May-2016.</w:t>
      </w:r>
    </w:p>
    <w:p w14:paraId="192C4B9E" w14:textId="77777777" w:rsidR="007C579A" w:rsidRPr="007C579A" w:rsidRDefault="007C579A" w:rsidP="007C579A">
      <w:pPr>
        <w:pStyle w:val="references"/>
      </w:pPr>
      <w:r w:rsidRPr="007C579A">
        <w:t>[20]</w:t>
      </w:r>
      <w:r w:rsidRPr="007C579A">
        <w:tab/>
        <w:t xml:space="preserve">M. E. J. Newman, “The structure and function of complex networks.,” </w:t>
      </w:r>
      <w:r w:rsidRPr="007C579A">
        <w:rPr>
          <w:i/>
          <w:iCs/>
        </w:rPr>
        <w:t>Dialogues Clin. Neurosci.</w:t>
      </w:r>
      <w:r w:rsidRPr="007C579A">
        <w:t>, vol. 45, pp. 167–256, 2003.</w:t>
      </w:r>
    </w:p>
    <w:p w14:paraId="535DA4E5" w14:textId="77777777" w:rsidR="0077456E" w:rsidRPr="00D17BD3" w:rsidRDefault="008339D0" w:rsidP="007C579A">
      <w:pPr>
        <w:pStyle w:val="references"/>
        <w:sectPr w:rsidR="0077456E" w:rsidRPr="00D17BD3" w:rsidSect="00D37BDC">
          <w:type w:val="continuous"/>
          <w:pgSz w:w="11909" w:h="16834" w:code="9"/>
          <w:pgMar w:top="1080" w:right="734" w:bottom="2434" w:left="734" w:header="720" w:footer="720" w:gutter="0"/>
          <w:cols w:num="2" w:space="720"/>
          <w:docGrid w:linePitch="360"/>
        </w:sectPr>
      </w:pPr>
      <w:r>
        <w:fldChar w:fldCharType="end"/>
      </w:r>
    </w:p>
    <w:p w14:paraId="4A8BBD62" w14:textId="77777777" w:rsidR="008A55B5" w:rsidRPr="004B4F9D" w:rsidRDefault="008A55B5" w:rsidP="004B4F9D">
      <w:pPr>
        <w:tabs>
          <w:tab w:val="left" w:pos="2326"/>
          <w:tab w:val="center" w:pos="5220"/>
        </w:tabs>
        <w:jc w:val="left"/>
      </w:pPr>
    </w:p>
    <w:sectPr w:rsidR="008A55B5" w:rsidRPr="004B4F9D" w:rsidSect="00AC44EC">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4B79A" w14:textId="77777777" w:rsidR="002E7197" w:rsidRDefault="002E7197" w:rsidP="00125EA6">
      <w:r>
        <w:separator/>
      </w:r>
    </w:p>
  </w:endnote>
  <w:endnote w:type="continuationSeparator" w:id="0">
    <w:p w14:paraId="4AB5967E" w14:textId="77777777" w:rsidR="002E7197" w:rsidRDefault="002E7197" w:rsidP="0012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Calibri Light">
    <w:altName w:val="Arial"/>
    <w:charset w:val="00"/>
    <w:family w:val="swiss"/>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Lucida Grande">
    <w:panose1 w:val="020B0600040502020204"/>
    <w:charset w:val="00"/>
    <w:family w:val="auto"/>
    <w:pitch w:val="variable"/>
    <w:sig w:usb0="E1000AEF" w:usb1="5000A1FF" w:usb2="00000000" w:usb3="00000000" w:csb0="000001B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2595D" w14:textId="77777777" w:rsidR="002E7197" w:rsidRDefault="002E7197" w:rsidP="00125EA6">
      <w:r>
        <w:separator/>
      </w:r>
    </w:p>
  </w:footnote>
  <w:footnote w:type="continuationSeparator" w:id="0">
    <w:p w14:paraId="7A14C46B" w14:textId="77777777" w:rsidR="002E7197" w:rsidRDefault="002E7197" w:rsidP="00125E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1B3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1742727"/>
    <w:multiLevelType w:val="hybridMultilevel"/>
    <w:tmpl w:val="9F643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21E871A5"/>
    <w:multiLevelType w:val="hybridMultilevel"/>
    <w:tmpl w:val="1DD6E8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0D6490B"/>
    <w:multiLevelType w:val="hybridMultilevel"/>
    <w:tmpl w:val="D4622D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30F77F5"/>
    <w:multiLevelType w:val="hybridMultilevel"/>
    <w:tmpl w:val="7194B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47E736D"/>
    <w:multiLevelType w:val="hybridMultilevel"/>
    <w:tmpl w:val="DE50203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8">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2"/>
  </w:num>
  <w:num w:numId="3">
    <w:abstractNumId w:val="4"/>
  </w:num>
  <w:num w:numId="4">
    <w:abstractNumId w:val="10"/>
  </w:num>
  <w:num w:numId="5">
    <w:abstractNumId w:val="10"/>
  </w:num>
  <w:num w:numId="6">
    <w:abstractNumId w:val="10"/>
  </w:num>
  <w:num w:numId="7">
    <w:abstractNumId w:val="10"/>
  </w:num>
  <w:num w:numId="8">
    <w:abstractNumId w:val="11"/>
  </w:num>
  <w:num w:numId="9">
    <w:abstractNumId w:val="13"/>
  </w:num>
  <w:num w:numId="10">
    <w:abstractNumId w:val="9"/>
  </w:num>
  <w:num w:numId="11">
    <w:abstractNumId w:val="1"/>
  </w:num>
  <w:num w:numId="12">
    <w:abstractNumId w:val="1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6"/>
  </w:num>
  <w:num w:numId="16">
    <w:abstractNumId w:val="3"/>
  </w:num>
  <w:num w:numId="17">
    <w:abstractNumId w:val="2"/>
  </w:num>
  <w:num w:numId="18">
    <w:abstractNumId w:val="10"/>
  </w:num>
  <w:num w:numId="19">
    <w:abstractNumId w:val="10"/>
  </w:num>
  <w:num w:numId="20">
    <w:abstractNumId w:val="10"/>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35CE"/>
    <w:rsid w:val="00003A96"/>
    <w:rsid w:val="00004F17"/>
    <w:rsid w:val="0003432A"/>
    <w:rsid w:val="000437E2"/>
    <w:rsid w:val="0004390D"/>
    <w:rsid w:val="000446D0"/>
    <w:rsid w:val="00045479"/>
    <w:rsid w:val="0005629D"/>
    <w:rsid w:val="000676B1"/>
    <w:rsid w:val="00072C13"/>
    <w:rsid w:val="00085093"/>
    <w:rsid w:val="00092C87"/>
    <w:rsid w:val="000956C4"/>
    <w:rsid w:val="000A4B70"/>
    <w:rsid w:val="000B4641"/>
    <w:rsid w:val="000B5518"/>
    <w:rsid w:val="000B577B"/>
    <w:rsid w:val="000D3075"/>
    <w:rsid w:val="000D3A81"/>
    <w:rsid w:val="000D6558"/>
    <w:rsid w:val="000E48E5"/>
    <w:rsid w:val="000F1C54"/>
    <w:rsid w:val="0010711E"/>
    <w:rsid w:val="001151CC"/>
    <w:rsid w:val="00117BFC"/>
    <w:rsid w:val="00125EA6"/>
    <w:rsid w:val="00127EDD"/>
    <w:rsid w:val="00136D94"/>
    <w:rsid w:val="001378B6"/>
    <w:rsid w:val="001473C8"/>
    <w:rsid w:val="00147E05"/>
    <w:rsid w:val="001565FE"/>
    <w:rsid w:val="00157ECA"/>
    <w:rsid w:val="0016715E"/>
    <w:rsid w:val="001749C9"/>
    <w:rsid w:val="001757DB"/>
    <w:rsid w:val="00175D0C"/>
    <w:rsid w:val="00176145"/>
    <w:rsid w:val="001764F4"/>
    <w:rsid w:val="001C341B"/>
    <w:rsid w:val="001F2326"/>
    <w:rsid w:val="00205B85"/>
    <w:rsid w:val="00207EA0"/>
    <w:rsid w:val="0021253E"/>
    <w:rsid w:val="00216428"/>
    <w:rsid w:val="00221165"/>
    <w:rsid w:val="00232446"/>
    <w:rsid w:val="0023673E"/>
    <w:rsid w:val="0024607F"/>
    <w:rsid w:val="00251C23"/>
    <w:rsid w:val="00257181"/>
    <w:rsid w:val="00267343"/>
    <w:rsid w:val="00276735"/>
    <w:rsid w:val="002864A3"/>
    <w:rsid w:val="00293A75"/>
    <w:rsid w:val="00297CFA"/>
    <w:rsid w:val="002A5DDA"/>
    <w:rsid w:val="002A672B"/>
    <w:rsid w:val="002A7245"/>
    <w:rsid w:val="002B3B81"/>
    <w:rsid w:val="002D3D6B"/>
    <w:rsid w:val="002D3D71"/>
    <w:rsid w:val="002E4F82"/>
    <w:rsid w:val="002E7197"/>
    <w:rsid w:val="002E7633"/>
    <w:rsid w:val="002F3405"/>
    <w:rsid w:val="002F7010"/>
    <w:rsid w:val="00301436"/>
    <w:rsid w:val="003107A2"/>
    <w:rsid w:val="003372DA"/>
    <w:rsid w:val="00344F71"/>
    <w:rsid w:val="00345269"/>
    <w:rsid w:val="00365E30"/>
    <w:rsid w:val="00367DFD"/>
    <w:rsid w:val="0037336A"/>
    <w:rsid w:val="003748F1"/>
    <w:rsid w:val="003751EF"/>
    <w:rsid w:val="00380E5E"/>
    <w:rsid w:val="003A2485"/>
    <w:rsid w:val="003A4421"/>
    <w:rsid w:val="003A47B5"/>
    <w:rsid w:val="003A59A6"/>
    <w:rsid w:val="003B535E"/>
    <w:rsid w:val="003C17A3"/>
    <w:rsid w:val="003D28C9"/>
    <w:rsid w:val="003E24F9"/>
    <w:rsid w:val="003F50F0"/>
    <w:rsid w:val="004059FE"/>
    <w:rsid w:val="00416C13"/>
    <w:rsid w:val="00416D03"/>
    <w:rsid w:val="00422358"/>
    <w:rsid w:val="00423310"/>
    <w:rsid w:val="00426669"/>
    <w:rsid w:val="00433941"/>
    <w:rsid w:val="00435010"/>
    <w:rsid w:val="004445B3"/>
    <w:rsid w:val="004506AF"/>
    <w:rsid w:val="0045435D"/>
    <w:rsid w:val="00454864"/>
    <w:rsid w:val="0045615F"/>
    <w:rsid w:val="0046061F"/>
    <w:rsid w:val="0047741A"/>
    <w:rsid w:val="00484B18"/>
    <w:rsid w:val="00490E46"/>
    <w:rsid w:val="004B0C1F"/>
    <w:rsid w:val="004B1277"/>
    <w:rsid w:val="004B4F9D"/>
    <w:rsid w:val="004B7EDF"/>
    <w:rsid w:val="004C3FC4"/>
    <w:rsid w:val="004C7F59"/>
    <w:rsid w:val="004D0D88"/>
    <w:rsid w:val="005054EA"/>
    <w:rsid w:val="005160D8"/>
    <w:rsid w:val="00536DA0"/>
    <w:rsid w:val="00540D74"/>
    <w:rsid w:val="00544703"/>
    <w:rsid w:val="00551346"/>
    <w:rsid w:val="00551DF6"/>
    <w:rsid w:val="00555084"/>
    <w:rsid w:val="0056311F"/>
    <w:rsid w:val="005737FB"/>
    <w:rsid w:val="00581F23"/>
    <w:rsid w:val="005B520E"/>
    <w:rsid w:val="005B535B"/>
    <w:rsid w:val="005C2E8B"/>
    <w:rsid w:val="005C592C"/>
    <w:rsid w:val="005C6D26"/>
    <w:rsid w:val="005E5DC5"/>
    <w:rsid w:val="00606478"/>
    <w:rsid w:val="006108A4"/>
    <w:rsid w:val="006157FA"/>
    <w:rsid w:val="00620556"/>
    <w:rsid w:val="00624ACF"/>
    <w:rsid w:val="00624FB9"/>
    <w:rsid w:val="0063573C"/>
    <w:rsid w:val="006543D0"/>
    <w:rsid w:val="006548D6"/>
    <w:rsid w:val="00665F88"/>
    <w:rsid w:val="006676A4"/>
    <w:rsid w:val="00684129"/>
    <w:rsid w:val="00686BB6"/>
    <w:rsid w:val="00695179"/>
    <w:rsid w:val="006A185D"/>
    <w:rsid w:val="006A1B3D"/>
    <w:rsid w:val="006A3DA4"/>
    <w:rsid w:val="006A482A"/>
    <w:rsid w:val="006A550B"/>
    <w:rsid w:val="006A576B"/>
    <w:rsid w:val="006B2963"/>
    <w:rsid w:val="006B3128"/>
    <w:rsid w:val="006C3772"/>
    <w:rsid w:val="006C462B"/>
    <w:rsid w:val="006C4648"/>
    <w:rsid w:val="006C71A4"/>
    <w:rsid w:val="006C79D7"/>
    <w:rsid w:val="006D2CD5"/>
    <w:rsid w:val="006D6904"/>
    <w:rsid w:val="006E33F5"/>
    <w:rsid w:val="006E4DF9"/>
    <w:rsid w:val="006F41AE"/>
    <w:rsid w:val="00704C07"/>
    <w:rsid w:val="0070585F"/>
    <w:rsid w:val="00711179"/>
    <w:rsid w:val="0071362F"/>
    <w:rsid w:val="00714F0E"/>
    <w:rsid w:val="0072064C"/>
    <w:rsid w:val="007442B3"/>
    <w:rsid w:val="007526BC"/>
    <w:rsid w:val="00753F7B"/>
    <w:rsid w:val="007726B2"/>
    <w:rsid w:val="0077456E"/>
    <w:rsid w:val="00777894"/>
    <w:rsid w:val="00782F7D"/>
    <w:rsid w:val="0078398E"/>
    <w:rsid w:val="00784839"/>
    <w:rsid w:val="00787C5A"/>
    <w:rsid w:val="007919DE"/>
    <w:rsid w:val="0079228E"/>
    <w:rsid w:val="007A4E9B"/>
    <w:rsid w:val="007A55D3"/>
    <w:rsid w:val="007B7E35"/>
    <w:rsid w:val="007B7F91"/>
    <w:rsid w:val="007C0308"/>
    <w:rsid w:val="007C579A"/>
    <w:rsid w:val="007D1D73"/>
    <w:rsid w:val="007D5854"/>
    <w:rsid w:val="007D5C38"/>
    <w:rsid w:val="007D74DE"/>
    <w:rsid w:val="007F53C8"/>
    <w:rsid w:val="007F66F0"/>
    <w:rsid w:val="008011F2"/>
    <w:rsid w:val="008014D2"/>
    <w:rsid w:val="008034E9"/>
    <w:rsid w:val="008054BC"/>
    <w:rsid w:val="00810872"/>
    <w:rsid w:val="008253C9"/>
    <w:rsid w:val="008339D0"/>
    <w:rsid w:val="008363EC"/>
    <w:rsid w:val="00842D80"/>
    <w:rsid w:val="008532E1"/>
    <w:rsid w:val="00862C74"/>
    <w:rsid w:val="008706BD"/>
    <w:rsid w:val="00890DFE"/>
    <w:rsid w:val="008A2396"/>
    <w:rsid w:val="008A55B5"/>
    <w:rsid w:val="008A75C8"/>
    <w:rsid w:val="008D4286"/>
    <w:rsid w:val="008E4BBD"/>
    <w:rsid w:val="008E72BA"/>
    <w:rsid w:val="00903CFB"/>
    <w:rsid w:val="00903D63"/>
    <w:rsid w:val="00913FB3"/>
    <w:rsid w:val="00914C2B"/>
    <w:rsid w:val="00935CC1"/>
    <w:rsid w:val="0097508D"/>
    <w:rsid w:val="0097676F"/>
    <w:rsid w:val="0099061C"/>
    <w:rsid w:val="009A631B"/>
    <w:rsid w:val="009B1622"/>
    <w:rsid w:val="009C0979"/>
    <w:rsid w:val="009D36B3"/>
    <w:rsid w:val="009E7B1E"/>
    <w:rsid w:val="00A02D5C"/>
    <w:rsid w:val="00A2225A"/>
    <w:rsid w:val="00A22390"/>
    <w:rsid w:val="00A22C27"/>
    <w:rsid w:val="00A31068"/>
    <w:rsid w:val="00A32A2C"/>
    <w:rsid w:val="00A335F4"/>
    <w:rsid w:val="00A510F7"/>
    <w:rsid w:val="00A52E53"/>
    <w:rsid w:val="00A610A2"/>
    <w:rsid w:val="00A806A0"/>
    <w:rsid w:val="00A82F19"/>
    <w:rsid w:val="00A85B43"/>
    <w:rsid w:val="00A9052B"/>
    <w:rsid w:val="00A92563"/>
    <w:rsid w:val="00A9786C"/>
    <w:rsid w:val="00AA050E"/>
    <w:rsid w:val="00AA68E1"/>
    <w:rsid w:val="00AB4EAB"/>
    <w:rsid w:val="00AB60EC"/>
    <w:rsid w:val="00AC44EC"/>
    <w:rsid w:val="00AC5417"/>
    <w:rsid w:val="00AC6519"/>
    <w:rsid w:val="00AD554A"/>
    <w:rsid w:val="00AE0192"/>
    <w:rsid w:val="00AE558C"/>
    <w:rsid w:val="00AF1230"/>
    <w:rsid w:val="00B03768"/>
    <w:rsid w:val="00B05EE3"/>
    <w:rsid w:val="00B12525"/>
    <w:rsid w:val="00B2210B"/>
    <w:rsid w:val="00B37CDB"/>
    <w:rsid w:val="00B43398"/>
    <w:rsid w:val="00B65C0F"/>
    <w:rsid w:val="00B76D42"/>
    <w:rsid w:val="00B930A0"/>
    <w:rsid w:val="00B93108"/>
    <w:rsid w:val="00BA0D6C"/>
    <w:rsid w:val="00BA0F5A"/>
    <w:rsid w:val="00BA25B1"/>
    <w:rsid w:val="00BA3E2D"/>
    <w:rsid w:val="00BB10E0"/>
    <w:rsid w:val="00BC28E2"/>
    <w:rsid w:val="00BC3CB6"/>
    <w:rsid w:val="00BC798F"/>
    <w:rsid w:val="00BD6A68"/>
    <w:rsid w:val="00BE1EA0"/>
    <w:rsid w:val="00BE2BAE"/>
    <w:rsid w:val="00BE2F21"/>
    <w:rsid w:val="00BF2644"/>
    <w:rsid w:val="00C16121"/>
    <w:rsid w:val="00C24E97"/>
    <w:rsid w:val="00C62580"/>
    <w:rsid w:val="00C64C6A"/>
    <w:rsid w:val="00C65666"/>
    <w:rsid w:val="00C70855"/>
    <w:rsid w:val="00C77F49"/>
    <w:rsid w:val="00C913C1"/>
    <w:rsid w:val="00C9498D"/>
    <w:rsid w:val="00C97ECC"/>
    <w:rsid w:val="00CA0B6E"/>
    <w:rsid w:val="00CA55F8"/>
    <w:rsid w:val="00CB1404"/>
    <w:rsid w:val="00CB66E6"/>
    <w:rsid w:val="00CC2DF8"/>
    <w:rsid w:val="00CC5ABA"/>
    <w:rsid w:val="00CD4185"/>
    <w:rsid w:val="00CD7CE4"/>
    <w:rsid w:val="00CE2C37"/>
    <w:rsid w:val="00CE2D91"/>
    <w:rsid w:val="00CE6B5F"/>
    <w:rsid w:val="00CF0A6E"/>
    <w:rsid w:val="00CF2C3C"/>
    <w:rsid w:val="00D0123F"/>
    <w:rsid w:val="00D022A2"/>
    <w:rsid w:val="00D15973"/>
    <w:rsid w:val="00D17BD3"/>
    <w:rsid w:val="00D24436"/>
    <w:rsid w:val="00D32978"/>
    <w:rsid w:val="00D335E4"/>
    <w:rsid w:val="00D37BDC"/>
    <w:rsid w:val="00D407B0"/>
    <w:rsid w:val="00D44631"/>
    <w:rsid w:val="00D47535"/>
    <w:rsid w:val="00D600C8"/>
    <w:rsid w:val="00D73E79"/>
    <w:rsid w:val="00D808C0"/>
    <w:rsid w:val="00D9156D"/>
    <w:rsid w:val="00DA78D1"/>
    <w:rsid w:val="00DA7AC6"/>
    <w:rsid w:val="00DB1B63"/>
    <w:rsid w:val="00DB4C33"/>
    <w:rsid w:val="00DE0A7B"/>
    <w:rsid w:val="00DE1604"/>
    <w:rsid w:val="00DF154F"/>
    <w:rsid w:val="00DF5C27"/>
    <w:rsid w:val="00E0418A"/>
    <w:rsid w:val="00E14692"/>
    <w:rsid w:val="00E3086A"/>
    <w:rsid w:val="00E320D3"/>
    <w:rsid w:val="00E64419"/>
    <w:rsid w:val="00E72439"/>
    <w:rsid w:val="00E868FE"/>
    <w:rsid w:val="00E87E85"/>
    <w:rsid w:val="00E91219"/>
    <w:rsid w:val="00E94B27"/>
    <w:rsid w:val="00EA16A6"/>
    <w:rsid w:val="00EA506F"/>
    <w:rsid w:val="00EB563C"/>
    <w:rsid w:val="00EB7DBC"/>
    <w:rsid w:val="00EC4384"/>
    <w:rsid w:val="00EE4362"/>
    <w:rsid w:val="00EE6621"/>
    <w:rsid w:val="00EF0A77"/>
    <w:rsid w:val="00EF1795"/>
    <w:rsid w:val="00EF18D7"/>
    <w:rsid w:val="00EF1E8A"/>
    <w:rsid w:val="00EF2A0E"/>
    <w:rsid w:val="00EF3A1A"/>
    <w:rsid w:val="00F24609"/>
    <w:rsid w:val="00F378D2"/>
    <w:rsid w:val="00F405FA"/>
    <w:rsid w:val="00F5383C"/>
    <w:rsid w:val="00F83F86"/>
    <w:rsid w:val="00F86638"/>
    <w:rsid w:val="00F9054A"/>
    <w:rsid w:val="00FB127A"/>
    <w:rsid w:val="00FB1E2E"/>
    <w:rsid w:val="00FB50F3"/>
    <w:rsid w:val="00FC59ED"/>
    <w:rsid w:val="00FD38A3"/>
    <w:rsid w:val="00FD6AE9"/>
    <w:rsid w:val="00FE300E"/>
    <w:rsid w:val="00FE56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1D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qFormat/>
    <w:rsid w:val="00D37BDC"/>
    <w:pPr>
      <w:keepNext/>
      <w:keepLines/>
      <w:spacing w:before="40" w:line="256" w:lineRule="auto"/>
      <w:ind w:left="1152" w:hanging="1152"/>
      <w:jc w:val="left"/>
      <w:outlineLvl w:val="5"/>
    </w:pPr>
    <w:rPr>
      <w:rFonts w:ascii="Calibri Light" w:hAnsi="Calibri Light"/>
      <w:color w:val="1F4D78"/>
      <w:sz w:val="22"/>
      <w:szCs w:val="22"/>
      <w:lang w:val="en-GB"/>
    </w:rPr>
  </w:style>
  <w:style w:type="paragraph" w:styleId="Heading7">
    <w:name w:val="heading 7"/>
    <w:basedOn w:val="Normal"/>
    <w:next w:val="Normal"/>
    <w:link w:val="Heading7Char"/>
    <w:uiPriority w:val="9"/>
    <w:semiHidden/>
    <w:unhideWhenUsed/>
    <w:qFormat/>
    <w:rsid w:val="00D37BDC"/>
    <w:pPr>
      <w:keepNext/>
      <w:keepLines/>
      <w:spacing w:before="40" w:line="256" w:lineRule="auto"/>
      <w:ind w:left="1296" w:hanging="1296"/>
      <w:jc w:val="left"/>
      <w:outlineLvl w:val="6"/>
    </w:pPr>
    <w:rPr>
      <w:rFonts w:ascii="Calibri Light" w:hAnsi="Calibri Light"/>
      <w:i/>
      <w:iCs/>
      <w:color w:val="1F4D78"/>
      <w:sz w:val="22"/>
      <w:szCs w:val="22"/>
      <w:lang w:val="en-GB"/>
    </w:rPr>
  </w:style>
  <w:style w:type="paragraph" w:styleId="Heading8">
    <w:name w:val="heading 8"/>
    <w:basedOn w:val="Normal"/>
    <w:next w:val="Normal"/>
    <w:link w:val="Heading8Char"/>
    <w:uiPriority w:val="9"/>
    <w:semiHidden/>
    <w:unhideWhenUsed/>
    <w:qFormat/>
    <w:rsid w:val="00D37BDC"/>
    <w:pPr>
      <w:keepNext/>
      <w:keepLines/>
      <w:spacing w:before="40" w:line="256" w:lineRule="auto"/>
      <w:ind w:left="1440" w:hanging="1440"/>
      <w:jc w:val="left"/>
      <w:outlineLvl w:val="7"/>
    </w:pPr>
    <w:rPr>
      <w:rFonts w:ascii="Calibri Light" w:hAnsi="Calibri Light"/>
      <w:color w:val="272727"/>
      <w:sz w:val="21"/>
      <w:szCs w:val="21"/>
      <w:lang w:val="en-GB"/>
    </w:rPr>
  </w:style>
  <w:style w:type="paragraph" w:styleId="Heading9">
    <w:name w:val="heading 9"/>
    <w:basedOn w:val="Normal"/>
    <w:next w:val="Normal"/>
    <w:link w:val="Heading9Char"/>
    <w:uiPriority w:val="9"/>
    <w:semiHidden/>
    <w:unhideWhenUsed/>
    <w:qFormat/>
    <w:rsid w:val="00D37BDC"/>
    <w:pPr>
      <w:keepNext/>
      <w:keepLines/>
      <w:spacing w:before="40" w:line="256" w:lineRule="auto"/>
      <w:ind w:left="1584" w:hanging="1584"/>
      <w:jc w:val="left"/>
      <w:outlineLvl w:val="8"/>
    </w:pPr>
    <w:rPr>
      <w:rFonts w:ascii="Calibri Light" w:hAnsi="Calibri Light"/>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Heading6Char">
    <w:name w:val="Heading 6 Char"/>
    <w:link w:val="Heading6"/>
    <w:uiPriority w:val="9"/>
    <w:semiHidden/>
    <w:rsid w:val="00D37BDC"/>
    <w:rPr>
      <w:rFonts w:ascii="Calibri Light" w:hAnsi="Calibri Light"/>
      <w:color w:val="1F4D78"/>
      <w:sz w:val="22"/>
      <w:szCs w:val="22"/>
      <w:lang w:eastAsia="en-US"/>
    </w:rPr>
  </w:style>
  <w:style w:type="character" w:customStyle="1" w:styleId="Heading7Char">
    <w:name w:val="Heading 7 Char"/>
    <w:link w:val="Heading7"/>
    <w:uiPriority w:val="9"/>
    <w:semiHidden/>
    <w:rsid w:val="00D37BDC"/>
    <w:rPr>
      <w:rFonts w:ascii="Calibri Light" w:hAnsi="Calibri Light"/>
      <w:i/>
      <w:iCs/>
      <w:color w:val="1F4D78"/>
      <w:sz w:val="22"/>
      <w:szCs w:val="22"/>
      <w:lang w:eastAsia="en-US"/>
    </w:rPr>
  </w:style>
  <w:style w:type="character" w:customStyle="1" w:styleId="Heading8Char">
    <w:name w:val="Heading 8 Char"/>
    <w:link w:val="Heading8"/>
    <w:uiPriority w:val="9"/>
    <w:semiHidden/>
    <w:rsid w:val="00D37BDC"/>
    <w:rPr>
      <w:rFonts w:ascii="Calibri Light" w:hAnsi="Calibri Light"/>
      <w:color w:val="272727"/>
      <w:sz w:val="21"/>
      <w:szCs w:val="21"/>
      <w:lang w:eastAsia="en-US"/>
    </w:rPr>
  </w:style>
  <w:style w:type="character" w:customStyle="1" w:styleId="Heading9Char">
    <w:name w:val="Heading 9 Char"/>
    <w:link w:val="Heading9"/>
    <w:uiPriority w:val="9"/>
    <w:semiHidden/>
    <w:rsid w:val="00D37BDC"/>
    <w:rPr>
      <w:rFonts w:ascii="Calibri Light" w:hAnsi="Calibri Light"/>
      <w:i/>
      <w:iCs/>
      <w:color w:val="272727"/>
      <w:sz w:val="21"/>
      <w:szCs w:val="21"/>
      <w:lang w:eastAsia="en-US"/>
    </w:rPr>
  </w:style>
  <w:style w:type="paragraph" w:styleId="NormalWeb">
    <w:name w:val="Normal (Web)"/>
    <w:basedOn w:val="Normal"/>
    <w:uiPriority w:val="99"/>
    <w:semiHidden/>
    <w:unhideWhenUsed/>
    <w:rsid w:val="00D37BDC"/>
    <w:pPr>
      <w:spacing w:before="100" w:beforeAutospacing="1" w:after="100" w:afterAutospacing="1"/>
      <w:jc w:val="left"/>
    </w:pPr>
    <w:rPr>
      <w:sz w:val="24"/>
      <w:szCs w:val="24"/>
      <w:lang w:val="en-GB" w:eastAsia="en-GB"/>
    </w:rPr>
  </w:style>
  <w:style w:type="paragraph" w:styleId="Caption">
    <w:name w:val="caption"/>
    <w:basedOn w:val="Normal"/>
    <w:next w:val="Normal"/>
    <w:uiPriority w:val="35"/>
    <w:unhideWhenUsed/>
    <w:qFormat/>
    <w:rsid w:val="00D37BDC"/>
    <w:pPr>
      <w:spacing w:after="200"/>
      <w:jc w:val="left"/>
    </w:pPr>
    <w:rPr>
      <w:rFonts w:ascii="Calibri" w:eastAsia="Calibri" w:hAnsi="Calibri" w:cs="Arial"/>
      <w:i/>
      <w:iCs/>
      <w:color w:val="44546A"/>
      <w:sz w:val="18"/>
      <w:szCs w:val="18"/>
      <w:lang w:val="en-GB"/>
    </w:rPr>
  </w:style>
  <w:style w:type="paragraph" w:styleId="ListParagraph">
    <w:name w:val="List Paragraph"/>
    <w:basedOn w:val="Normal"/>
    <w:uiPriority w:val="34"/>
    <w:qFormat/>
    <w:rsid w:val="00D37BDC"/>
    <w:pPr>
      <w:spacing w:after="160" w:line="256" w:lineRule="auto"/>
      <w:ind w:left="720"/>
      <w:contextualSpacing/>
      <w:jc w:val="left"/>
    </w:pPr>
    <w:rPr>
      <w:rFonts w:ascii="Calibri" w:eastAsia="Calibri" w:hAnsi="Calibri" w:cs="Arial"/>
      <w:sz w:val="22"/>
      <w:szCs w:val="22"/>
      <w:lang w:val="en-GB"/>
    </w:rPr>
  </w:style>
  <w:style w:type="paragraph" w:styleId="Title">
    <w:name w:val="Title"/>
    <w:basedOn w:val="Normal"/>
    <w:next w:val="Normal"/>
    <w:link w:val="TitleChar"/>
    <w:uiPriority w:val="10"/>
    <w:qFormat/>
    <w:rsid w:val="00416D0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416D03"/>
    <w:rPr>
      <w:rFonts w:ascii="Calibri Light" w:eastAsia="Times New Roman" w:hAnsi="Calibri Light" w:cs="Times New Roman"/>
      <w:b/>
      <w:bCs/>
      <w:kern w:val="28"/>
      <w:sz w:val="32"/>
      <w:szCs w:val="32"/>
      <w:lang w:val="en-US" w:eastAsia="en-US"/>
    </w:rPr>
  </w:style>
  <w:style w:type="paragraph" w:styleId="Subtitle">
    <w:name w:val="Subtitle"/>
    <w:basedOn w:val="Normal"/>
    <w:next w:val="Normal"/>
    <w:link w:val="SubtitleChar"/>
    <w:uiPriority w:val="11"/>
    <w:qFormat/>
    <w:rsid w:val="00AE558C"/>
    <w:pPr>
      <w:spacing w:after="60"/>
      <w:outlineLvl w:val="1"/>
    </w:pPr>
    <w:rPr>
      <w:rFonts w:ascii="Calibri Light" w:hAnsi="Calibri Light"/>
      <w:sz w:val="24"/>
      <w:szCs w:val="24"/>
    </w:rPr>
  </w:style>
  <w:style w:type="character" w:customStyle="1" w:styleId="SubtitleChar">
    <w:name w:val="Subtitle Char"/>
    <w:link w:val="Subtitle"/>
    <w:uiPriority w:val="11"/>
    <w:rsid w:val="00AE558C"/>
    <w:rPr>
      <w:rFonts w:ascii="Calibri Light" w:eastAsia="Times New Roman" w:hAnsi="Calibri Light" w:cs="Times New Roman"/>
      <w:sz w:val="24"/>
      <w:szCs w:val="24"/>
      <w:lang w:val="en-US" w:eastAsia="en-US"/>
    </w:rPr>
  </w:style>
  <w:style w:type="character" w:styleId="Hyperlink">
    <w:name w:val="Hyperlink"/>
    <w:uiPriority w:val="99"/>
    <w:unhideWhenUsed/>
    <w:rsid w:val="00E868FE"/>
    <w:rPr>
      <w:color w:val="0563C1"/>
      <w:u w:val="single"/>
    </w:rPr>
  </w:style>
  <w:style w:type="paragraph" w:styleId="TOC1">
    <w:name w:val="toc 1"/>
    <w:basedOn w:val="Normal"/>
    <w:next w:val="Normal"/>
    <w:autoRedefine/>
    <w:uiPriority w:val="39"/>
    <w:unhideWhenUsed/>
    <w:rsid w:val="00AC44EC"/>
  </w:style>
  <w:style w:type="paragraph" w:styleId="TOC2">
    <w:name w:val="toc 2"/>
    <w:basedOn w:val="Normal"/>
    <w:next w:val="Normal"/>
    <w:autoRedefine/>
    <w:uiPriority w:val="39"/>
    <w:unhideWhenUsed/>
    <w:rsid w:val="00AC44EC"/>
    <w:pPr>
      <w:ind w:left="200"/>
    </w:pPr>
  </w:style>
  <w:style w:type="paragraph" w:styleId="TOC3">
    <w:name w:val="toc 3"/>
    <w:basedOn w:val="Normal"/>
    <w:next w:val="Normal"/>
    <w:autoRedefine/>
    <w:uiPriority w:val="39"/>
    <w:unhideWhenUsed/>
    <w:rsid w:val="00AC44EC"/>
    <w:pPr>
      <w:ind w:left="400"/>
    </w:pPr>
  </w:style>
  <w:style w:type="paragraph" w:styleId="TOC5">
    <w:name w:val="toc 5"/>
    <w:basedOn w:val="Normal"/>
    <w:next w:val="Normal"/>
    <w:autoRedefine/>
    <w:uiPriority w:val="39"/>
    <w:unhideWhenUsed/>
    <w:rsid w:val="00AC44EC"/>
    <w:pPr>
      <w:ind w:left="800"/>
    </w:pPr>
  </w:style>
  <w:style w:type="paragraph" w:styleId="BalloonText">
    <w:name w:val="Balloon Text"/>
    <w:basedOn w:val="Normal"/>
    <w:link w:val="BalloonTextChar"/>
    <w:uiPriority w:val="99"/>
    <w:semiHidden/>
    <w:unhideWhenUsed/>
    <w:rsid w:val="004C7F59"/>
    <w:rPr>
      <w:rFonts w:ascii="Segoe UI" w:hAnsi="Segoe UI" w:cs="Segoe UI"/>
      <w:sz w:val="18"/>
      <w:szCs w:val="18"/>
    </w:rPr>
  </w:style>
  <w:style w:type="character" w:customStyle="1" w:styleId="BalloonTextChar">
    <w:name w:val="Balloon Text Char"/>
    <w:link w:val="BalloonText"/>
    <w:uiPriority w:val="99"/>
    <w:semiHidden/>
    <w:rsid w:val="004C7F59"/>
    <w:rPr>
      <w:rFonts w:ascii="Segoe UI" w:hAnsi="Segoe UI" w:cs="Segoe UI"/>
      <w:sz w:val="18"/>
      <w:szCs w:val="18"/>
      <w:lang w:val="en-US" w:eastAsia="en-US"/>
    </w:rPr>
  </w:style>
  <w:style w:type="table" w:styleId="TableGrid">
    <w:name w:val="Table Grid"/>
    <w:basedOn w:val="TableNormal"/>
    <w:uiPriority w:val="59"/>
    <w:rsid w:val="00174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1749C9"/>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EndnoteText">
    <w:name w:val="endnote text"/>
    <w:basedOn w:val="Normal"/>
    <w:link w:val="EndnoteTextChar"/>
    <w:uiPriority w:val="99"/>
    <w:semiHidden/>
    <w:unhideWhenUsed/>
    <w:rsid w:val="00125EA6"/>
  </w:style>
  <w:style w:type="character" w:customStyle="1" w:styleId="EndnoteTextChar">
    <w:name w:val="Endnote Text Char"/>
    <w:link w:val="EndnoteText"/>
    <w:uiPriority w:val="99"/>
    <w:semiHidden/>
    <w:rsid w:val="00125EA6"/>
    <w:rPr>
      <w:rFonts w:ascii="Times New Roman" w:hAnsi="Times New Roman"/>
      <w:lang w:val="en-US" w:eastAsia="en-US"/>
    </w:rPr>
  </w:style>
  <w:style w:type="character" w:styleId="EndnoteReference">
    <w:name w:val="endnote reference"/>
    <w:uiPriority w:val="99"/>
    <w:semiHidden/>
    <w:unhideWhenUsed/>
    <w:rsid w:val="00125EA6"/>
    <w:rPr>
      <w:vertAlign w:val="superscript"/>
    </w:rPr>
  </w:style>
  <w:style w:type="paragraph" w:styleId="FootnoteText">
    <w:name w:val="footnote text"/>
    <w:basedOn w:val="Normal"/>
    <w:link w:val="FootnoteTextChar"/>
    <w:uiPriority w:val="99"/>
    <w:semiHidden/>
    <w:unhideWhenUsed/>
    <w:rsid w:val="00125EA6"/>
  </w:style>
  <w:style w:type="character" w:customStyle="1" w:styleId="FootnoteTextChar">
    <w:name w:val="Footnote Text Char"/>
    <w:link w:val="FootnoteText"/>
    <w:uiPriority w:val="99"/>
    <w:semiHidden/>
    <w:rsid w:val="00125EA6"/>
    <w:rPr>
      <w:rFonts w:ascii="Times New Roman" w:hAnsi="Times New Roman"/>
      <w:lang w:val="en-US" w:eastAsia="en-US"/>
    </w:rPr>
  </w:style>
  <w:style w:type="character" w:styleId="FootnoteReference">
    <w:name w:val="footnote reference"/>
    <w:uiPriority w:val="99"/>
    <w:semiHidden/>
    <w:unhideWhenUsed/>
    <w:rsid w:val="00125EA6"/>
    <w:rPr>
      <w:vertAlign w:val="superscript"/>
    </w:rPr>
  </w:style>
  <w:style w:type="paragraph" w:styleId="DocumentMap">
    <w:name w:val="Document Map"/>
    <w:basedOn w:val="Normal"/>
    <w:link w:val="DocumentMapChar"/>
    <w:uiPriority w:val="99"/>
    <w:semiHidden/>
    <w:unhideWhenUsed/>
    <w:rsid w:val="00F378D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378D2"/>
    <w:rPr>
      <w:rFonts w:ascii="Lucida Grande" w:hAnsi="Lucida Grande" w:cs="Lucida Grande"/>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qFormat/>
    <w:rsid w:val="00D37BDC"/>
    <w:pPr>
      <w:keepNext/>
      <w:keepLines/>
      <w:spacing w:before="40" w:line="256" w:lineRule="auto"/>
      <w:ind w:left="1152" w:hanging="1152"/>
      <w:jc w:val="left"/>
      <w:outlineLvl w:val="5"/>
    </w:pPr>
    <w:rPr>
      <w:rFonts w:ascii="Calibri Light" w:hAnsi="Calibri Light"/>
      <w:color w:val="1F4D78"/>
      <w:sz w:val="22"/>
      <w:szCs w:val="22"/>
      <w:lang w:val="en-GB"/>
    </w:rPr>
  </w:style>
  <w:style w:type="paragraph" w:styleId="Heading7">
    <w:name w:val="heading 7"/>
    <w:basedOn w:val="Normal"/>
    <w:next w:val="Normal"/>
    <w:link w:val="Heading7Char"/>
    <w:uiPriority w:val="9"/>
    <w:semiHidden/>
    <w:unhideWhenUsed/>
    <w:qFormat/>
    <w:rsid w:val="00D37BDC"/>
    <w:pPr>
      <w:keepNext/>
      <w:keepLines/>
      <w:spacing w:before="40" w:line="256" w:lineRule="auto"/>
      <w:ind w:left="1296" w:hanging="1296"/>
      <w:jc w:val="left"/>
      <w:outlineLvl w:val="6"/>
    </w:pPr>
    <w:rPr>
      <w:rFonts w:ascii="Calibri Light" w:hAnsi="Calibri Light"/>
      <w:i/>
      <w:iCs/>
      <w:color w:val="1F4D78"/>
      <w:sz w:val="22"/>
      <w:szCs w:val="22"/>
      <w:lang w:val="en-GB"/>
    </w:rPr>
  </w:style>
  <w:style w:type="paragraph" w:styleId="Heading8">
    <w:name w:val="heading 8"/>
    <w:basedOn w:val="Normal"/>
    <w:next w:val="Normal"/>
    <w:link w:val="Heading8Char"/>
    <w:uiPriority w:val="9"/>
    <w:semiHidden/>
    <w:unhideWhenUsed/>
    <w:qFormat/>
    <w:rsid w:val="00D37BDC"/>
    <w:pPr>
      <w:keepNext/>
      <w:keepLines/>
      <w:spacing w:before="40" w:line="256" w:lineRule="auto"/>
      <w:ind w:left="1440" w:hanging="1440"/>
      <w:jc w:val="left"/>
      <w:outlineLvl w:val="7"/>
    </w:pPr>
    <w:rPr>
      <w:rFonts w:ascii="Calibri Light" w:hAnsi="Calibri Light"/>
      <w:color w:val="272727"/>
      <w:sz w:val="21"/>
      <w:szCs w:val="21"/>
      <w:lang w:val="en-GB"/>
    </w:rPr>
  </w:style>
  <w:style w:type="paragraph" w:styleId="Heading9">
    <w:name w:val="heading 9"/>
    <w:basedOn w:val="Normal"/>
    <w:next w:val="Normal"/>
    <w:link w:val="Heading9Char"/>
    <w:uiPriority w:val="9"/>
    <w:semiHidden/>
    <w:unhideWhenUsed/>
    <w:qFormat/>
    <w:rsid w:val="00D37BDC"/>
    <w:pPr>
      <w:keepNext/>
      <w:keepLines/>
      <w:spacing w:before="40" w:line="256" w:lineRule="auto"/>
      <w:ind w:left="1584" w:hanging="1584"/>
      <w:jc w:val="left"/>
      <w:outlineLvl w:val="8"/>
    </w:pPr>
    <w:rPr>
      <w:rFonts w:ascii="Calibri Light" w:hAnsi="Calibri Light"/>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Heading6Char">
    <w:name w:val="Heading 6 Char"/>
    <w:link w:val="Heading6"/>
    <w:uiPriority w:val="9"/>
    <w:semiHidden/>
    <w:rsid w:val="00D37BDC"/>
    <w:rPr>
      <w:rFonts w:ascii="Calibri Light" w:hAnsi="Calibri Light"/>
      <w:color w:val="1F4D78"/>
      <w:sz w:val="22"/>
      <w:szCs w:val="22"/>
      <w:lang w:eastAsia="en-US"/>
    </w:rPr>
  </w:style>
  <w:style w:type="character" w:customStyle="1" w:styleId="Heading7Char">
    <w:name w:val="Heading 7 Char"/>
    <w:link w:val="Heading7"/>
    <w:uiPriority w:val="9"/>
    <w:semiHidden/>
    <w:rsid w:val="00D37BDC"/>
    <w:rPr>
      <w:rFonts w:ascii="Calibri Light" w:hAnsi="Calibri Light"/>
      <w:i/>
      <w:iCs/>
      <w:color w:val="1F4D78"/>
      <w:sz w:val="22"/>
      <w:szCs w:val="22"/>
      <w:lang w:eastAsia="en-US"/>
    </w:rPr>
  </w:style>
  <w:style w:type="character" w:customStyle="1" w:styleId="Heading8Char">
    <w:name w:val="Heading 8 Char"/>
    <w:link w:val="Heading8"/>
    <w:uiPriority w:val="9"/>
    <w:semiHidden/>
    <w:rsid w:val="00D37BDC"/>
    <w:rPr>
      <w:rFonts w:ascii="Calibri Light" w:hAnsi="Calibri Light"/>
      <w:color w:val="272727"/>
      <w:sz w:val="21"/>
      <w:szCs w:val="21"/>
      <w:lang w:eastAsia="en-US"/>
    </w:rPr>
  </w:style>
  <w:style w:type="character" w:customStyle="1" w:styleId="Heading9Char">
    <w:name w:val="Heading 9 Char"/>
    <w:link w:val="Heading9"/>
    <w:uiPriority w:val="9"/>
    <w:semiHidden/>
    <w:rsid w:val="00D37BDC"/>
    <w:rPr>
      <w:rFonts w:ascii="Calibri Light" w:hAnsi="Calibri Light"/>
      <w:i/>
      <w:iCs/>
      <w:color w:val="272727"/>
      <w:sz w:val="21"/>
      <w:szCs w:val="21"/>
      <w:lang w:eastAsia="en-US"/>
    </w:rPr>
  </w:style>
  <w:style w:type="paragraph" w:styleId="NormalWeb">
    <w:name w:val="Normal (Web)"/>
    <w:basedOn w:val="Normal"/>
    <w:uiPriority w:val="99"/>
    <w:semiHidden/>
    <w:unhideWhenUsed/>
    <w:rsid w:val="00D37BDC"/>
    <w:pPr>
      <w:spacing w:before="100" w:beforeAutospacing="1" w:after="100" w:afterAutospacing="1"/>
      <w:jc w:val="left"/>
    </w:pPr>
    <w:rPr>
      <w:sz w:val="24"/>
      <w:szCs w:val="24"/>
      <w:lang w:val="en-GB" w:eastAsia="en-GB"/>
    </w:rPr>
  </w:style>
  <w:style w:type="paragraph" w:styleId="Caption">
    <w:name w:val="caption"/>
    <w:basedOn w:val="Normal"/>
    <w:next w:val="Normal"/>
    <w:uiPriority w:val="35"/>
    <w:unhideWhenUsed/>
    <w:qFormat/>
    <w:rsid w:val="00D37BDC"/>
    <w:pPr>
      <w:spacing w:after="200"/>
      <w:jc w:val="left"/>
    </w:pPr>
    <w:rPr>
      <w:rFonts w:ascii="Calibri" w:eastAsia="Calibri" w:hAnsi="Calibri" w:cs="Arial"/>
      <w:i/>
      <w:iCs/>
      <w:color w:val="44546A"/>
      <w:sz w:val="18"/>
      <w:szCs w:val="18"/>
      <w:lang w:val="en-GB"/>
    </w:rPr>
  </w:style>
  <w:style w:type="paragraph" w:styleId="ListParagraph">
    <w:name w:val="List Paragraph"/>
    <w:basedOn w:val="Normal"/>
    <w:uiPriority w:val="34"/>
    <w:qFormat/>
    <w:rsid w:val="00D37BDC"/>
    <w:pPr>
      <w:spacing w:after="160" w:line="256" w:lineRule="auto"/>
      <w:ind w:left="720"/>
      <w:contextualSpacing/>
      <w:jc w:val="left"/>
    </w:pPr>
    <w:rPr>
      <w:rFonts w:ascii="Calibri" w:eastAsia="Calibri" w:hAnsi="Calibri" w:cs="Arial"/>
      <w:sz w:val="22"/>
      <w:szCs w:val="22"/>
      <w:lang w:val="en-GB"/>
    </w:rPr>
  </w:style>
  <w:style w:type="paragraph" w:styleId="Title">
    <w:name w:val="Title"/>
    <w:basedOn w:val="Normal"/>
    <w:next w:val="Normal"/>
    <w:link w:val="TitleChar"/>
    <w:uiPriority w:val="10"/>
    <w:qFormat/>
    <w:rsid w:val="00416D0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416D03"/>
    <w:rPr>
      <w:rFonts w:ascii="Calibri Light" w:eastAsia="Times New Roman" w:hAnsi="Calibri Light" w:cs="Times New Roman"/>
      <w:b/>
      <w:bCs/>
      <w:kern w:val="28"/>
      <w:sz w:val="32"/>
      <w:szCs w:val="32"/>
      <w:lang w:val="en-US" w:eastAsia="en-US"/>
    </w:rPr>
  </w:style>
  <w:style w:type="paragraph" w:styleId="Subtitle">
    <w:name w:val="Subtitle"/>
    <w:basedOn w:val="Normal"/>
    <w:next w:val="Normal"/>
    <w:link w:val="SubtitleChar"/>
    <w:uiPriority w:val="11"/>
    <w:qFormat/>
    <w:rsid w:val="00AE558C"/>
    <w:pPr>
      <w:spacing w:after="60"/>
      <w:outlineLvl w:val="1"/>
    </w:pPr>
    <w:rPr>
      <w:rFonts w:ascii="Calibri Light" w:hAnsi="Calibri Light"/>
      <w:sz w:val="24"/>
      <w:szCs w:val="24"/>
    </w:rPr>
  </w:style>
  <w:style w:type="character" w:customStyle="1" w:styleId="SubtitleChar">
    <w:name w:val="Subtitle Char"/>
    <w:link w:val="Subtitle"/>
    <w:uiPriority w:val="11"/>
    <w:rsid w:val="00AE558C"/>
    <w:rPr>
      <w:rFonts w:ascii="Calibri Light" w:eastAsia="Times New Roman" w:hAnsi="Calibri Light" w:cs="Times New Roman"/>
      <w:sz w:val="24"/>
      <w:szCs w:val="24"/>
      <w:lang w:val="en-US" w:eastAsia="en-US"/>
    </w:rPr>
  </w:style>
  <w:style w:type="character" w:styleId="Hyperlink">
    <w:name w:val="Hyperlink"/>
    <w:uiPriority w:val="99"/>
    <w:unhideWhenUsed/>
    <w:rsid w:val="00E868FE"/>
    <w:rPr>
      <w:color w:val="0563C1"/>
      <w:u w:val="single"/>
    </w:rPr>
  </w:style>
  <w:style w:type="paragraph" w:styleId="TOC1">
    <w:name w:val="toc 1"/>
    <w:basedOn w:val="Normal"/>
    <w:next w:val="Normal"/>
    <w:autoRedefine/>
    <w:uiPriority w:val="39"/>
    <w:unhideWhenUsed/>
    <w:rsid w:val="00AC44EC"/>
  </w:style>
  <w:style w:type="paragraph" w:styleId="TOC2">
    <w:name w:val="toc 2"/>
    <w:basedOn w:val="Normal"/>
    <w:next w:val="Normal"/>
    <w:autoRedefine/>
    <w:uiPriority w:val="39"/>
    <w:unhideWhenUsed/>
    <w:rsid w:val="00AC44EC"/>
    <w:pPr>
      <w:ind w:left="200"/>
    </w:pPr>
  </w:style>
  <w:style w:type="paragraph" w:styleId="TOC3">
    <w:name w:val="toc 3"/>
    <w:basedOn w:val="Normal"/>
    <w:next w:val="Normal"/>
    <w:autoRedefine/>
    <w:uiPriority w:val="39"/>
    <w:unhideWhenUsed/>
    <w:rsid w:val="00AC44EC"/>
    <w:pPr>
      <w:ind w:left="400"/>
    </w:pPr>
  </w:style>
  <w:style w:type="paragraph" w:styleId="TOC5">
    <w:name w:val="toc 5"/>
    <w:basedOn w:val="Normal"/>
    <w:next w:val="Normal"/>
    <w:autoRedefine/>
    <w:uiPriority w:val="39"/>
    <w:unhideWhenUsed/>
    <w:rsid w:val="00AC44EC"/>
    <w:pPr>
      <w:ind w:left="800"/>
    </w:pPr>
  </w:style>
  <w:style w:type="paragraph" w:styleId="BalloonText">
    <w:name w:val="Balloon Text"/>
    <w:basedOn w:val="Normal"/>
    <w:link w:val="BalloonTextChar"/>
    <w:uiPriority w:val="99"/>
    <w:semiHidden/>
    <w:unhideWhenUsed/>
    <w:rsid w:val="004C7F59"/>
    <w:rPr>
      <w:rFonts w:ascii="Segoe UI" w:hAnsi="Segoe UI" w:cs="Segoe UI"/>
      <w:sz w:val="18"/>
      <w:szCs w:val="18"/>
    </w:rPr>
  </w:style>
  <w:style w:type="character" w:customStyle="1" w:styleId="BalloonTextChar">
    <w:name w:val="Balloon Text Char"/>
    <w:link w:val="BalloonText"/>
    <w:uiPriority w:val="99"/>
    <w:semiHidden/>
    <w:rsid w:val="004C7F59"/>
    <w:rPr>
      <w:rFonts w:ascii="Segoe UI" w:hAnsi="Segoe UI" w:cs="Segoe UI"/>
      <w:sz w:val="18"/>
      <w:szCs w:val="18"/>
      <w:lang w:val="en-US" w:eastAsia="en-US"/>
    </w:rPr>
  </w:style>
  <w:style w:type="table" w:styleId="TableGrid">
    <w:name w:val="Table Grid"/>
    <w:basedOn w:val="TableNormal"/>
    <w:uiPriority w:val="59"/>
    <w:rsid w:val="00174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1749C9"/>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EndnoteText">
    <w:name w:val="endnote text"/>
    <w:basedOn w:val="Normal"/>
    <w:link w:val="EndnoteTextChar"/>
    <w:uiPriority w:val="99"/>
    <w:semiHidden/>
    <w:unhideWhenUsed/>
    <w:rsid w:val="00125EA6"/>
  </w:style>
  <w:style w:type="character" w:customStyle="1" w:styleId="EndnoteTextChar">
    <w:name w:val="Endnote Text Char"/>
    <w:link w:val="EndnoteText"/>
    <w:uiPriority w:val="99"/>
    <w:semiHidden/>
    <w:rsid w:val="00125EA6"/>
    <w:rPr>
      <w:rFonts w:ascii="Times New Roman" w:hAnsi="Times New Roman"/>
      <w:lang w:val="en-US" w:eastAsia="en-US"/>
    </w:rPr>
  </w:style>
  <w:style w:type="character" w:styleId="EndnoteReference">
    <w:name w:val="endnote reference"/>
    <w:uiPriority w:val="99"/>
    <w:semiHidden/>
    <w:unhideWhenUsed/>
    <w:rsid w:val="00125EA6"/>
    <w:rPr>
      <w:vertAlign w:val="superscript"/>
    </w:rPr>
  </w:style>
  <w:style w:type="paragraph" w:styleId="FootnoteText">
    <w:name w:val="footnote text"/>
    <w:basedOn w:val="Normal"/>
    <w:link w:val="FootnoteTextChar"/>
    <w:uiPriority w:val="99"/>
    <w:semiHidden/>
    <w:unhideWhenUsed/>
    <w:rsid w:val="00125EA6"/>
  </w:style>
  <w:style w:type="character" w:customStyle="1" w:styleId="FootnoteTextChar">
    <w:name w:val="Footnote Text Char"/>
    <w:link w:val="FootnoteText"/>
    <w:uiPriority w:val="99"/>
    <w:semiHidden/>
    <w:rsid w:val="00125EA6"/>
    <w:rPr>
      <w:rFonts w:ascii="Times New Roman" w:hAnsi="Times New Roman"/>
      <w:lang w:val="en-US" w:eastAsia="en-US"/>
    </w:rPr>
  </w:style>
  <w:style w:type="character" w:styleId="FootnoteReference">
    <w:name w:val="footnote reference"/>
    <w:uiPriority w:val="99"/>
    <w:semiHidden/>
    <w:unhideWhenUsed/>
    <w:rsid w:val="00125EA6"/>
    <w:rPr>
      <w:vertAlign w:val="superscript"/>
    </w:rPr>
  </w:style>
  <w:style w:type="paragraph" w:styleId="DocumentMap">
    <w:name w:val="Document Map"/>
    <w:basedOn w:val="Normal"/>
    <w:link w:val="DocumentMapChar"/>
    <w:uiPriority w:val="99"/>
    <w:semiHidden/>
    <w:unhideWhenUsed/>
    <w:rsid w:val="00F378D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378D2"/>
    <w:rPr>
      <w:rFonts w:ascii="Lucida Grande" w:hAnsi="Lucida Grande" w:cs="Lucida Grande"/>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577">
      <w:bodyDiv w:val="1"/>
      <w:marLeft w:val="0"/>
      <w:marRight w:val="0"/>
      <w:marTop w:val="0"/>
      <w:marBottom w:val="0"/>
      <w:divBdr>
        <w:top w:val="none" w:sz="0" w:space="0" w:color="auto"/>
        <w:left w:val="none" w:sz="0" w:space="0" w:color="auto"/>
        <w:bottom w:val="none" w:sz="0" w:space="0" w:color="auto"/>
        <w:right w:val="none" w:sz="0" w:space="0" w:color="auto"/>
      </w:divBdr>
    </w:div>
    <w:div w:id="22096144">
      <w:bodyDiv w:val="1"/>
      <w:marLeft w:val="0"/>
      <w:marRight w:val="0"/>
      <w:marTop w:val="0"/>
      <w:marBottom w:val="0"/>
      <w:divBdr>
        <w:top w:val="none" w:sz="0" w:space="0" w:color="auto"/>
        <w:left w:val="none" w:sz="0" w:space="0" w:color="auto"/>
        <w:bottom w:val="none" w:sz="0" w:space="0" w:color="auto"/>
        <w:right w:val="none" w:sz="0" w:space="0" w:color="auto"/>
      </w:divBdr>
    </w:div>
    <w:div w:id="441344331">
      <w:bodyDiv w:val="1"/>
      <w:marLeft w:val="0"/>
      <w:marRight w:val="0"/>
      <w:marTop w:val="0"/>
      <w:marBottom w:val="0"/>
      <w:divBdr>
        <w:top w:val="none" w:sz="0" w:space="0" w:color="auto"/>
        <w:left w:val="none" w:sz="0" w:space="0" w:color="auto"/>
        <w:bottom w:val="none" w:sz="0" w:space="0" w:color="auto"/>
        <w:right w:val="none" w:sz="0" w:space="0" w:color="auto"/>
      </w:divBdr>
    </w:div>
    <w:div w:id="526530824">
      <w:bodyDiv w:val="1"/>
      <w:marLeft w:val="0"/>
      <w:marRight w:val="0"/>
      <w:marTop w:val="0"/>
      <w:marBottom w:val="0"/>
      <w:divBdr>
        <w:top w:val="none" w:sz="0" w:space="0" w:color="auto"/>
        <w:left w:val="none" w:sz="0" w:space="0" w:color="auto"/>
        <w:bottom w:val="none" w:sz="0" w:space="0" w:color="auto"/>
        <w:right w:val="none" w:sz="0" w:space="0" w:color="auto"/>
      </w:divBdr>
    </w:div>
    <w:div w:id="613829561">
      <w:bodyDiv w:val="1"/>
      <w:marLeft w:val="0"/>
      <w:marRight w:val="0"/>
      <w:marTop w:val="0"/>
      <w:marBottom w:val="0"/>
      <w:divBdr>
        <w:top w:val="none" w:sz="0" w:space="0" w:color="auto"/>
        <w:left w:val="none" w:sz="0" w:space="0" w:color="auto"/>
        <w:bottom w:val="none" w:sz="0" w:space="0" w:color="auto"/>
        <w:right w:val="none" w:sz="0" w:space="0" w:color="auto"/>
      </w:divBdr>
    </w:div>
    <w:div w:id="701595348">
      <w:bodyDiv w:val="1"/>
      <w:marLeft w:val="0"/>
      <w:marRight w:val="0"/>
      <w:marTop w:val="0"/>
      <w:marBottom w:val="0"/>
      <w:divBdr>
        <w:top w:val="none" w:sz="0" w:space="0" w:color="auto"/>
        <w:left w:val="none" w:sz="0" w:space="0" w:color="auto"/>
        <w:bottom w:val="none" w:sz="0" w:space="0" w:color="auto"/>
        <w:right w:val="none" w:sz="0" w:space="0" w:color="auto"/>
      </w:divBdr>
    </w:div>
    <w:div w:id="758334528">
      <w:bodyDiv w:val="1"/>
      <w:marLeft w:val="0"/>
      <w:marRight w:val="0"/>
      <w:marTop w:val="0"/>
      <w:marBottom w:val="0"/>
      <w:divBdr>
        <w:top w:val="none" w:sz="0" w:space="0" w:color="auto"/>
        <w:left w:val="none" w:sz="0" w:space="0" w:color="auto"/>
        <w:bottom w:val="none" w:sz="0" w:space="0" w:color="auto"/>
        <w:right w:val="none" w:sz="0" w:space="0" w:color="auto"/>
      </w:divBdr>
    </w:div>
    <w:div w:id="764694272">
      <w:bodyDiv w:val="1"/>
      <w:marLeft w:val="0"/>
      <w:marRight w:val="0"/>
      <w:marTop w:val="0"/>
      <w:marBottom w:val="0"/>
      <w:divBdr>
        <w:top w:val="none" w:sz="0" w:space="0" w:color="auto"/>
        <w:left w:val="none" w:sz="0" w:space="0" w:color="auto"/>
        <w:bottom w:val="none" w:sz="0" w:space="0" w:color="auto"/>
        <w:right w:val="none" w:sz="0" w:space="0" w:color="auto"/>
      </w:divBdr>
    </w:div>
    <w:div w:id="836844985">
      <w:bodyDiv w:val="1"/>
      <w:marLeft w:val="0"/>
      <w:marRight w:val="0"/>
      <w:marTop w:val="0"/>
      <w:marBottom w:val="0"/>
      <w:divBdr>
        <w:top w:val="none" w:sz="0" w:space="0" w:color="auto"/>
        <w:left w:val="none" w:sz="0" w:space="0" w:color="auto"/>
        <w:bottom w:val="none" w:sz="0" w:space="0" w:color="auto"/>
        <w:right w:val="none" w:sz="0" w:space="0" w:color="auto"/>
      </w:divBdr>
    </w:div>
    <w:div w:id="877280145">
      <w:bodyDiv w:val="1"/>
      <w:marLeft w:val="0"/>
      <w:marRight w:val="0"/>
      <w:marTop w:val="0"/>
      <w:marBottom w:val="0"/>
      <w:divBdr>
        <w:top w:val="none" w:sz="0" w:space="0" w:color="auto"/>
        <w:left w:val="none" w:sz="0" w:space="0" w:color="auto"/>
        <w:bottom w:val="none" w:sz="0" w:space="0" w:color="auto"/>
        <w:right w:val="none" w:sz="0" w:space="0" w:color="auto"/>
      </w:divBdr>
    </w:div>
    <w:div w:id="897714198">
      <w:bodyDiv w:val="1"/>
      <w:marLeft w:val="0"/>
      <w:marRight w:val="0"/>
      <w:marTop w:val="0"/>
      <w:marBottom w:val="0"/>
      <w:divBdr>
        <w:top w:val="none" w:sz="0" w:space="0" w:color="auto"/>
        <w:left w:val="none" w:sz="0" w:space="0" w:color="auto"/>
        <w:bottom w:val="none" w:sz="0" w:space="0" w:color="auto"/>
        <w:right w:val="none" w:sz="0" w:space="0" w:color="auto"/>
      </w:divBdr>
    </w:div>
    <w:div w:id="1125125814">
      <w:bodyDiv w:val="1"/>
      <w:marLeft w:val="0"/>
      <w:marRight w:val="0"/>
      <w:marTop w:val="0"/>
      <w:marBottom w:val="0"/>
      <w:divBdr>
        <w:top w:val="none" w:sz="0" w:space="0" w:color="auto"/>
        <w:left w:val="none" w:sz="0" w:space="0" w:color="auto"/>
        <w:bottom w:val="none" w:sz="0" w:space="0" w:color="auto"/>
        <w:right w:val="none" w:sz="0" w:space="0" w:color="auto"/>
      </w:divBdr>
    </w:div>
    <w:div w:id="1203908399">
      <w:bodyDiv w:val="1"/>
      <w:marLeft w:val="0"/>
      <w:marRight w:val="0"/>
      <w:marTop w:val="0"/>
      <w:marBottom w:val="0"/>
      <w:divBdr>
        <w:top w:val="none" w:sz="0" w:space="0" w:color="auto"/>
        <w:left w:val="none" w:sz="0" w:space="0" w:color="auto"/>
        <w:bottom w:val="none" w:sz="0" w:space="0" w:color="auto"/>
        <w:right w:val="none" w:sz="0" w:space="0" w:color="auto"/>
      </w:divBdr>
    </w:div>
    <w:div w:id="1341155009">
      <w:bodyDiv w:val="1"/>
      <w:marLeft w:val="0"/>
      <w:marRight w:val="0"/>
      <w:marTop w:val="0"/>
      <w:marBottom w:val="0"/>
      <w:divBdr>
        <w:top w:val="none" w:sz="0" w:space="0" w:color="auto"/>
        <w:left w:val="none" w:sz="0" w:space="0" w:color="auto"/>
        <w:bottom w:val="none" w:sz="0" w:space="0" w:color="auto"/>
        <w:right w:val="none" w:sz="0" w:space="0" w:color="auto"/>
      </w:divBdr>
    </w:div>
    <w:div w:id="1375618689">
      <w:bodyDiv w:val="1"/>
      <w:marLeft w:val="0"/>
      <w:marRight w:val="0"/>
      <w:marTop w:val="0"/>
      <w:marBottom w:val="0"/>
      <w:divBdr>
        <w:top w:val="none" w:sz="0" w:space="0" w:color="auto"/>
        <w:left w:val="none" w:sz="0" w:space="0" w:color="auto"/>
        <w:bottom w:val="none" w:sz="0" w:space="0" w:color="auto"/>
        <w:right w:val="none" w:sz="0" w:space="0" w:color="auto"/>
      </w:divBdr>
    </w:div>
    <w:div w:id="1507473783">
      <w:bodyDiv w:val="1"/>
      <w:marLeft w:val="0"/>
      <w:marRight w:val="0"/>
      <w:marTop w:val="0"/>
      <w:marBottom w:val="0"/>
      <w:divBdr>
        <w:top w:val="none" w:sz="0" w:space="0" w:color="auto"/>
        <w:left w:val="none" w:sz="0" w:space="0" w:color="auto"/>
        <w:bottom w:val="none" w:sz="0" w:space="0" w:color="auto"/>
        <w:right w:val="none" w:sz="0" w:space="0" w:color="auto"/>
      </w:divBdr>
    </w:div>
    <w:div w:id="1580477946">
      <w:bodyDiv w:val="1"/>
      <w:marLeft w:val="0"/>
      <w:marRight w:val="0"/>
      <w:marTop w:val="0"/>
      <w:marBottom w:val="0"/>
      <w:divBdr>
        <w:top w:val="none" w:sz="0" w:space="0" w:color="auto"/>
        <w:left w:val="none" w:sz="0" w:space="0" w:color="auto"/>
        <w:bottom w:val="none" w:sz="0" w:space="0" w:color="auto"/>
        <w:right w:val="none" w:sz="0" w:space="0" w:color="auto"/>
      </w:divBdr>
    </w:div>
    <w:div w:id="1620725260">
      <w:bodyDiv w:val="1"/>
      <w:marLeft w:val="0"/>
      <w:marRight w:val="0"/>
      <w:marTop w:val="0"/>
      <w:marBottom w:val="0"/>
      <w:divBdr>
        <w:top w:val="none" w:sz="0" w:space="0" w:color="auto"/>
        <w:left w:val="none" w:sz="0" w:space="0" w:color="auto"/>
        <w:bottom w:val="none" w:sz="0" w:space="0" w:color="auto"/>
        <w:right w:val="none" w:sz="0" w:space="0" w:color="auto"/>
      </w:divBdr>
    </w:div>
    <w:div w:id="1702896562">
      <w:bodyDiv w:val="1"/>
      <w:marLeft w:val="0"/>
      <w:marRight w:val="0"/>
      <w:marTop w:val="0"/>
      <w:marBottom w:val="0"/>
      <w:divBdr>
        <w:top w:val="none" w:sz="0" w:space="0" w:color="auto"/>
        <w:left w:val="none" w:sz="0" w:space="0" w:color="auto"/>
        <w:bottom w:val="none" w:sz="0" w:space="0" w:color="auto"/>
        <w:right w:val="none" w:sz="0" w:space="0" w:color="auto"/>
      </w:divBdr>
    </w:div>
    <w:div w:id="1773043355">
      <w:bodyDiv w:val="1"/>
      <w:marLeft w:val="0"/>
      <w:marRight w:val="0"/>
      <w:marTop w:val="0"/>
      <w:marBottom w:val="0"/>
      <w:divBdr>
        <w:top w:val="none" w:sz="0" w:space="0" w:color="auto"/>
        <w:left w:val="none" w:sz="0" w:space="0" w:color="auto"/>
        <w:bottom w:val="none" w:sz="0" w:space="0" w:color="auto"/>
        <w:right w:val="none" w:sz="0" w:space="0" w:color="auto"/>
      </w:divBdr>
    </w:div>
    <w:div w:id="2044553680">
      <w:bodyDiv w:val="1"/>
      <w:marLeft w:val="0"/>
      <w:marRight w:val="0"/>
      <w:marTop w:val="0"/>
      <w:marBottom w:val="0"/>
      <w:divBdr>
        <w:top w:val="none" w:sz="0" w:space="0" w:color="auto"/>
        <w:left w:val="none" w:sz="0" w:space="0" w:color="auto"/>
        <w:bottom w:val="none" w:sz="0" w:space="0" w:color="auto"/>
        <w:right w:val="none" w:sz="0" w:space="0" w:color="auto"/>
      </w:divBdr>
    </w:div>
    <w:div w:id="206871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C517D4-E7AA-B44D-BDB1-F4DB96A17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3429</Words>
  <Characters>19546</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Nabeel Albishry</cp:lastModifiedBy>
  <cp:revision>2</cp:revision>
  <cp:lastPrinted>2016-06-07T00:03:00Z</cp:lastPrinted>
  <dcterms:created xsi:type="dcterms:W3CDTF">2016-10-28T15:08:00Z</dcterms:created>
  <dcterms:modified xsi:type="dcterms:W3CDTF">2016-10-28T15:08:00Z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n.albishry@bristol.ac.uk@www.mendeley.com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