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cvgmx1.convergys.com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notification.robot@convergys.com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tomas.dale@convergys.com;carlos.ceconi@convergys.com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1752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19" cy="9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E76" w:rsidRP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A93E7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A93E76" w:rsidRP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A93E7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93E7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>System.Net.Mail</w:t>
      </w:r>
      <w:proofErr w:type="spellEnd"/>
      <w:r w:rsidRPr="00A93E7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NotificationRobot</w:t>
      </w:r>
      <w:proofErr w:type="spellEnd"/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SendEmails</w:t>
      </w:r>
      <w:proofErr w:type="spellEnd"/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body)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"SmtpServer"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"EmailFrom"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body;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(address))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SmtpException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(message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(client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5295" w:rsidRPr="00A93E76" w:rsidRDefault="00A93E76" w:rsidP="00A9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15295" w:rsidRPr="00A93E76" w:rsidSect="00A93E7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76"/>
    <w:rsid w:val="003457BF"/>
    <w:rsid w:val="004E6756"/>
    <w:rsid w:val="00A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78A"/>
  <w15:chartTrackingRefBased/>
  <w15:docId w15:val="{68798222-B492-4B7A-A9D0-EFC9150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>Convergys Corporation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2017-11-06T18:23:00Z</dcterms:created>
  <dcterms:modified xsi:type="dcterms:W3CDTF">2017-11-06T18:25:00Z</dcterms:modified>
</cp:coreProperties>
</file>