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4B80" w14:textId="77777777" w:rsid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Arc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 es uno de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pilares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familia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híbrida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Azure: Azure Arc, Azure Stack y Azure IoT. </w:t>
      </w:r>
    </w:p>
    <w:p w14:paraId="0A5AAA6A" w14:textId="0B029755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Azure Arc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ayuda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complejidad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sus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híbridas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simplificando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experiencia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Con Azure Stack, Microsoft o sus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asociados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proporcionan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hardware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software (un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dispositivo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). Con Azure Arc, Microsoft solo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proporciona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software. El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sus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asociados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proporcionan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infraestructura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soporte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operan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solución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Azure Arc 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Azure Stack. Azure Arc le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ejecutar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infraestructuras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residen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fuera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centros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y le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integrarse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otros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desea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348525D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Los 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habilitados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Arc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forman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Arc. Es un conjunto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productos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sus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realizar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188C99EC" w14:textId="77777777" w:rsidR="000371F3" w:rsidRPr="000371F3" w:rsidRDefault="000371F3" w:rsidP="000371F3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Ejecutar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cualquier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infraestructura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física</w:t>
      </w:r>
      <w:proofErr w:type="spellEnd"/>
    </w:p>
    <w:p w14:paraId="64F9A7EE" w14:textId="77777777" w:rsidR="000371F3" w:rsidRPr="000371F3" w:rsidRDefault="000371F3" w:rsidP="000371F3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Optimizar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operaciones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mediante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misma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tecnología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todas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partes</w:t>
      </w:r>
      <w:proofErr w:type="spellEnd"/>
    </w:p>
    <w:p w14:paraId="58AC5450" w14:textId="77777777" w:rsidR="000371F3" w:rsidRPr="000371F3" w:rsidRDefault="000371F3" w:rsidP="000371F3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Optimizar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desarrollos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misma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tecnología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subyacente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independientemente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dónde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hospede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la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PaaS de Azure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Azure Arc)</w:t>
      </w:r>
    </w:p>
    <w:p w14:paraId="662B6EC1" w14:textId="77777777" w:rsidR="000371F3" w:rsidRPr="000371F3" w:rsidRDefault="000371F3" w:rsidP="000371F3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Usar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tecnologías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centro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y, a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vez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cumplir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requisitos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normativos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(residencia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control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). 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decir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, "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no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usted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".</w:t>
      </w:r>
    </w:p>
    <w:p w14:paraId="2B44DF52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Algunos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valores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proporcionan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incluyen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0C381446" w14:textId="77777777" w:rsidR="000371F3" w:rsidRPr="000371F3" w:rsidRDefault="000371F3" w:rsidP="000371F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Siempre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actual</w:t>
      </w:r>
    </w:p>
    <w:p w14:paraId="5E6E7FD8" w14:textId="77777777" w:rsidR="000371F3" w:rsidRPr="000371F3" w:rsidRDefault="000371F3" w:rsidP="000371F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elástico</w:t>
      </w:r>
      <w:proofErr w:type="spellEnd"/>
    </w:p>
    <w:p w14:paraId="502B6712" w14:textId="77777777" w:rsidR="000371F3" w:rsidRPr="000371F3" w:rsidRDefault="000371F3" w:rsidP="000371F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Aprovisionamiento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autoservicio</w:t>
      </w:r>
      <w:proofErr w:type="spellEnd"/>
    </w:p>
    <w:p w14:paraId="2C1E0312" w14:textId="77777777" w:rsidR="000371F3" w:rsidRPr="000371F3" w:rsidRDefault="000371F3" w:rsidP="000371F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unificada</w:t>
      </w:r>
      <w:proofErr w:type="spellEnd"/>
    </w:p>
    <w:p w14:paraId="166881BD" w14:textId="77777777" w:rsidR="000371F3" w:rsidRPr="000371F3" w:rsidRDefault="000371F3" w:rsidP="000371F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Facturación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</w:p>
    <w:p w14:paraId="4245EBFA" w14:textId="77777777" w:rsidR="000371F3" w:rsidRPr="000371F3" w:rsidRDefault="000371F3" w:rsidP="000371F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Compatibilidad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escenarios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conectados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Azure)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conectados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ocasionalmente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(a Azure). (Modo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conectividad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indirecta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frente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indirecta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).</w:t>
      </w:r>
    </w:p>
    <w:p w14:paraId="0F7AB821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Arc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 es uno de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motores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disponibles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para Azure Arc.</w:t>
      </w:r>
    </w:p>
    <w:p w14:paraId="71F68973" w14:textId="77777777" w:rsidR="000371F3" w:rsidRPr="000371F3" w:rsidRDefault="000371F3" w:rsidP="000371F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Comparación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soluciones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de Postgres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proporcionadas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por Microsoft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en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Azure</w:t>
      </w:r>
    </w:p>
    <w:p w14:paraId="1A03FB36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ofrece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Postgres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Azure de dos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maneras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25C918F7" w14:textId="77777777" w:rsidR="000371F3" w:rsidRPr="000371F3" w:rsidRDefault="000371F3" w:rsidP="000371F3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Como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PaaS (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plataforma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) de Azure</w:t>
      </w:r>
    </w:p>
    <w:p w14:paraId="2ECF871C" w14:textId="77777777" w:rsidR="000371F3" w:rsidRPr="000371F3" w:rsidRDefault="000371F3" w:rsidP="000371F3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Como un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semi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Azure Arc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ya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operan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clientes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sus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asociados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proveedores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7F0CAB" w14:textId="77777777" w:rsidR="000371F3" w:rsidRPr="000371F3" w:rsidRDefault="000371F3" w:rsidP="000371F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lastRenderedPageBreak/>
        <w:t>En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PaaS de Azure</w:t>
      </w:r>
    </w:p>
    <w:p w14:paraId="2715F19C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</w:t>
      </w:r>
      <w:hyperlink r:id="rId8" w:anchor="create/Microsoft.PostgreSQLServer" w:history="1">
        <w:r w:rsidRPr="000371F3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PaaS de Azure</w:t>
        </w:r>
      </w:hyperlink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 , 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ofrece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Postgres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0FE2C052" w14:textId="77777777" w:rsidR="000371F3" w:rsidRPr="000371F3" w:rsidRDefault="000371F3" w:rsidP="0003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Azure Database for Postgres y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flexible de Azure Database for Postgres.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Estos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son un factor de forma Postgres de un solo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administrado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por Microsoft. El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flexible de Azure Database for Postgres es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evolución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reciente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4343A" w14:textId="77777777" w:rsidR="000371F3" w:rsidRPr="000371F3" w:rsidRDefault="000371F3" w:rsidP="0003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Hiperescala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Citus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) de Azure Database for PostgreSQL. Este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factor de forma de Postgres para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varios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administrado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por Microsoft.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con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tecnología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extensión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Citus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71F3">
        <w:rPr>
          <w:rFonts w:ascii="Times New Roman" w:eastAsia="Times New Roman" w:hAnsi="Times New Roman" w:cs="Times New Roman"/>
          <w:sz w:val="24"/>
          <w:szCs w:val="24"/>
        </w:rPr>
        <w:t>para Postgres</w:t>
      </w:r>
      <w:proofErr w:type="gram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transforma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Postgres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nodo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único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en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sistema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 base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datos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  <w:highlight w:val="yellow"/>
        </w:rPr>
        <w:t>distribuida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medida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escala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horizontalmente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distribuye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y las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consultas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potencialmente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permiten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que la carga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alcance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niveles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sin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precedentes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escala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rendimiento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única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Postgres,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conocida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Sin embargo,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realidad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constituido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varias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Postgres que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funcionan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conjuntamente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Al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escalar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horizontalmente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aumenta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Postgres dentro del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potencialmente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mejora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rendimiento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escalabilidad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la carga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decidir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sus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necesidades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y las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características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la carga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cuántas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Postgres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agrega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Para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vea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siguientes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vídeos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D465B2" w14:textId="77777777" w:rsidR="000371F3" w:rsidRPr="000371F3" w:rsidRDefault="000371F3" w:rsidP="000371F3">
      <w:pPr>
        <w:numPr>
          <w:ilvl w:val="0"/>
          <w:numId w:val="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DEMO: HTAP de alto </w:t>
        </w:r>
        <w:proofErr w:type="spellStart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rendimiento</w:t>
        </w:r>
        <w:proofErr w:type="spellEnd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con </w:t>
        </w:r>
        <w:proofErr w:type="spellStart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Hiperescala</w:t>
        </w:r>
        <w:proofErr w:type="spellEnd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(</w:t>
        </w:r>
        <w:proofErr w:type="spellStart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Citus</w:t>
        </w:r>
        <w:proofErr w:type="spellEnd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) de Postgres:</w:t>
        </w:r>
      </w:hyperlink>
    </w:p>
    <w:p w14:paraId="544E2239" w14:textId="77777777" w:rsidR="000371F3" w:rsidRPr="000371F3" w:rsidRDefault="000371F3" w:rsidP="000371F3">
      <w:pPr>
        <w:numPr>
          <w:ilvl w:val="0"/>
          <w:numId w:val="4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DEMO: </w:t>
        </w:r>
        <w:proofErr w:type="spellStart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Creación</w:t>
        </w:r>
        <w:proofErr w:type="spellEnd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aplicaciones</w:t>
        </w:r>
        <w:proofErr w:type="spellEnd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de HTAP con Python y Postgres </w:t>
        </w:r>
        <w:proofErr w:type="spellStart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en</w:t>
        </w:r>
        <w:proofErr w:type="spellEnd"/>
        <w:r w:rsidRPr="000371F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Azure:</w:t>
        </w:r>
      </w:hyperlink>
    </w:p>
    <w:p w14:paraId="5483C643" w14:textId="2485FF29" w:rsidR="000371F3" w:rsidRPr="000371F3" w:rsidRDefault="000371F3" w:rsidP="0003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9E536" w14:textId="77777777" w:rsidR="000371F3" w:rsidRPr="000371F3" w:rsidRDefault="000371F3" w:rsidP="000371F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Con Azure Arc</w:t>
      </w:r>
    </w:p>
    <w:p w14:paraId="39BB1F89" w14:textId="77777777" w:rsidR="000371F3" w:rsidRPr="000371F3" w:rsidRDefault="000371F3" w:rsidP="0003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>Con Azure Arc</w:t>
      </w:r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, Microsoft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ofrece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 </w:t>
      </w:r>
      <w:proofErr w:type="spellStart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>único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producto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>Hiperescala</w:t>
      </w:r>
      <w:proofErr w:type="spellEnd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PostgreSQL </w:t>
      </w:r>
      <w:proofErr w:type="spellStart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>habilitada</w:t>
      </w:r>
      <w:proofErr w:type="spellEnd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>para Azure</w:t>
      </w:r>
      <w:proofErr w:type="gramEnd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</w:t>
      </w:r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Con Azure Arc,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hemos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simplificado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definición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producto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experiencia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71F3">
        <w:rPr>
          <w:rFonts w:ascii="Times New Roman" w:eastAsia="Times New Roman" w:hAnsi="Times New Roman" w:cs="Times New Roman"/>
          <w:sz w:val="24"/>
          <w:szCs w:val="24"/>
        </w:rPr>
        <w:t>para Postgres</w:t>
      </w:r>
      <w:proofErr w:type="gram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comparación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con PaaS de Azure al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proporcionar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 </w:t>
      </w:r>
      <w:proofErr w:type="spellStart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>producto</w:t>
      </w:r>
      <w:proofErr w:type="spellEnd"/>
      <w:r w:rsidRPr="00037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Postgres</w:t>
      </w:r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 con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capacidad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para:</w:t>
      </w:r>
    </w:p>
    <w:p w14:paraId="5AB59938" w14:textId="77777777" w:rsidR="000371F3" w:rsidRPr="000371F3" w:rsidRDefault="000371F3" w:rsidP="000371F3">
      <w:pPr>
        <w:numPr>
          <w:ilvl w:val="0"/>
          <w:numId w:val="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Postgres de un solo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servidor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o flexible de Azure Database for Postgres,</w:t>
      </w:r>
    </w:p>
    <w:p w14:paraId="03C3DA01" w14:textId="77777777" w:rsidR="000371F3" w:rsidRPr="000371F3" w:rsidRDefault="000371F3" w:rsidP="000371F3">
      <w:pPr>
        <w:numPr>
          <w:ilvl w:val="0"/>
          <w:numId w:val="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Postgres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varios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instancias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Hiperescala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Citus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) de Azure Database for PostgreSQL,</w:t>
      </w:r>
    </w:p>
    <w:p w14:paraId="0B8F17FB" w14:textId="77777777" w:rsidR="000371F3" w:rsidRPr="000371F3" w:rsidRDefault="000371F3" w:rsidP="000371F3">
      <w:pPr>
        <w:numPr>
          <w:ilvl w:val="0"/>
          <w:numId w:val="5"/>
        </w:numPr>
        <w:spacing w:after="0" w:line="240" w:lineRule="auto"/>
        <w:ind w:left="12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ofrecer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gran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flexibilidad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a los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clientes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transformar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sus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implementaciones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Postgres de un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varios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Postgres y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viceversa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desean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Pueden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hacerlo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sin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migración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y con una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experiencia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1F3">
        <w:rPr>
          <w:rFonts w:ascii="Times New Roman" w:eastAsia="Times New Roman" w:hAnsi="Times New Roman" w:cs="Times New Roman"/>
          <w:sz w:val="24"/>
          <w:szCs w:val="24"/>
        </w:rPr>
        <w:t>sencilla</w:t>
      </w:r>
      <w:proofErr w:type="spellEnd"/>
      <w:r w:rsidRPr="00037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7B3D4" w14:textId="439A8137" w:rsidR="000371F3" w:rsidRPr="000371F3" w:rsidRDefault="000371F3" w:rsidP="0003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A95F8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Igual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elemento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mismo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nivel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PaaS de Azure,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forma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varios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nodos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Postgres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cuenta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tecnología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extensión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Citus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transforma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Postgres de un solo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nodo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sistema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distribuida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medida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horizontalmente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distribuye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potencialmente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permiten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la carga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alcance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niveles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sin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precedentes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rendimiento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única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también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conocida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Sin embargo,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realidad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está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constituido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por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funcionan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conjuntamente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Al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horizontalmente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aumenta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número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 xml:space="preserve">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dentro del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potencialmente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mejora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rendimiento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escalabilidad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la carga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decidir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función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sus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necesidades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características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la carga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cuántas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agrega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Si 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desea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reducir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número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1. Con Azure Arc,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todas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proporcionadas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por 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están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listas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para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DB82FA6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Con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modo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conectividad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directa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ofrecen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para Azure Arc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desde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Azure Portal. Si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modo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conexión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indirecta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implementará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desde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infraestructura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lo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hospeda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E08C400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Con la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Arc,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:</w:t>
      </w:r>
    </w:p>
    <w:p w14:paraId="115425E5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Administrar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Postgres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manera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sencilla</w:t>
      </w:r>
      <w:proofErr w:type="spellEnd"/>
    </w:p>
    <w:p w14:paraId="643E7943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Aprovisionar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desaprovisionar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con un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</w:p>
    <w:p w14:paraId="4BBEEC96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cualquier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: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verticalmente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reducir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verticalmente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horizontalmente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reducir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horizontalmente</w:t>
      </w:r>
      <w:proofErr w:type="spellEnd"/>
    </w:p>
    <w:p w14:paraId="768709E2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Simplificar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supervisión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conmutación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por error,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copia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seguridad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revisiones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actualización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control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acceso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más</w:t>
      </w:r>
      <w:proofErr w:type="spellEnd"/>
    </w:p>
    <w:p w14:paraId="359329AC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Compilar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 a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rendimiento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sin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precedentes</w:t>
      </w:r>
      <w:proofErr w:type="spellEnd"/>
    </w:p>
    <w:p w14:paraId="69B28E03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horizontalmente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proceso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entre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</w:t>
      </w:r>
    </w:p>
    <w:p w14:paraId="01FF03D4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Distribuir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</w:p>
    <w:p w14:paraId="2F427D5C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Ejecutar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extensión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Citus</w:t>
      </w:r>
      <w:proofErr w:type="spellEnd"/>
    </w:p>
    <w:p w14:paraId="24D005BF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Transformar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estándar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sistema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distribuida</w:t>
      </w:r>
      <w:proofErr w:type="spellEnd"/>
    </w:p>
    <w:p w14:paraId="5B793A44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Postgres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cualquier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infraestructura</w:t>
      </w:r>
      <w:proofErr w:type="spellEnd"/>
    </w:p>
    <w:p w14:paraId="54BD204A" w14:textId="77777777" w:rsidR="000371F3" w:rsidRPr="000371F3" w:rsidRDefault="000371F3" w:rsidP="000371F3">
      <w:pPr>
        <w:numPr>
          <w:ilvl w:val="1"/>
          <w:numId w:val="6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Local,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(AWS, GCP, Azure), perimetral</w:t>
      </w:r>
    </w:p>
    <w:p w14:paraId="768C8BB3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Integrar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Azure (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opcional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)</w:t>
      </w:r>
    </w:p>
    <w:p w14:paraId="08D8438C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Pagar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por lo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facturación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por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)</w:t>
      </w:r>
    </w:p>
    <w:p w14:paraId="6BA40C87" w14:textId="77777777" w:rsidR="000371F3" w:rsidRPr="000371F3" w:rsidRDefault="000371F3" w:rsidP="000371F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Obtener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soporte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técnico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sobre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Postgres</w:t>
      </w:r>
    </w:p>
    <w:p w14:paraId="0F817981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Consideraciones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adicionales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:</w:t>
      </w:r>
    </w:p>
    <w:p w14:paraId="751EF10C" w14:textId="77777777" w:rsidR="000371F3" w:rsidRPr="000371F3" w:rsidRDefault="000371F3" w:rsidP="00037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 no es un nuevo motor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ni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es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versión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específica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un motor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existente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mismo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motor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ejecuta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PaaS de Azure.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Recuerde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con Azure Arc,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no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Microsoft;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irá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usted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innovación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Azure Arc reside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forma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ofrece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motor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experiencias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Microsoft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proporciona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torno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motor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F12597D" w14:textId="77777777" w:rsidR="000371F3" w:rsidRPr="000371F3" w:rsidRDefault="000371F3" w:rsidP="00037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tampoco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es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solución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empresariales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permanecen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Arc. No se replica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Azure. 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menos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haya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elegido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configurar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característica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del motor de base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réplicas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lectura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ese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caso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,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replicar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fuera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implementación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Postgres: no por Azure Arc,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sino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porque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eligió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configurar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característica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DFFDB44" w14:textId="77777777" w:rsidR="000371F3" w:rsidRPr="000371F3" w:rsidRDefault="000371F3" w:rsidP="00037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 xml:space="preserve">No es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necesario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usar un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controlador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proveedor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específicos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para que la carga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Arc.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Cualquier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"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aplicación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Postgres" debe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poder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ejecutarse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PostgreSQL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para Azure</w:t>
      </w:r>
      <w:proofErr w:type="gram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Arc.</w:t>
      </w:r>
    </w:p>
    <w:p w14:paraId="1B8B84CA" w14:textId="77777777" w:rsidR="000371F3" w:rsidRPr="000371F3" w:rsidRDefault="000371F3" w:rsidP="00037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Las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operaciones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horizontal y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reducción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horizontal no son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automáticas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Están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controladas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por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usuarios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. Los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usuarios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scripts para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operaciones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automatizar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ejecución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scripts. No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todas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las cargas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pueden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beneficiarse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del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escalado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horizontal. Lea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más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detalles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sobre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tema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sugiere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sección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"Pasos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siguientes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".</w:t>
      </w:r>
    </w:p>
    <w:p w14:paraId="5271FEFE" w14:textId="77777777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Para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más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información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sobre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estas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funcionalidades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también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puede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ver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este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episodio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Data Exposed:</w:t>
      </w:r>
    </w:p>
    <w:p w14:paraId="7A50264B" w14:textId="77777777" w:rsidR="000371F3" w:rsidRPr="000371F3" w:rsidRDefault="000371F3" w:rsidP="000371F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Roles y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responsabilidades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: Servicios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administrados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de Azure (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plataforma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como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servicio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[PaaS]) </w:t>
      </w:r>
      <w:proofErr w:type="spellStart"/>
      <w:r w:rsidRPr="000371F3">
        <w:rPr>
          <w:rFonts w:ascii="Segoe UI" w:eastAsia="Times New Roman" w:hAnsi="Segoe UI" w:cs="Segoe UI"/>
          <w:b/>
          <w:bCs/>
          <w:i/>
          <w:iCs/>
          <w:color w:val="171717"/>
          <w:sz w:val="36"/>
          <w:szCs w:val="36"/>
        </w:rPr>
        <w:t>frente</w:t>
      </w:r>
      <w:proofErr w:type="spellEnd"/>
      <w:r w:rsidRPr="000371F3">
        <w:rPr>
          <w:rFonts w:ascii="Segoe UI" w:eastAsia="Times New Roman" w:hAnsi="Segoe UI" w:cs="Segoe UI"/>
          <w:b/>
          <w:bCs/>
          <w:i/>
          <w:iCs/>
          <w:color w:val="171717"/>
          <w:sz w:val="36"/>
          <w:szCs w:val="36"/>
        </w:rPr>
        <w:t xml:space="preserve"> a</w:t>
      </w:r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 los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servicios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datos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habilitados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proofErr w:type="gram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para Azure</w:t>
      </w:r>
      <w:proofErr w:type="gramEnd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Arc</w:t>
      </w:r>
    </w:p>
    <w:p w14:paraId="6FDA0B25" w14:textId="32566C26" w:rsidR="000371F3" w:rsidRPr="000371F3" w:rsidRDefault="000371F3" w:rsidP="000371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046AA578" wp14:editId="7199BF8D">
            <wp:extent cx="6858000" cy="3857625"/>
            <wp:effectExtent l="0" t="0" r="0" b="9525"/>
            <wp:docPr id="1" name="Picture 1" descr="Roles y responsabilidades de PaaS de Azure frente a Azure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les y responsabilidades de PaaS de Azure frente a Azure Ar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8D0B" w14:textId="77777777" w:rsidR="000371F3" w:rsidRPr="000371F3" w:rsidRDefault="000371F3" w:rsidP="000371F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Pasos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siguientes</w:t>
      </w:r>
      <w:proofErr w:type="spellEnd"/>
    </w:p>
    <w:p w14:paraId="3331A98D" w14:textId="77777777" w:rsidR="000371F3" w:rsidRPr="000371F3" w:rsidRDefault="000371F3" w:rsidP="00037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Pruébelo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.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Empiece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trabajar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rápidamente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"https://github.com/microsoft/azure_arc" \l "azure-arc-enabled-data-services" </w:instrTex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0371F3">
        <w:rPr>
          <w:rFonts w:ascii="Segoe UI" w:eastAsia="Times New Roman" w:hAnsi="Segoe UI" w:cs="Segoe UI"/>
          <w:color w:val="0000FF"/>
          <w:sz w:val="24"/>
          <w:szCs w:val="24"/>
        </w:rPr>
        <w:t>Inicio</w:t>
      </w:r>
      <w:proofErr w:type="spellEnd"/>
      <w:r w:rsidRPr="000371F3"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0000FF"/>
          <w:sz w:val="24"/>
          <w:szCs w:val="24"/>
        </w:rPr>
        <w:t>rápido</w:t>
      </w:r>
      <w:proofErr w:type="spellEnd"/>
      <w:r w:rsidRPr="000371F3">
        <w:rPr>
          <w:rFonts w:ascii="Segoe UI" w:eastAsia="Times New Roman" w:hAnsi="Segoe UI" w:cs="Segoe UI"/>
          <w:color w:val="0000FF"/>
          <w:sz w:val="24"/>
          <w:szCs w:val="24"/>
        </w:rPr>
        <w:t xml:space="preserve"> de Azure Arc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Azure Kubernetes Service (AKS), AWS Elastic Kubernetes Service (EKS), Google Cloud Kubernetes Engine (GKE) o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de Azure.</w:t>
      </w:r>
    </w:p>
    <w:p w14:paraId="134255CD" w14:textId="77777777" w:rsidR="000371F3" w:rsidRPr="000371F3" w:rsidRDefault="000371F3" w:rsidP="00037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Impleméntelo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,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el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suyo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propio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.</w: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 Siga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estos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pasos para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propio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clúster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de Kubernetes:</w:t>
      </w:r>
    </w:p>
    <w:p w14:paraId="72E24933" w14:textId="77777777" w:rsidR="000371F3" w:rsidRPr="000371F3" w:rsidRDefault="000371F3" w:rsidP="000371F3">
      <w:pPr>
        <w:numPr>
          <w:ilvl w:val="1"/>
          <w:numId w:val="8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2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Instalación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las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herramientas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cliente</w:t>
        </w:r>
        <w:proofErr w:type="spellEnd"/>
      </w:hyperlink>
    </w:p>
    <w:p w14:paraId="6E1F1E6A" w14:textId="77777777" w:rsidR="000371F3" w:rsidRPr="000371F3" w:rsidRDefault="000371F3" w:rsidP="000371F3">
      <w:pPr>
        <w:numPr>
          <w:ilvl w:val="1"/>
          <w:numId w:val="8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3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Creación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del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controlador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datos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Azure Arc</w:t>
        </w:r>
      </w:hyperlink>
    </w:p>
    <w:p w14:paraId="3ADEB022" w14:textId="77777777" w:rsidR="000371F3" w:rsidRPr="000371F3" w:rsidRDefault="000371F3" w:rsidP="000371F3">
      <w:pPr>
        <w:numPr>
          <w:ilvl w:val="1"/>
          <w:numId w:val="8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4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Creación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un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grupo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servidores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Hiperescala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Azure Database for PostgreSQL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en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Azure Arc</w:t>
        </w:r>
      </w:hyperlink>
    </w:p>
    <w:p w14:paraId="0C17EA49" w14:textId="77777777" w:rsidR="000371F3" w:rsidRPr="000371F3" w:rsidRDefault="000371F3" w:rsidP="00037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Learn</w:t>
      </w:r>
    </w:p>
    <w:p w14:paraId="0C83B582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5" w:history="1"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Azure Arc</w:t>
        </w:r>
      </w:hyperlink>
    </w:p>
    <w:p w14:paraId="33D6FE8A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Servicios de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habilitados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 xml:space="preserve"> para Azure Arc 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"https://azure.microsoft.com/services/azure-arc/hybrid-data-services" </w:instrTex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0371F3">
        <w:rPr>
          <w:rFonts w:ascii="Segoe UI" w:eastAsia="Times New Roman" w:hAnsi="Segoe UI" w:cs="Segoe UI"/>
          <w:color w:val="0000FF"/>
          <w:sz w:val="24"/>
          <w:szCs w:val="24"/>
        </w:rPr>
        <w:t>aquí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 y </w:t>
      </w:r>
      <w:proofErr w:type="spellStart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"https://docs.microsoft.com/es-es/azure/azure-arc/data/overview" </w:instrText>
      </w:r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0371F3">
        <w:rPr>
          <w:rFonts w:ascii="Segoe UI" w:eastAsia="Times New Roman" w:hAnsi="Segoe UI" w:cs="Segoe UI"/>
          <w:color w:val="0000FF"/>
          <w:sz w:val="24"/>
          <w:szCs w:val="24"/>
        </w:rPr>
        <w:t>aquí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</w:p>
    <w:p w14:paraId="59EFC474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6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Modos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conectividad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y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requisitos</w:t>
        </w:r>
        <w:proofErr w:type="spellEnd"/>
      </w:hyperlink>
    </w:p>
    <w:p w14:paraId="5E508B8D" w14:textId="77777777" w:rsidR="000371F3" w:rsidRPr="000371F3" w:rsidRDefault="000371F3" w:rsidP="000371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Lea los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conceptos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y las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guías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paso a paso de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Azure Database for PostgreSQL para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distribuir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los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datos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entre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varios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nodos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Hiperescala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PostgreSQL y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posiblemente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beneficiarse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mejores</w:t>
      </w:r>
      <w:proofErr w:type="spellEnd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proofErr w:type="spellStart"/>
      <w:r w:rsidRPr="000371F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rendimientos</w:t>
      </w:r>
      <w:proofErr w:type="spellEnd"/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53069243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7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Nodos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y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tablas</w:t>
        </w:r>
        <w:proofErr w:type="spellEnd"/>
      </w:hyperlink>
    </w:p>
    <w:p w14:paraId="3E25FFB6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8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Determinar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el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tipo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aplicación</w:t>
        </w:r>
        <w:proofErr w:type="spellEnd"/>
      </w:hyperlink>
    </w:p>
    <w:p w14:paraId="52CFCE1F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9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Elección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una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columna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distribución</w:t>
        </w:r>
        <w:proofErr w:type="spellEnd"/>
      </w:hyperlink>
    </w:p>
    <w:p w14:paraId="09234F69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20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Colocación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tabla</w:t>
        </w:r>
        <w:proofErr w:type="spellEnd"/>
      </w:hyperlink>
    </w:p>
    <w:p w14:paraId="2AAA21F3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21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Distribución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y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modificación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tablas</w:t>
        </w:r>
        <w:proofErr w:type="spellEnd"/>
      </w:hyperlink>
    </w:p>
    <w:p w14:paraId="5BE52099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22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Diseño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una base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datos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multiinquilino</w:t>
        </w:r>
        <w:proofErr w:type="spellEnd"/>
      </w:hyperlink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*</w:t>
      </w:r>
    </w:p>
    <w:p w14:paraId="002065B4" w14:textId="77777777" w:rsidR="000371F3" w:rsidRPr="000371F3" w:rsidRDefault="000371F3" w:rsidP="000371F3">
      <w:pPr>
        <w:numPr>
          <w:ilvl w:val="1"/>
          <w:numId w:val="9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23" w:history="1"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Diseño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un panel de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análisis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en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>tiempo</w:t>
        </w:r>
        <w:proofErr w:type="spellEnd"/>
        <w:r w:rsidRPr="000371F3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real</w:t>
        </w:r>
      </w:hyperlink>
      <w:r w:rsidRPr="000371F3">
        <w:rPr>
          <w:rFonts w:ascii="Segoe UI" w:eastAsia="Times New Roman" w:hAnsi="Segoe UI" w:cs="Segoe UI"/>
          <w:color w:val="171717"/>
          <w:sz w:val="24"/>
          <w:szCs w:val="24"/>
        </w:rPr>
        <w:t>*</w:t>
      </w:r>
    </w:p>
    <w:p w14:paraId="778AA732" w14:textId="77777777" w:rsidR="00201C3C" w:rsidRDefault="00201C3C"/>
    <w:sectPr w:rsidR="00201C3C" w:rsidSect="00037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0D5"/>
    <w:multiLevelType w:val="multilevel"/>
    <w:tmpl w:val="CA0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C47BE"/>
    <w:multiLevelType w:val="multilevel"/>
    <w:tmpl w:val="267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94EFD"/>
    <w:multiLevelType w:val="multilevel"/>
    <w:tmpl w:val="2DB2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E7BFF"/>
    <w:multiLevelType w:val="multilevel"/>
    <w:tmpl w:val="711C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C62F9"/>
    <w:multiLevelType w:val="multilevel"/>
    <w:tmpl w:val="7A8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A1D10"/>
    <w:multiLevelType w:val="multilevel"/>
    <w:tmpl w:val="34E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F222B"/>
    <w:multiLevelType w:val="multilevel"/>
    <w:tmpl w:val="2126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A013C"/>
    <w:multiLevelType w:val="multilevel"/>
    <w:tmpl w:val="F16A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F3"/>
    <w:rsid w:val="000371F3"/>
    <w:rsid w:val="00200177"/>
    <w:rsid w:val="00201C3C"/>
    <w:rsid w:val="00E7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2A1F"/>
  <w15:chartTrackingRefBased/>
  <w15:docId w15:val="{48170623-BE70-4725-A793-242DBBF5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7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1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71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1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1F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7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7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5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43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portal.azure.com/" TargetMode="External"/><Relationship Id="rId13" Type="http://schemas.openxmlformats.org/officeDocument/2006/relationships/hyperlink" Target="https://docs.microsoft.com/es-es/azure/azure-arc/data/create-data-controller" TargetMode="External"/><Relationship Id="rId18" Type="http://schemas.openxmlformats.org/officeDocument/2006/relationships/hyperlink" Target="https://docs.microsoft.com/es-es/azure/postgresql/concepts-hyperscale-app-typ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s-es/azure/postgresql/howto-hyperscale-modify-distributed-table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s-es/azure/azure-arc/data/install-client-tools" TargetMode="External"/><Relationship Id="rId17" Type="http://schemas.openxmlformats.org/officeDocument/2006/relationships/hyperlink" Target="https://docs.microsoft.com/es-es/azure/postgresql/concepts-hyperscale-nod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s-es/azure/azure-arc/data/connectivity" TargetMode="External"/><Relationship Id="rId20" Type="http://schemas.openxmlformats.org/officeDocument/2006/relationships/hyperlink" Target="https://docs.microsoft.com/es-es/azure/postgresql/concepts-hyperscale-coloc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aka.ms/azurearc" TargetMode="External"/><Relationship Id="rId23" Type="http://schemas.openxmlformats.org/officeDocument/2006/relationships/hyperlink" Target="https://docs.microsoft.com/es-es/azure/postgresql/tutorial-design-database-hyperscale-realtime" TargetMode="External"/><Relationship Id="rId10" Type="http://schemas.openxmlformats.org/officeDocument/2006/relationships/hyperlink" Target="https://youtu.be/YDT8_riLLs0" TargetMode="External"/><Relationship Id="rId19" Type="http://schemas.openxmlformats.org/officeDocument/2006/relationships/hyperlink" Target="https://docs.microsoft.com/es-es/azure/postgresql/concepts-hyperscale-choose-distribution-colum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W_3e07nGFxY" TargetMode="External"/><Relationship Id="rId14" Type="http://schemas.openxmlformats.org/officeDocument/2006/relationships/hyperlink" Target="https://docs.microsoft.com/es-es/azure/azure-arc/data/create-postgresql-hyperscale-server-group" TargetMode="External"/><Relationship Id="rId22" Type="http://schemas.openxmlformats.org/officeDocument/2006/relationships/hyperlink" Target="https://docs.microsoft.com/es-es/azure/postgresql/tutorial-design-database-hyperscale-multi-ten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2" ma:contentTypeDescription="Create a new document." ma:contentTypeScope="" ma:versionID="148a7e144c4fb70e543148da8aa80f14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1d9b0a0db7c5d48b5a91a618490db695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DAFF8-4A9B-4944-B7DC-9A9C8CE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288B5-DD26-4538-AED3-57AD9EE81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7BA74-9850-435C-B5A3-7F6FDB5C3D2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972bff4f-0552-489b-9eb2-929d6007df73"/>
    <ds:schemaRef ds:uri="http://schemas.openxmlformats.org/package/2006/metadata/core-properties"/>
    <ds:schemaRef ds:uri="448b4d6a-3512-48e5-a1d1-990819334e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2021-12-07T21:20:00Z</dcterms:created>
  <dcterms:modified xsi:type="dcterms:W3CDTF">2021-12-07T21:20:00Z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