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0E24" w14:textId="77777777" w:rsidR="0088687E" w:rsidRPr="0088687E" w:rsidRDefault="0088687E" w:rsidP="0088687E">
      <w:pPr>
        <w:shd w:val="clear" w:color="auto" w:fill="FFFFFF"/>
        <w:spacing w:before="41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</w:pPr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4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Ways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to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Improve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Class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Imbalance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for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Image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Data</w:t>
      </w:r>
    </w:p>
    <w:p w14:paraId="6C7D493A" w14:textId="77777777" w:rsidR="0088687E" w:rsidRPr="0088687E" w:rsidRDefault="0088687E" w:rsidP="0088687E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The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pros and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cons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of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several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rebalancing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techniques</w:t>
      </w:r>
      <w:proofErr w:type="spellEnd"/>
    </w:p>
    <w:p w14:paraId="37C8787A" w14:textId="1D6F2138" w:rsidR="00787405" w:rsidRDefault="00787405"/>
    <w:p w14:paraId="4BC14A89" w14:textId="7B445936" w:rsidR="0088687E" w:rsidRPr="0088687E" w:rsidRDefault="0088687E" w:rsidP="00886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8687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5F72A218" wp14:editId="32CF2D58">
            <wp:extent cx="5726036" cy="1782124"/>
            <wp:effectExtent l="0" t="0" r="8255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94" cy="178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3F1D" w14:textId="6FF3E2D4" w:rsidR="0088687E" w:rsidRPr="0088687E" w:rsidRDefault="0088687E" w:rsidP="00886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Instances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per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category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highest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- and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lowest-represented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categories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60%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classes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&lt; 1000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instances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compared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300,000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instances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highest-represented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</w:p>
    <w:p w14:paraId="4E63111A" w14:textId="30A156D4" w:rsid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“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Building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,”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you’d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right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50%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time.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leads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believe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your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really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3A0051B8" w14:textId="287C3FA8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TECHNIQUES</w:t>
      </w:r>
    </w:p>
    <w:p w14:paraId="4C289AF2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Adjustment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#1: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Chipping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instead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of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downsampling</w:t>
      </w:r>
      <w:proofErr w:type="spellEnd"/>
    </w:p>
    <w:p w14:paraId="4CCD0351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In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nutshell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raw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neural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network’s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input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layer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A 12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megapixel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drone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4000 x 3000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pixels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common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object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detector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512 x 512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pixels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0050640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While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possible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downsample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raw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you’ll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lose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important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information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will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have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lower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precision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small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.</w:t>
      </w:r>
    </w:p>
    <w:p w14:paraId="0BCDBE90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#1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Buildings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,” so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downsampling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disproportionately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impacts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F1450C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Chipping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raw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alternative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downsampling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.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preserving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full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ensure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smaller-item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don’t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become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even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harder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identify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96C0AE1" w14:textId="25906407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0CE73AAA" wp14:editId="68E09BBE">
            <wp:extent cx="3756087" cy="3720662"/>
            <wp:effectExtent l="0" t="0" r="0" b="0"/>
            <wp:docPr id="7" name="Picture 7" descr="A picture containing surround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urround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48" cy="372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4E41" w14:textId="5C978511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Example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of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a full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image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chipped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into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49 tiles</w:t>
      </w:r>
      <w:r>
        <w:rPr>
          <w:rFonts w:ascii="Segoe UI" w:eastAsia="Times New Roman" w:hAnsi="Segoe UI" w:cs="Segoe UI"/>
          <w:sz w:val="27"/>
          <w:szCs w:val="27"/>
          <w:lang w:eastAsia="es-SV"/>
        </w:rPr>
        <w:t>.</w:t>
      </w:r>
    </w:p>
    <w:p w14:paraId="77C8D87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tiled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square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cells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network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individually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retaining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original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ensure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split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across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boundaries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chip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overlap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consecutive tiles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e.g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25%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overlap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).</w:t>
      </w:r>
    </w:p>
    <w:p w14:paraId="6F257105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</w:pPr>
      <w:r w:rsidRPr="0088687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SV"/>
        </w:rPr>
        <w:t>Note</w:t>
      </w:r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: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datasets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contain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high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size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disparity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want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retain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full original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able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identify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tiny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have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so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don’t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fit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in a single tile.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case,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lastRenderedPageBreak/>
        <w:t>may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necessary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build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your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training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full-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tiles and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downsampled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full-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picture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.</w:t>
      </w:r>
    </w:p>
    <w:p w14:paraId="0A6DCFB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hyperlink r:id="rId7" w:anchor="object-detection-iou-ap-and-map" w:tgtFrame="_blank" w:history="1"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mean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average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precision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(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mAP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)</w:t>
        </w:r>
      </w:hyperlink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trained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against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tiled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versus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version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rescaled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1C685E9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Downside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: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perform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small-object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tiling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process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lead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longer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times.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chipping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method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increased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mAP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30%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increased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run time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60%.</w:t>
      </w:r>
    </w:p>
    <w:p w14:paraId="280BFABC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→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Worth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?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likely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E9ED5E3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Adjustment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#2: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Merging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near-identical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classes</w:t>
      </w:r>
      <w:proofErr w:type="spellEnd"/>
    </w:p>
    <w:p w14:paraId="5E804C44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almost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identical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e.g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Fixed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aircraft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and “Cargo plane.”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those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bounding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box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diameter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~18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pixels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level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granularity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low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-pixel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items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difficult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—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especially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aren’t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points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AFAAEA2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similar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looking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single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reduced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reduced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slightly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E0A6633" w14:textId="068148A4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</w:pPr>
      <w:r w:rsidRPr="0088687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SV"/>
        </w:rPr>
        <w:t>Note:</w:t>
      </w:r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It’s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best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involve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somebody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domain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expertise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merging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labels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Not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only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recommend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make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sense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group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together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describe places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end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user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workflow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where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original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must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absolutely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preserved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tempting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re-classify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Tank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” as a “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Truck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,”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user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workflow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might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lastRenderedPageBreak/>
        <w:t>take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highly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specific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actions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Tank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”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.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addition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help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streamline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merging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process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could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create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merge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candidate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list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human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review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identifying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groups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create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most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confusion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.</w:t>
      </w:r>
    </w:p>
    <w:p w14:paraId="6FFF9B59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gram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After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16 new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vs. 50 original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—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?</w:t>
      </w:r>
      <w:proofErr w:type="gram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look at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distributions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BF7AA08" w14:textId="73DFCA53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1DC24621" wp14:editId="20F6E747">
            <wp:extent cx="3250491" cy="2238835"/>
            <wp:effectExtent l="0" t="0" r="7620" b="952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17" cy="22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C2C2" w14:textId="77777777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After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merging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minority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classes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together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,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the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higher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median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count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per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class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means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we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have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fewer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hard-to-learn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classes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. (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image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by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author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)</w:t>
      </w:r>
    </w:p>
    <w:p w14:paraId="47365BC0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Before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75%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fewer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1,500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instances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After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under-represented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median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count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per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1,500.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shown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graph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426,000-count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Buildings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).</w:t>
      </w:r>
    </w:p>
    <w:p w14:paraId="0B6AB556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→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Worth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?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Likely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viability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depends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domain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workflow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7BB5CE4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Adjustment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#3: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Resampling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specific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classes</w:t>
      </w:r>
      <w:proofErr w:type="spellEnd"/>
    </w:p>
    <w:p w14:paraId="09E75699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traditional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combat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machine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adjust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representation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set.</w:t>
      </w:r>
    </w:p>
    <w:p w14:paraId="0AF1CECD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lastRenderedPageBreak/>
        <w:t>Oversampling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infrequent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augmenting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entries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match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quantity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performed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several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ways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generating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synthetic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essentially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copying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entries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e.g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via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begin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instrText xml:space="preserve"> HYPERLINK "https://scikit-learn.org/stable/modules/generated/sklearn.utils.resample.html" \t "_blank" </w:instrTex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separate"/>
      </w:r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sklearn’s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 xml:space="preserve"> `</w:t>
      </w:r>
      <w:proofErr w:type="spellStart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resample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`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end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begin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instrText xml:space="preserve"> HYPERLINK "https://www.tensorflow.org/tutorials/structured_data/imbalanced_data" \l "using_tfdata" \t "_blank" </w:instrTex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separate"/>
      </w:r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TensorFlow’s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tf.data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sampler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end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begin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instrText xml:space="preserve"> HYPERLINK "https://pytorch.org/docs/stable/data.html" \l "torch.utils.data.WeightedRandomSampler" \t "_blank" </w:instrTex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separate"/>
      </w:r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PyTorch’s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WeightedRandomSampler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end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downside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result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overfitting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oversampled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997502E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Undersampling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frequent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removing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entries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match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quantity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downside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removing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points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remove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valuable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lead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generalization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real-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world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so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result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undersampling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would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CEC0061" w14:textId="3C120D74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41092692" wp14:editId="41A60150">
            <wp:extent cx="4490019" cy="1958208"/>
            <wp:effectExtent l="0" t="0" r="6350" b="444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51" cy="196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52E5" w14:textId="3C0E3EAE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Oversampling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vs.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Undersampling</w:t>
      </w:r>
      <w:proofErr w:type="spellEnd"/>
    </w:p>
    <w:p w14:paraId="1393E3E0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</w:pPr>
      <w:r w:rsidRPr="0088687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SV"/>
        </w:rPr>
        <w:t>Note:</w:t>
      </w:r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both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these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changes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should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occur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 </w:t>
      </w:r>
      <w:r w:rsidRPr="0088687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SV"/>
        </w:rPr>
        <w:t>after</w:t>
      </w:r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splitting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data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train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validation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sets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ensure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no data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validation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set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training set.</w:t>
      </w:r>
    </w:p>
    <w:p w14:paraId="2B99C332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implemented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undersampling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selectively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final training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Labels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counted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stored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dataframe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created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sorting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procedure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either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discard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at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instance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label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anything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besides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Building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and “Small Cars”)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round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10%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frequent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No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zero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labels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4E21F31" w14:textId="2A77270F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17198CED" wp14:editId="7C58904B">
            <wp:extent cx="5126946" cy="2051853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22" cy="205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8653" w14:textId="2EEE1E94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Change in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object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count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by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class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.</w:t>
      </w:r>
    </w:p>
    <w:p w14:paraId="1AD4EABB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Bonus: tile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curation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makes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training more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efficient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.</w:t>
      </w:r>
    </w:p>
    <w:p w14:paraId="753DD3D5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Besides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increasing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precision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we’ve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decreased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time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decreasing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removing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mostly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redundant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FF492A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Another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curating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training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zero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bounding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boxes.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aerial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photography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original full-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scale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sometimes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5–10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annotations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leads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significant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empty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tiles.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trained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empty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bounding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boxes as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optimal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4AB0FAC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Across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cases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types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scale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dead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be removed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before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look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digitized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pathology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slide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100%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white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:</w:t>
      </w:r>
    </w:p>
    <w:p w14:paraId="71850EC0" w14:textId="024C4854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lastRenderedPageBreak/>
        <w:drawing>
          <wp:inline distT="0" distB="0" distL="0" distR="0" wp14:anchorId="4A402A6D" wp14:editId="4A00FC21">
            <wp:extent cx="1891862" cy="1664594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44" cy="16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D0B7" w14:textId="77777777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Example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digital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pathology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slide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from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 </w:t>
      </w:r>
      <w:hyperlink r:id="rId12" w:tgtFrame="_blank" w:history="1">
        <w:r w:rsidRPr="0088687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SV"/>
          </w:rPr>
          <w:t>PAIGE.ai</w:t>
        </w:r>
      </w:hyperlink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.</w:t>
      </w:r>
    </w:p>
    <w:p w14:paraId="79BAC4C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So,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raw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guaranteed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white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often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thinking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tiled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new training data.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exploring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cleaning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more granular control.</w:t>
      </w:r>
    </w:p>
    <w:p w14:paraId="0D1C37BA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→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Worth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? Yes.</w:t>
      </w:r>
    </w:p>
    <w:p w14:paraId="0E9292D8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Adjustment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#4: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Adjusting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the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loss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function</w:t>
      </w:r>
      <w:proofErr w:type="spellEnd"/>
    </w:p>
    <w:p w14:paraId="28182BC2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Beyond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just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100x more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instances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Building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empty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background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actually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another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dominating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easily-classified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negative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—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sometimes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1:1000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foreground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background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over-represented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relatively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dominate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steers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gradient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descent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optimize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detection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those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253694C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Instead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treating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mistake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equally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mistakes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more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important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mistakes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common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4FB6ED1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In response,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implemented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focal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à la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FAIR’s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hyperlink r:id="rId13" w:tgtFrame="_blank" w:history="1"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Focal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Loss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for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Dense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Object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Detection</w:t>
        </w:r>
        <w:proofErr w:type="spellEnd"/>
      </w:hyperlink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paper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dynamic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object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tunable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focusing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`γ`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[0, 5] drives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well-classified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(p &gt; 0.5)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towards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zero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change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decreases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dominance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over-represented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total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term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CD6F21D" w14:textId="36E29AEC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1AA878A2" wp14:editId="414FB426">
            <wp:extent cx="2825869" cy="180988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7" cy="181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0021" w14:textId="77777777" w:rsidR="0088687E" w:rsidRPr="0088687E" w:rsidRDefault="00221889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hyperlink r:id="rId15" w:tgtFrame="_blank" w:history="1">
        <w:proofErr w:type="spellStart"/>
        <w:r w:rsidR="0088687E" w:rsidRPr="0088687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SV"/>
          </w:rPr>
          <w:t>Source</w:t>
        </w:r>
        <w:proofErr w:type="spellEnd"/>
      </w:hyperlink>
      <w:r w:rsidR="0088687E"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: Facebook AI </w:t>
      </w:r>
      <w:proofErr w:type="spellStart"/>
      <w:r w:rsidR="0088687E" w:rsidRPr="0088687E">
        <w:rPr>
          <w:rFonts w:ascii="Segoe UI" w:eastAsia="Times New Roman" w:hAnsi="Segoe UI" w:cs="Segoe UI"/>
          <w:sz w:val="27"/>
          <w:szCs w:val="27"/>
          <w:lang w:eastAsia="es-SV"/>
        </w:rPr>
        <w:t>Research</w:t>
      </w:r>
      <w:proofErr w:type="spellEnd"/>
      <w:r w:rsidR="0088687E"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(FAIR)</w:t>
      </w:r>
    </w:p>
    <w:p w14:paraId="4CF8B14D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merged-class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implementing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focal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increased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precision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conserved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relatively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good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precision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BB6C377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→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Worth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? Yes.</w:t>
      </w:r>
    </w:p>
    <w:p w14:paraId="2D75AD09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SV"/>
        </w:rPr>
        <w:t>Conclusion</w:t>
      </w:r>
      <w:proofErr w:type="spellEnd"/>
    </w:p>
    <w:p w14:paraId="167BEF0A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uncommon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off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significant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compounded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further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volume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empty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”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background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B8E1206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under-represented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aren’t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accounted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ceiling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improve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until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steps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taken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account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improve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performance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AE2AA6F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</w:p>
    <w:p w14:paraId="4B5A3197" w14:textId="77777777" w:rsidR="0088687E" w:rsidRDefault="0088687E"/>
    <w:sectPr w:rsidR="0088687E" w:rsidSect="008868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7E"/>
    <w:rsid w:val="001D5579"/>
    <w:rsid w:val="00221889"/>
    <w:rsid w:val="002614E8"/>
    <w:rsid w:val="00787405"/>
    <w:rsid w:val="0088687E"/>
    <w:rsid w:val="00B63AD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02D1"/>
  <w15:chartTrackingRefBased/>
  <w15:docId w15:val="{6D0345BE-6D8F-4A1E-9F37-B9B4C144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886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88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7E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88687E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pw-post-body-paragraph">
    <w:name w:val="pw-post-body-paragraph"/>
    <w:basedOn w:val="Normal"/>
    <w:rsid w:val="0088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jw">
    <w:name w:val="jw"/>
    <w:basedOn w:val="Normal"/>
    <w:rsid w:val="0088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8868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687E"/>
    <w:rPr>
      <w:b/>
      <w:bCs/>
    </w:rPr>
  </w:style>
  <w:style w:type="character" w:styleId="Emphasis">
    <w:name w:val="Emphasis"/>
    <w:basedOn w:val="DefaultParagraphFont"/>
    <w:uiPriority w:val="20"/>
    <w:qFormat/>
    <w:rsid w:val="008868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2459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14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74981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xiv.org/pdf/1708.020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230.stanford.edu/section/7/" TargetMode="External"/><Relationship Id="rId12" Type="http://schemas.openxmlformats.org/officeDocument/2006/relationships/hyperlink" Target="https://paige.a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arxiv.org/pdf/1708.02002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93238-ED06-4039-AC64-35CDEFD2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1445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2022-02-17T19:23:00Z</dcterms:created>
  <dcterms:modified xsi:type="dcterms:W3CDTF">2022-03-28T17:35:00Z</dcterms:modified>
</cp:coreProperties>
</file>